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D3039">
      <w:pPr>
        <w:tabs>
          <w:tab w:val="clear" w:pos="426"/>
        </w:tabs>
        <w:rPr>
          <w:highlight w:val="none"/>
        </w:rPr>
      </w:pPr>
    </w:p>
    <w:p w14:paraId="41B9E679">
      <w:pPr>
        <w:tabs>
          <w:tab w:val="clear" w:pos="426"/>
        </w:tabs>
        <w:rPr>
          <w:highlight w:val="none"/>
        </w:rPr>
      </w:pPr>
    </w:p>
    <w:p w14:paraId="4FD4CE34">
      <w:pPr>
        <w:pStyle w:val="84"/>
        <w:tabs>
          <w:tab w:val="left" w:pos="0"/>
          <w:tab w:val="left" w:pos="993"/>
          <w:tab w:val="left" w:pos="1134"/>
        </w:tabs>
        <w:spacing w:line="1300" w:lineRule="exact"/>
        <w:ind w:left="0" w:leftChars="0" w:firstLine="0" w:firstLineChars="0"/>
        <w:jc w:val="center"/>
        <w:rPr>
          <w:rFonts w:ascii="Times New Roman" w:hAnsi="Times New Roman"/>
          <w:b/>
          <w:bCs/>
          <w:color w:val="auto"/>
          <w:sz w:val="96"/>
          <w:szCs w:val="96"/>
        </w:rPr>
      </w:pPr>
      <w:r>
        <w:rPr>
          <w:rFonts w:hint="eastAsia" w:ascii="Times New Roman" w:hAnsi="Times New Roman"/>
          <w:b/>
          <w:bCs/>
          <w:color w:val="auto"/>
          <w:sz w:val="96"/>
          <w:szCs w:val="96"/>
        </w:rPr>
        <w:t>国内招标</w:t>
      </w:r>
      <w:r>
        <w:rPr>
          <w:rFonts w:ascii="Times New Roman" w:hAnsi="Times New Roman"/>
          <w:b/>
          <w:bCs/>
          <w:color w:val="auto"/>
          <w:sz w:val="96"/>
          <w:szCs w:val="96"/>
        </w:rPr>
        <w:t>文件</w:t>
      </w:r>
    </w:p>
    <w:p w14:paraId="4EEF6E9D">
      <w:pPr>
        <w:jc w:val="center"/>
        <w:rPr>
          <w:color w:val="auto"/>
          <w:sz w:val="52"/>
          <w:szCs w:val="52"/>
          <w:lang w:eastAsia="zh-CN"/>
        </w:rPr>
      </w:pPr>
      <w:r>
        <w:rPr>
          <w:color w:val="auto"/>
          <w:sz w:val="52"/>
          <w:szCs w:val="52"/>
          <w:lang w:eastAsia="zh-CN"/>
        </w:rPr>
        <w:t>【</w:t>
      </w:r>
      <w:r>
        <w:rPr>
          <w:rFonts w:hint="eastAsia"/>
          <w:color w:val="auto"/>
          <w:sz w:val="52"/>
          <w:szCs w:val="52"/>
          <w:lang w:eastAsia="zh-CN"/>
        </w:rPr>
        <w:t>服务</w:t>
      </w:r>
      <w:r>
        <w:rPr>
          <w:color w:val="auto"/>
          <w:sz w:val="52"/>
          <w:szCs w:val="52"/>
          <w:lang w:eastAsia="zh-CN"/>
        </w:rPr>
        <w:t>类】</w:t>
      </w:r>
    </w:p>
    <w:p w14:paraId="021D807D">
      <w:pPr>
        <w:rPr>
          <w:color w:val="auto"/>
          <w:sz w:val="44"/>
          <w:szCs w:val="44"/>
          <w:lang w:eastAsia="zh-CN"/>
        </w:rPr>
      </w:pPr>
    </w:p>
    <w:p w14:paraId="131C340A">
      <w:pPr>
        <w:pStyle w:val="84"/>
        <w:tabs>
          <w:tab w:val="left" w:pos="0"/>
          <w:tab w:val="left" w:pos="993"/>
          <w:tab w:val="left" w:pos="1134"/>
        </w:tabs>
        <w:ind w:left="0" w:leftChars="0" w:firstLine="0"/>
        <w:rPr>
          <w:rFonts w:ascii="Times New Roman" w:hAnsi="Times New Roman"/>
          <w:color w:val="auto"/>
        </w:rPr>
      </w:pPr>
    </w:p>
    <w:p w14:paraId="3FA379CC">
      <w:pPr>
        <w:pStyle w:val="84"/>
        <w:keepNext w:val="0"/>
        <w:keepLines w:val="0"/>
        <w:pageBreakBefore w:val="0"/>
        <w:widowControl w:val="0"/>
        <w:tabs>
          <w:tab w:val="left" w:pos="0"/>
          <w:tab w:val="left" w:pos="993"/>
          <w:tab w:val="left" w:pos="1134"/>
        </w:tabs>
        <w:kinsoku/>
        <w:wordWrap w:val="0"/>
        <w:overflowPunct/>
        <w:topLinePunct w:val="0"/>
        <w:autoSpaceDE/>
        <w:autoSpaceDN/>
        <w:bidi w:val="0"/>
        <w:adjustRightInd/>
        <w:snapToGrid/>
        <w:ind w:left="0" w:leftChars="0" w:firstLine="0" w:firstLineChars="0"/>
        <w:jc w:val="center"/>
        <w:textAlignment w:val="auto"/>
        <w:rPr>
          <w:rFonts w:hint="eastAsia" w:ascii="宋体" w:hAnsi="宋体" w:eastAsia="宋体" w:cs="宋体"/>
          <w:b/>
          <w:color w:val="auto"/>
          <w:sz w:val="44"/>
          <w:szCs w:val="44"/>
        </w:rPr>
      </w:pPr>
      <w:r>
        <w:rPr>
          <w:rFonts w:hint="eastAsia" w:ascii="宋体" w:hAnsi="宋体" w:eastAsia="宋体" w:cs="宋体"/>
          <w:b/>
          <w:color w:val="auto"/>
          <w:sz w:val="44"/>
          <w:szCs w:val="44"/>
        </w:rPr>
        <w:t>项目编号：</w:t>
      </w:r>
      <w:r>
        <w:rPr>
          <w:rFonts w:hint="eastAsia" w:ascii="宋体" w:hAnsi="宋体" w:cs="宋体"/>
          <w:b/>
          <w:color w:val="auto"/>
          <w:sz w:val="44"/>
          <w:szCs w:val="44"/>
          <w:lang w:eastAsia="zh-CN"/>
        </w:rPr>
        <w:t>3324-DH2430F2337</w:t>
      </w:r>
    </w:p>
    <w:p w14:paraId="4A382580">
      <w:pPr>
        <w:pStyle w:val="84"/>
        <w:keepNext w:val="0"/>
        <w:keepLines w:val="0"/>
        <w:pageBreakBefore w:val="0"/>
        <w:widowControl w:val="0"/>
        <w:tabs>
          <w:tab w:val="left" w:pos="0"/>
          <w:tab w:val="left" w:pos="993"/>
          <w:tab w:val="left" w:pos="1134"/>
        </w:tabs>
        <w:kinsoku/>
        <w:wordWrap w:val="0"/>
        <w:overflowPunct/>
        <w:topLinePunct w:val="0"/>
        <w:autoSpaceDE/>
        <w:autoSpaceDN/>
        <w:bidi w:val="0"/>
        <w:adjustRightInd/>
        <w:snapToGrid/>
        <w:ind w:left="0" w:leftChars="0" w:firstLine="0" w:firstLineChars="0"/>
        <w:jc w:val="center"/>
        <w:textAlignment w:val="auto"/>
        <w:rPr>
          <w:rFonts w:hint="eastAsia" w:ascii="宋体" w:hAnsi="宋体" w:eastAsia="宋体" w:cs="宋体"/>
          <w:b/>
          <w:color w:val="auto"/>
          <w:sz w:val="44"/>
          <w:szCs w:val="44"/>
          <w:lang w:eastAsia="zh-CN"/>
        </w:rPr>
      </w:pPr>
      <w:r>
        <w:rPr>
          <w:rFonts w:hint="eastAsia" w:ascii="宋体" w:hAnsi="宋体" w:eastAsia="宋体" w:cs="宋体"/>
          <w:b/>
          <w:color w:val="auto"/>
          <w:sz w:val="44"/>
          <w:szCs w:val="44"/>
          <w:lang w:eastAsia="zh-CN"/>
        </w:rPr>
        <w:t>项目名称：</w:t>
      </w:r>
      <w:r>
        <w:rPr>
          <w:rFonts w:hint="eastAsia" w:ascii="宋体" w:hAnsi="宋体" w:cs="宋体"/>
          <w:b/>
          <w:color w:val="auto"/>
          <w:sz w:val="44"/>
          <w:szCs w:val="44"/>
          <w:lang w:eastAsia="zh-CN"/>
        </w:rPr>
        <w:t>广东省深圳市消防救援支队大亚湾特勤大队2024年食材配送服务采购项目</w:t>
      </w:r>
    </w:p>
    <w:p w14:paraId="6262E219">
      <w:pPr>
        <w:pStyle w:val="84"/>
        <w:tabs>
          <w:tab w:val="left" w:pos="0"/>
          <w:tab w:val="left" w:pos="993"/>
          <w:tab w:val="left" w:pos="1134"/>
        </w:tabs>
        <w:rPr>
          <w:rFonts w:ascii="Times New Roman" w:hAnsi="Times New Roman"/>
          <w:color w:val="auto"/>
        </w:rPr>
      </w:pPr>
    </w:p>
    <w:p w14:paraId="7B26D269">
      <w:pPr>
        <w:jc w:val="center"/>
        <w:rPr>
          <w:b/>
          <w:color w:val="auto"/>
          <w:sz w:val="44"/>
          <w:szCs w:val="44"/>
          <w:lang w:eastAsia="zh-CN"/>
        </w:rPr>
      </w:pPr>
      <w:r>
        <w:rPr>
          <w:color w:val="auto"/>
          <w:lang w:eastAsia="zh-CN"/>
        </w:rPr>
        <w:drawing>
          <wp:anchor distT="0" distB="0" distL="114300" distR="114300" simplePos="0" relativeHeight="251659264" behindDoc="1" locked="0" layoutInCell="1" allowOverlap="1">
            <wp:simplePos x="0" y="0"/>
            <wp:positionH relativeFrom="column">
              <wp:posOffset>1734185</wp:posOffset>
            </wp:positionH>
            <wp:positionV relativeFrom="paragraph">
              <wp:posOffset>389255</wp:posOffset>
            </wp:positionV>
            <wp:extent cx="2633980" cy="2094230"/>
            <wp:effectExtent l="0" t="0" r="13970" b="1270"/>
            <wp:wrapTight wrapText="bothSides">
              <wp:wrapPolygon>
                <wp:start x="0" y="0"/>
                <wp:lineTo x="0" y="21417"/>
                <wp:lineTo x="21402" y="21417"/>
                <wp:lineTo x="21402" y="0"/>
                <wp:lineTo x="0" y="0"/>
              </wp:wrapPolygon>
            </wp:wrapTight>
            <wp:docPr id="1" name="图片 2"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公司logo"/>
                    <pic:cNvPicPr>
                      <a:picLocks noChangeAspect="1"/>
                    </pic:cNvPicPr>
                  </pic:nvPicPr>
                  <pic:blipFill>
                    <a:blip r:embed="rId12"/>
                    <a:stretch>
                      <a:fillRect/>
                    </a:stretch>
                  </pic:blipFill>
                  <pic:spPr>
                    <a:xfrm>
                      <a:off x="0" y="0"/>
                      <a:ext cx="2633980" cy="2094230"/>
                    </a:xfrm>
                    <a:prstGeom prst="rect">
                      <a:avLst/>
                    </a:prstGeom>
                    <a:noFill/>
                    <a:ln>
                      <a:noFill/>
                    </a:ln>
                  </pic:spPr>
                </pic:pic>
              </a:graphicData>
            </a:graphic>
          </wp:anchor>
        </w:drawing>
      </w:r>
    </w:p>
    <w:p w14:paraId="33AA6898">
      <w:pPr>
        <w:pStyle w:val="84"/>
        <w:tabs>
          <w:tab w:val="left" w:pos="0"/>
          <w:tab w:val="left" w:pos="993"/>
          <w:tab w:val="left" w:pos="1134"/>
        </w:tabs>
        <w:rPr>
          <w:rFonts w:ascii="Times New Roman" w:hAnsi="Times New Roman"/>
          <w:color w:val="auto"/>
        </w:rPr>
      </w:pPr>
    </w:p>
    <w:p w14:paraId="3CD40DBD">
      <w:pPr>
        <w:jc w:val="center"/>
        <w:rPr>
          <w:b/>
          <w:color w:val="auto"/>
          <w:sz w:val="52"/>
          <w:szCs w:val="52"/>
          <w:lang w:eastAsia="zh-CN"/>
        </w:rPr>
      </w:pPr>
    </w:p>
    <w:p w14:paraId="2A0678AF">
      <w:pPr>
        <w:rPr>
          <w:b/>
          <w:color w:val="auto"/>
          <w:sz w:val="52"/>
          <w:szCs w:val="52"/>
          <w:lang w:eastAsia="zh-CN"/>
        </w:rPr>
      </w:pPr>
    </w:p>
    <w:p w14:paraId="7BD2FD3B">
      <w:pPr>
        <w:rPr>
          <w:b/>
          <w:color w:val="auto"/>
          <w:sz w:val="44"/>
          <w:szCs w:val="44"/>
          <w:lang w:eastAsia="zh-CN"/>
        </w:rPr>
      </w:pPr>
    </w:p>
    <w:p w14:paraId="4E8C12CD">
      <w:pPr>
        <w:jc w:val="center"/>
        <w:rPr>
          <w:b/>
          <w:color w:val="auto"/>
          <w:sz w:val="44"/>
          <w:szCs w:val="44"/>
          <w:lang w:eastAsia="zh-CN"/>
        </w:rPr>
      </w:pPr>
    </w:p>
    <w:p w14:paraId="1E5AB050">
      <w:pPr>
        <w:jc w:val="center"/>
        <w:rPr>
          <w:b/>
          <w:color w:val="auto"/>
          <w:sz w:val="44"/>
          <w:szCs w:val="44"/>
          <w:lang w:eastAsia="zh-CN"/>
        </w:rPr>
      </w:pPr>
      <w:r>
        <w:rPr>
          <w:b/>
          <w:color w:val="auto"/>
          <w:sz w:val="44"/>
          <w:szCs w:val="44"/>
          <w:lang w:eastAsia="zh-CN"/>
        </w:rPr>
        <w:t>深圳市东海国际招标有限公司</w:t>
      </w:r>
    </w:p>
    <w:p w14:paraId="078DA0D2">
      <w:pPr>
        <w:pStyle w:val="84"/>
        <w:tabs>
          <w:tab w:val="left" w:pos="0"/>
          <w:tab w:val="left" w:pos="993"/>
          <w:tab w:val="left" w:pos="1134"/>
        </w:tabs>
        <w:rPr>
          <w:rFonts w:ascii="Times New Roman" w:hAnsi="Times New Roman"/>
          <w:color w:val="auto"/>
        </w:rPr>
      </w:pPr>
    </w:p>
    <w:p w14:paraId="60906EC3">
      <w:pPr>
        <w:tabs>
          <w:tab w:val="clear" w:pos="426"/>
        </w:tabs>
        <w:jc w:val="center"/>
        <w:rPr>
          <w:b/>
          <w:sz w:val="32"/>
          <w:szCs w:val="32"/>
          <w:highlight w:val="none"/>
        </w:rPr>
      </w:pPr>
      <w:r>
        <w:rPr>
          <w:b/>
          <w:bCs/>
          <w:color w:val="auto"/>
          <w:sz w:val="44"/>
          <w:szCs w:val="44"/>
          <w:lang w:eastAsia="zh-CN"/>
        </w:rPr>
        <w:t>二〇二</w:t>
      </w:r>
      <w:r>
        <w:rPr>
          <w:rFonts w:hint="eastAsia"/>
          <w:b/>
          <w:bCs/>
          <w:color w:val="auto"/>
          <w:sz w:val="44"/>
          <w:szCs w:val="44"/>
          <w:lang w:eastAsia="zh-CN"/>
        </w:rPr>
        <w:t>四</w:t>
      </w:r>
      <w:r>
        <w:rPr>
          <w:b/>
          <w:bCs/>
          <w:color w:val="auto"/>
          <w:sz w:val="44"/>
          <w:szCs w:val="44"/>
          <w:lang w:eastAsia="zh-CN"/>
        </w:rPr>
        <w:t xml:space="preserve">年 </w:t>
      </w:r>
      <w:r>
        <w:rPr>
          <w:b/>
          <w:color w:val="auto"/>
          <w:sz w:val="44"/>
          <w:szCs w:val="44"/>
          <w:lang w:eastAsia="zh-CN"/>
        </w:rPr>
        <w:t>· 中国深圳</w:t>
      </w:r>
      <w:r>
        <w:rPr>
          <w:highlight w:val="none"/>
        </w:rPr>
        <w:br w:type="page"/>
      </w:r>
      <w:r>
        <w:rPr>
          <w:rFonts w:hint="eastAsia"/>
          <w:b/>
          <w:sz w:val="32"/>
          <w:szCs w:val="32"/>
          <w:highlight w:val="none"/>
        </w:rPr>
        <w:t>目      录</w:t>
      </w:r>
    </w:p>
    <w:p w14:paraId="22964A26">
      <w:pPr>
        <w:tabs>
          <w:tab w:val="clear" w:pos="426"/>
        </w:tabs>
        <w:jc w:val="center"/>
        <w:rPr>
          <w:sz w:val="32"/>
          <w:szCs w:val="32"/>
          <w:highlight w:val="none"/>
        </w:rPr>
      </w:pPr>
    </w:p>
    <w:p w14:paraId="6250A91F">
      <w:pPr>
        <w:pStyle w:val="57"/>
        <w:tabs>
          <w:tab w:val="right" w:leader="dot" w:pos="9354"/>
          <w:tab w:val="clear" w:pos="426"/>
          <w:tab w:val="clear" w:pos="8789"/>
        </w:tabs>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_Toc16196 </w:instrText>
      </w:r>
      <w:r>
        <w:rPr>
          <w:highlight w:val="none"/>
        </w:rPr>
        <w:fldChar w:fldCharType="separate"/>
      </w:r>
      <w:r>
        <w:rPr>
          <w:rFonts w:hint="eastAsia" w:ascii="宋体"/>
          <w:bCs w:val="0"/>
          <w:szCs w:val="36"/>
          <w:highlight w:val="none"/>
        </w:rPr>
        <w:t>资格、符合性评审条款</w:t>
      </w:r>
      <w:r>
        <w:tab/>
      </w:r>
      <w:r>
        <w:fldChar w:fldCharType="begin"/>
      </w:r>
      <w:r>
        <w:instrText xml:space="preserve"> PAGEREF _Toc16196 \h </w:instrText>
      </w:r>
      <w:r>
        <w:fldChar w:fldCharType="separate"/>
      </w:r>
      <w:r>
        <w:t>1</w:t>
      </w:r>
      <w:r>
        <w:fldChar w:fldCharType="end"/>
      </w:r>
      <w:r>
        <w:rPr>
          <w:highlight w:val="none"/>
        </w:rPr>
        <w:fldChar w:fldCharType="end"/>
      </w:r>
    </w:p>
    <w:p w14:paraId="61598DEA">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_Toc4247 </w:instrText>
      </w:r>
      <w:r>
        <w:rPr>
          <w:smallCaps/>
          <w:highlight w:val="none"/>
        </w:rPr>
        <w:fldChar w:fldCharType="separate"/>
      </w:r>
      <w:r>
        <w:rPr>
          <w:rFonts w:hint="eastAsia" w:ascii="宋体"/>
          <w:bCs w:val="0"/>
          <w:szCs w:val="36"/>
          <w:highlight w:val="none"/>
        </w:rPr>
        <w:t>评标信息</w:t>
      </w:r>
      <w:r>
        <w:tab/>
      </w:r>
      <w:r>
        <w:fldChar w:fldCharType="begin"/>
      </w:r>
      <w:r>
        <w:instrText xml:space="preserve"> PAGEREF _Toc4247 \h </w:instrText>
      </w:r>
      <w:r>
        <w:fldChar w:fldCharType="separate"/>
      </w:r>
      <w:r>
        <w:t>2</w:t>
      </w:r>
      <w:r>
        <w:fldChar w:fldCharType="end"/>
      </w:r>
      <w:r>
        <w:rPr>
          <w:smallCaps/>
          <w:highlight w:val="none"/>
        </w:rPr>
        <w:fldChar w:fldCharType="end"/>
      </w:r>
    </w:p>
    <w:p w14:paraId="0F97D30D">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_Toc28136 </w:instrText>
      </w:r>
      <w:r>
        <w:rPr>
          <w:smallCaps/>
          <w:highlight w:val="none"/>
        </w:rPr>
        <w:fldChar w:fldCharType="separate"/>
      </w:r>
      <w:r>
        <w:rPr>
          <w:rFonts w:hint="eastAsia"/>
          <w:highlight w:val="none"/>
        </w:rPr>
        <w:t>第一册专用条款</w:t>
      </w:r>
      <w:r>
        <w:tab/>
      </w:r>
      <w:r>
        <w:fldChar w:fldCharType="begin"/>
      </w:r>
      <w:r>
        <w:instrText xml:space="preserve"> PAGEREF _Toc28136 \h </w:instrText>
      </w:r>
      <w:r>
        <w:fldChar w:fldCharType="separate"/>
      </w:r>
      <w:r>
        <w:t>9</w:t>
      </w:r>
      <w:r>
        <w:fldChar w:fldCharType="end"/>
      </w:r>
      <w:r>
        <w:rPr>
          <w:smallCaps/>
          <w:highlight w:val="none"/>
        </w:rPr>
        <w:fldChar w:fldCharType="end"/>
      </w:r>
    </w:p>
    <w:p w14:paraId="66ACD3DB">
      <w:pPr>
        <w:pStyle w:val="71"/>
        <w:tabs>
          <w:tab w:val="right" w:leader="dot" w:pos="9354"/>
          <w:tab w:val="clear" w:pos="8789"/>
        </w:tabs>
      </w:pPr>
      <w:r>
        <w:rPr>
          <w:smallCaps/>
          <w:highlight w:val="none"/>
        </w:rPr>
        <w:fldChar w:fldCharType="begin"/>
      </w:r>
      <w:r>
        <w:rPr>
          <w:smallCaps/>
          <w:highlight w:val="none"/>
        </w:rPr>
        <w:instrText xml:space="preserve"> HYPERLINK \l _Toc25666 </w:instrText>
      </w:r>
      <w:r>
        <w:rPr>
          <w:smallCaps/>
          <w:highlight w:val="none"/>
        </w:rPr>
        <w:fldChar w:fldCharType="separate"/>
      </w:r>
      <w:r>
        <w:rPr>
          <w:rFonts w:hint="eastAsia"/>
          <w:highlight w:val="none"/>
        </w:rPr>
        <w:t>第一章招标公告</w:t>
      </w:r>
      <w:r>
        <w:tab/>
      </w:r>
      <w:r>
        <w:fldChar w:fldCharType="begin"/>
      </w:r>
      <w:r>
        <w:instrText xml:space="preserve"> PAGEREF _Toc25666 \h </w:instrText>
      </w:r>
      <w:r>
        <w:fldChar w:fldCharType="separate"/>
      </w:r>
      <w:r>
        <w:t>9</w:t>
      </w:r>
      <w:r>
        <w:fldChar w:fldCharType="end"/>
      </w:r>
      <w:r>
        <w:rPr>
          <w:smallCaps/>
          <w:highlight w:val="none"/>
        </w:rPr>
        <w:fldChar w:fldCharType="end"/>
      </w:r>
    </w:p>
    <w:p w14:paraId="3B603039">
      <w:pPr>
        <w:pStyle w:val="71"/>
        <w:tabs>
          <w:tab w:val="right" w:leader="dot" w:pos="9354"/>
          <w:tab w:val="clear" w:pos="8789"/>
        </w:tabs>
      </w:pPr>
      <w:r>
        <w:rPr>
          <w:smallCaps/>
          <w:highlight w:val="none"/>
        </w:rPr>
        <w:fldChar w:fldCharType="begin"/>
      </w:r>
      <w:r>
        <w:rPr>
          <w:smallCaps/>
          <w:highlight w:val="none"/>
        </w:rPr>
        <w:instrText xml:space="preserve"> HYPERLINK \l _Toc9093 </w:instrText>
      </w:r>
      <w:r>
        <w:rPr>
          <w:smallCaps/>
          <w:highlight w:val="none"/>
        </w:rPr>
        <w:fldChar w:fldCharType="separate"/>
      </w:r>
      <w:r>
        <w:rPr>
          <w:rFonts w:hint="eastAsia" w:ascii="宋体" w:hAnsi="宋体" w:eastAsia="宋体" w:cs="宋体"/>
          <w:bCs/>
          <w:szCs w:val="22"/>
          <w:highlight w:val="none"/>
        </w:rPr>
        <w:t>一、项目基本情况</w:t>
      </w:r>
      <w:r>
        <w:tab/>
      </w:r>
      <w:r>
        <w:fldChar w:fldCharType="begin"/>
      </w:r>
      <w:r>
        <w:instrText xml:space="preserve"> PAGEREF _Toc9093 \h </w:instrText>
      </w:r>
      <w:r>
        <w:fldChar w:fldCharType="separate"/>
      </w:r>
      <w:r>
        <w:t>9</w:t>
      </w:r>
      <w:r>
        <w:fldChar w:fldCharType="end"/>
      </w:r>
      <w:r>
        <w:rPr>
          <w:smallCaps/>
          <w:highlight w:val="none"/>
        </w:rPr>
        <w:fldChar w:fldCharType="end"/>
      </w:r>
    </w:p>
    <w:p w14:paraId="1929EC23">
      <w:pPr>
        <w:pStyle w:val="71"/>
        <w:tabs>
          <w:tab w:val="right" w:leader="dot" w:pos="9354"/>
          <w:tab w:val="clear" w:pos="8789"/>
        </w:tabs>
      </w:pPr>
      <w:r>
        <w:rPr>
          <w:smallCaps/>
          <w:highlight w:val="none"/>
        </w:rPr>
        <w:fldChar w:fldCharType="begin"/>
      </w:r>
      <w:r>
        <w:rPr>
          <w:smallCaps/>
          <w:highlight w:val="none"/>
        </w:rPr>
        <w:instrText xml:space="preserve"> HYPERLINK \l _Toc15417 </w:instrText>
      </w:r>
      <w:r>
        <w:rPr>
          <w:smallCaps/>
          <w:highlight w:val="none"/>
        </w:rPr>
        <w:fldChar w:fldCharType="separate"/>
      </w:r>
      <w:r>
        <w:rPr>
          <w:rFonts w:hint="eastAsia" w:ascii="宋体" w:hAnsi="宋体" w:eastAsia="宋体" w:cs="宋体"/>
          <w:szCs w:val="22"/>
          <w:highlight w:val="none"/>
          <w:lang w:eastAsia="zh-CN"/>
        </w:rPr>
        <w:t>二、申请人资格要求</w:t>
      </w:r>
      <w:r>
        <w:tab/>
      </w:r>
      <w:r>
        <w:fldChar w:fldCharType="begin"/>
      </w:r>
      <w:r>
        <w:instrText xml:space="preserve"> PAGEREF _Toc15417 \h </w:instrText>
      </w:r>
      <w:r>
        <w:fldChar w:fldCharType="separate"/>
      </w:r>
      <w:r>
        <w:t>9</w:t>
      </w:r>
      <w:r>
        <w:fldChar w:fldCharType="end"/>
      </w:r>
      <w:r>
        <w:rPr>
          <w:smallCaps/>
          <w:highlight w:val="none"/>
        </w:rPr>
        <w:fldChar w:fldCharType="end"/>
      </w:r>
    </w:p>
    <w:p w14:paraId="7DFF10E6">
      <w:pPr>
        <w:pStyle w:val="71"/>
        <w:tabs>
          <w:tab w:val="right" w:leader="dot" w:pos="9354"/>
          <w:tab w:val="clear" w:pos="8789"/>
        </w:tabs>
      </w:pPr>
      <w:r>
        <w:rPr>
          <w:smallCaps/>
          <w:highlight w:val="none"/>
        </w:rPr>
        <w:fldChar w:fldCharType="begin"/>
      </w:r>
      <w:r>
        <w:rPr>
          <w:smallCaps/>
          <w:highlight w:val="none"/>
        </w:rPr>
        <w:instrText xml:space="preserve"> HYPERLINK \l _Toc30290 </w:instrText>
      </w:r>
      <w:r>
        <w:rPr>
          <w:smallCaps/>
          <w:highlight w:val="none"/>
        </w:rPr>
        <w:fldChar w:fldCharType="separate"/>
      </w:r>
      <w:r>
        <w:rPr>
          <w:rFonts w:hint="eastAsia" w:ascii="宋体" w:hAnsi="宋体" w:eastAsia="宋体" w:cs="宋体"/>
          <w:szCs w:val="22"/>
          <w:highlight w:val="none"/>
        </w:rPr>
        <w:t>三、获取招标文件</w:t>
      </w:r>
      <w:r>
        <w:tab/>
      </w:r>
      <w:r>
        <w:fldChar w:fldCharType="begin"/>
      </w:r>
      <w:r>
        <w:instrText xml:space="preserve"> PAGEREF _Toc30290 \h </w:instrText>
      </w:r>
      <w:r>
        <w:fldChar w:fldCharType="separate"/>
      </w:r>
      <w:r>
        <w:t>10</w:t>
      </w:r>
      <w:r>
        <w:fldChar w:fldCharType="end"/>
      </w:r>
      <w:r>
        <w:rPr>
          <w:smallCaps/>
          <w:highlight w:val="none"/>
        </w:rPr>
        <w:fldChar w:fldCharType="end"/>
      </w:r>
    </w:p>
    <w:p w14:paraId="39EAD897">
      <w:pPr>
        <w:pStyle w:val="71"/>
        <w:tabs>
          <w:tab w:val="right" w:leader="dot" w:pos="9354"/>
          <w:tab w:val="clear" w:pos="8789"/>
        </w:tabs>
      </w:pPr>
      <w:r>
        <w:rPr>
          <w:smallCaps/>
          <w:highlight w:val="none"/>
        </w:rPr>
        <w:fldChar w:fldCharType="begin"/>
      </w:r>
      <w:r>
        <w:rPr>
          <w:smallCaps/>
          <w:highlight w:val="none"/>
        </w:rPr>
        <w:instrText xml:space="preserve"> HYPERLINK \l _Toc25687 </w:instrText>
      </w:r>
      <w:r>
        <w:rPr>
          <w:smallCaps/>
          <w:highlight w:val="none"/>
        </w:rPr>
        <w:fldChar w:fldCharType="separate"/>
      </w:r>
      <w:r>
        <w:rPr>
          <w:rFonts w:hint="eastAsia" w:ascii="宋体" w:hAnsi="宋体" w:eastAsia="宋体" w:cs="宋体"/>
          <w:szCs w:val="22"/>
          <w:highlight w:val="none"/>
          <w:lang w:eastAsia="zh-CN"/>
        </w:rPr>
        <w:t>四、提交投标文件截止时间、开标时间和地点</w:t>
      </w:r>
      <w:r>
        <w:tab/>
      </w:r>
      <w:r>
        <w:fldChar w:fldCharType="begin"/>
      </w:r>
      <w:r>
        <w:instrText xml:space="preserve"> PAGEREF _Toc25687 \h </w:instrText>
      </w:r>
      <w:r>
        <w:fldChar w:fldCharType="separate"/>
      </w:r>
      <w:r>
        <w:t>11</w:t>
      </w:r>
      <w:r>
        <w:fldChar w:fldCharType="end"/>
      </w:r>
      <w:r>
        <w:rPr>
          <w:smallCaps/>
          <w:highlight w:val="none"/>
        </w:rPr>
        <w:fldChar w:fldCharType="end"/>
      </w:r>
    </w:p>
    <w:p w14:paraId="5AB75138">
      <w:pPr>
        <w:pStyle w:val="71"/>
        <w:tabs>
          <w:tab w:val="right" w:leader="dot" w:pos="9354"/>
          <w:tab w:val="clear" w:pos="8789"/>
        </w:tabs>
      </w:pPr>
      <w:r>
        <w:rPr>
          <w:smallCaps/>
          <w:highlight w:val="none"/>
        </w:rPr>
        <w:fldChar w:fldCharType="begin"/>
      </w:r>
      <w:r>
        <w:rPr>
          <w:smallCaps/>
          <w:highlight w:val="none"/>
        </w:rPr>
        <w:instrText xml:space="preserve"> HYPERLINK \l _Toc2697 </w:instrText>
      </w:r>
      <w:r>
        <w:rPr>
          <w:smallCaps/>
          <w:highlight w:val="none"/>
        </w:rPr>
        <w:fldChar w:fldCharType="separate"/>
      </w:r>
      <w:r>
        <w:rPr>
          <w:rFonts w:hint="eastAsia" w:ascii="宋体" w:hAnsi="宋体" w:eastAsia="宋体" w:cs="宋体"/>
          <w:szCs w:val="22"/>
          <w:highlight w:val="none"/>
          <w:lang w:eastAsia="zh-CN"/>
        </w:rPr>
        <w:t>五、公告期限</w:t>
      </w:r>
      <w:r>
        <w:tab/>
      </w:r>
      <w:r>
        <w:fldChar w:fldCharType="begin"/>
      </w:r>
      <w:r>
        <w:instrText xml:space="preserve"> PAGEREF _Toc2697 \h </w:instrText>
      </w:r>
      <w:r>
        <w:fldChar w:fldCharType="separate"/>
      </w:r>
      <w:r>
        <w:t>11</w:t>
      </w:r>
      <w:r>
        <w:fldChar w:fldCharType="end"/>
      </w:r>
      <w:r>
        <w:rPr>
          <w:smallCaps/>
          <w:highlight w:val="none"/>
        </w:rPr>
        <w:fldChar w:fldCharType="end"/>
      </w:r>
    </w:p>
    <w:p w14:paraId="7D42F3EA">
      <w:pPr>
        <w:pStyle w:val="71"/>
        <w:tabs>
          <w:tab w:val="right" w:leader="dot" w:pos="9354"/>
          <w:tab w:val="clear" w:pos="8789"/>
        </w:tabs>
      </w:pPr>
      <w:r>
        <w:rPr>
          <w:smallCaps/>
          <w:highlight w:val="none"/>
        </w:rPr>
        <w:fldChar w:fldCharType="begin"/>
      </w:r>
      <w:r>
        <w:rPr>
          <w:smallCaps/>
          <w:highlight w:val="none"/>
        </w:rPr>
        <w:instrText xml:space="preserve"> HYPERLINK \l _Toc14239 </w:instrText>
      </w:r>
      <w:r>
        <w:rPr>
          <w:smallCaps/>
          <w:highlight w:val="none"/>
        </w:rPr>
        <w:fldChar w:fldCharType="separate"/>
      </w:r>
      <w:r>
        <w:rPr>
          <w:rFonts w:hint="eastAsia" w:ascii="宋体" w:hAnsi="宋体" w:eastAsia="宋体" w:cs="宋体"/>
          <w:szCs w:val="22"/>
          <w:highlight w:val="none"/>
          <w:lang w:eastAsia="zh-CN"/>
        </w:rPr>
        <w:t>六、其他补充事宜</w:t>
      </w:r>
      <w:r>
        <w:tab/>
      </w:r>
      <w:r>
        <w:fldChar w:fldCharType="begin"/>
      </w:r>
      <w:r>
        <w:instrText xml:space="preserve"> PAGEREF _Toc14239 \h </w:instrText>
      </w:r>
      <w:r>
        <w:fldChar w:fldCharType="separate"/>
      </w:r>
      <w:r>
        <w:t>11</w:t>
      </w:r>
      <w:r>
        <w:fldChar w:fldCharType="end"/>
      </w:r>
      <w:r>
        <w:rPr>
          <w:smallCaps/>
          <w:highlight w:val="none"/>
        </w:rPr>
        <w:fldChar w:fldCharType="end"/>
      </w:r>
    </w:p>
    <w:p w14:paraId="593C1798">
      <w:pPr>
        <w:pStyle w:val="71"/>
        <w:tabs>
          <w:tab w:val="right" w:leader="dot" w:pos="9354"/>
          <w:tab w:val="clear" w:pos="8789"/>
        </w:tabs>
      </w:pPr>
      <w:r>
        <w:rPr>
          <w:smallCaps/>
          <w:highlight w:val="none"/>
        </w:rPr>
        <w:fldChar w:fldCharType="begin"/>
      </w:r>
      <w:r>
        <w:rPr>
          <w:smallCaps/>
          <w:highlight w:val="none"/>
        </w:rPr>
        <w:instrText xml:space="preserve"> HYPERLINK \l _Toc16395 </w:instrText>
      </w:r>
      <w:r>
        <w:rPr>
          <w:smallCaps/>
          <w:highlight w:val="none"/>
        </w:rPr>
        <w:fldChar w:fldCharType="separate"/>
      </w:r>
      <w:r>
        <w:rPr>
          <w:rFonts w:hint="eastAsia" w:ascii="宋体" w:hAnsi="宋体" w:eastAsia="宋体" w:cs="宋体"/>
          <w:szCs w:val="22"/>
          <w:highlight w:val="none"/>
          <w:lang w:eastAsia="zh-CN"/>
        </w:rPr>
        <w:t>七、对本次招标提出询问，请按以下方式联系</w:t>
      </w:r>
      <w:r>
        <w:tab/>
      </w:r>
      <w:r>
        <w:fldChar w:fldCharType="begin"/>
      </w:r>
      <w:r>
        <w:instrText xml:space="preserve"> PAGEREF _Toc16395 \h </w:instrText>
      </w:r>
      <w:r>
        <w:fldChar w:fldCharType="separate"/>
      </w:r>
      <w:r>
        <w:t>11</w:t>
      </w:r>
      <w:r>
        <w:fldChar w:fldCharType="end"/>
      </w:r>
      <w:r>
        <w:rPr>
          <w:smallCaps/>
          <w:highlight w:val="none"/>
        </w:rPr>
        <w:fldChar w:fldCharType="end"/>
      </w:r>
    </w:p>
    <w:p w14:paraId="4F4E8153">
      <w:pPr>
        <w:pStyle w:val="71"/>
        <w:tabs>
          <w:tab w:val="right" w:leader="dot" w:pos="9354"/>
          <w:tab w:val="clear" w:pos="8789"/>
        </w:tabs>
      </w:pPr>
      <w:r>
        <w:rPr>
          <w:smallCaps/>
          <w:highlight w:val="none"/>
        </w:rPr>
        <w:fldChar w:fldCharType="begin"/>
      </w:r>
      <w:r>
        <w:rPr>
          <w:smallCaps/>
          <w:highlight w:val="none"/>
        </w:rPr>
        <w:instrText xml:space="preserve"> HYPERLINK \l _Toc27568 </w:instrText>
      </w:r>
      <w:r>
        <w:rPr>
          <w:smallCaps/>
          <w:highlight w:val="none"/>
        </w:rPr>
        <w:fldChar w:fldCharType="separate"/>
      </w:r>
      <w:r>
        <w:rPr>
          <w:rFonts w:hint="eastAsia"/>
          <w:highlight w:val="none"/>
        </w:rPr>
        <w:t>第二章投标须知前附表</w:t>
      </w:r>
      <w:r>
        <w:tab/>
      </w:r>
      <w:r>
        <w:fldChar w:fldCharType="begin"/>
      </w:r>
      <w:r>
        <w:instrText xml:space="preserve"> PAGEREF _Toc27568 \h </w:instrText>
      </w:r>
      <w:r>
        <w:fldChar w:fldCharType="separate"/>
      </w:r>
      <w:r>
        <w:t>13</w:t>
      </w:r>
      <w:r>
        <w:fldChar w:fldCharType="end"/>
      </w:r>
      <w:r>
        <w:rPr>
          <w:smallCaps/>
          <w:highlight w:val="none"/>
        </w:rPr>
        <w:fldChar w:fldCharType="end"/>
      </w:r>
    </w:p>
    <w:p w14:paraId="50F23B9D">
      <w:pPr>
        <w:pStyle w:val="71"/>
        <w:tabs>
          <w:tab w:val="right" w:leader="dot" w:pos="9354"/>
          <w:tab w:val="clear" w:pos="8789"/>
        </w:tabs>
      </w:pPr>
      <w:r>
        <w:rPr>
          <w:smallCaps/>
          <w:highlight w:val="none"/>
        </w:rPr>
        <w:fldChar w:fldCharType="begin"/>
      </w:r>
      <w:r>
        <w:rPr>
          <w:smallCaps/>
          <w:highlight w:val="none"/>
        </w:rPr>
        <w:instrText xml:space="preserve"> HYPERLINK \l _Toc32304 </w:instrText>
      </w:r>
      <w:r>
        <w:rPr>
          <w:smallCaps/>
          <w:highlight w:val="none"/>
        </w:rPr>
        <w:fldChar w:fldCharType="separate"/>
      </w:r>
      <w:r>
        <w:rPr>
          <w:rFonts w:hint="eastAsia"/>
          <w:highlight w:val="none"/>
        </w:rPr>
        <w:t>第三章项目需求</w:t>
      </w:r>
      <w:r>
        <w:tab/>
      </w:r>
      <w:r>
        <w:fldChar w:fldCharType="begin"/>
      </w:r>
      <w:r>
        <w:instrText xml:space="preserve"> PAGEREF _Toc32304 \h </w:instrText>
      </w:r>
      <w:r>
        <w:fldChar w:fldCharType="separate"/>
      </w:r>
      <w:r>
        <w:t>14</w:t>
      </w:r>
      <w:r>
        <w:fldChar w:fldCharType="end"/>
      </w:r>
      <w:r>
        <w:rPr>
          <w:smallCaps/>
          <w:highlight w:val="none"/>
        </w:rPr>
        <w:fldChar w:fldCharType="end"/>
      </w:r>
    </w:p>
    <w:p w14:paraId="595A1EAF">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_Toc6615 </w:instrText>
      </w:r>
      <w:r>
        <w:rPr>
          <w:i w:val="0"/>
          <w:iCs w:val="0"/>
          <w:smallCaps/>
          <w:highlight w:val="none"/>
        </w:rPr>
        <w:fldChar w:fldCharType="separate"/>
      </w:r>
      <w:r>
        <w:rPr>
          <w:rFonts w:hint="eastAsia"/>
          <w:i w:val="0"/>
          <w:iCs w:val="0"/>
          <w:highlight w:val="none"/>
        </w:rPr>
        <w:t>一、项目清单</w:t>
      </w:r>
      <w:r>
        <w:rPr>
          <w:i w:val="0"/>
          <w:iCs w:val="0"/>
        </w:rPr>
        <w:tab/>
      </w:r>
      <w:r>
        <w:rPr>
          <w:i w:val="0"/>
          <w:iCs w:val="0"/>
        </w:rPr>
        <w:fldChar w:fldCharType="begin"/>
      </w:r>
      <w:r>
        <w:rPr>
          <w:i w:val="0"/>
          <w:iCs w:val="0"/>
        </w:rPr>
        <w:instrText xml:space="preserve"> PAGEREF _Toc6615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3F310473">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_Toc21279 </w:instrText>
      </w:r>
      <w:r>
        <w:rPr>
          <w:i w:val="0"/>
          <w:iCs w:val="0"/>
          <w:smallCaps/>
          <w:highlight w:val="none"/>
        </w:rPr>
        <w:fldChar w:fldCharType="separate"/>
      </w:r>
      <w:r>
        <w:rPr>
          <w:rFonts w:hint="eastAsia"/>
          <w:i w:val="0"/>
          <w:iCs w:val="0"/>
          <w:highlight w:val="none"/>
        </w:rPr>
        <w:t>二、实质性响应条款</w:t>
      </w:r>
      <w:r>
        <w:rPr>
          <w:i w:val="0"/>
          <w:iCs w:val="0"/>
        </w:rPr>
        <w:tab/>
      </w:r>
      <w:r>
        <w:rPr>
          <w:i w:val="0"/>
          <w:iCs w:val="0"/>
        </w:rPr>
        <w:fldChar w:fldCharType="begin"/>
      </w:r>
      <w:r>
        <w:rPr>
          <w:i w:val="0"/>
          <w:iCs w:val="0"/>
        </w:rPr>
        <w:instrText xml:space="preserve"> PAGEREF _Toc21279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0FA82AF6">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_Toc12666 </w:instrText>
      </w:r>
      <w:r>
        <w:rPr>
          <w:i w:val="0"/>
          <w:iCs w:val="0"/>
          <w:smallCaps/>
          <w:highlight w:val="none"/>
        </w:rPr>
        <w:fldChar w:fldCharType="separate"/>
      </w:r>
      <w:r>
        <w:rPr>
          <w:rFonts w:hint="eastAsia"/>
          <w:i w:val="0"/>
          <w:iCs w:val="0"/>
          <w:highlight w:val="none"/>
        </w:rPr>
        <w:t>三、项目概况</w:t>
      </w:r>
      <w:r>
        <w:rPr>
          <w:i w:val="0"/>
          <w:iCs w:val="0"/>
        </w:rPr>
        <w:tab/>
      </w:r>
      <w:r>
        <w:rPr>
          <w:i w:val="0"/>
          <w:iCs w:val="0"/>
        </w:rPr>
        <w:fldChar w:fldCharType="begin"/>
      </w:r>
      <w:r>
        <w:rPr>
          <w:i w:val="0"/>
          <w:iCs w:val="0"/>
        </w:rPr>
        <w:instrText xml:space="preserve"> PAGEREF _Toc12666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32E6BC77">
      <w:pPr>
        <w:pStyle w:val="43"/>
        <w:tabs>
          <w:tab w:val="right" w:leader="dot" w:pos="9354"/>
          <w:tab w:val="clear" w:pos="426"/>
        </w:tabs>
        <w:rPr>
          <w:i w:val="0"/>
          <w:iCs w:val="0"/>
        </w:rPr>
      </w:pPr>
      <w:r>
        <w:rPr>
          <w:i w:val="0"/>
          <w:iCs w:val="0"/>
          <w:smallCaps/>
          <w:highlight w:val="none"/>
        </w:rPr>
        <w:fldChar w:fldCharType="begin"/>
      </w:r>
      <w:r>
        <w:rPr>
          <w:i w:val="0"/>
          <w:iCs w:val="0"/>
          <w:smallCaps/>
          <w:highlight w:val="none"/>
        </w:rPr>
        <w:instrText xml:space="preserve"> HYPERLINK \l _Toc11008 </w:instrText>
      </w:r>
      <w:r>
        <w:rPr>
          <w:i w:val="0"/>
          <w:iCs w:val="0"/>
          <w:smallCaps/>
          <w:highlight w:val="none"/>
        </w:rPr>
        <w:fldChar w:fldCharType="separate"/>
      </w:r>
      <w:r>
        <w:rPr>
          <w:rFonts w:hint="eastAsia"/>
          <w:i w:val="0"/>
          <w:iCs w:val="0"/>
          <w:highlight w:val="none"/>
        </w:rPr>
        <w:t>四、技术需求</w:t>
      </w:r>
      <w:r>
        <w:rPr>
          <w:i w:val="0"/>
          <w:iCs w:val="0"/>
        </w:rPr>
        <w:tab/>
      </w:r>
      <w:r>
        <w:rPr>
          <w:i w:val="0"/>
          <w:iCs w:val="0"/>
        </w:rPr>
        <w:fldChar w:fldCharType="begin"/>
      </w:r>
      <w:r>
        <w:rPr>
          <w:i w:val="0"/>
          <w:iCs w:val="0"/>
        </w:rPr>
        <w:instrText xml:space="preserve"> PAGEREF _Toc11008 \h </w:instrText>
      </w:r>
      <w:r>
        <w:rPr>
          <w:i w:val="0"/>
          <w:iCs w:val="0"/>
        </w:rPr>
        <w:fldChar w:fldCharType="separate"/>
      </w:r>
      <w:r>
        <w:rPr>
          <w:i w:val="0"/>
          <w:iCs w:val="0"/>
        </w:rPr>
        <w:t>14</w:t>
      </w:r>
      <w:r>
        <w:rPr>
          <w:i w:val="0"/>
          <w:iCs w:val="0"/>
        </w:rPr>
        <w:fldChar w:fldCharType="end"/>
      </w:r>
      <w:r>
        <w:rPr>
          <w:i w:val="0"/>
          <w:iCs w:val="0"/>
          <w:smallCaps/>
          <w:highlight w:val="none"/>
        </w:rPr>
        <w:fldChar w:fldCharType="end"/>
      </w:r>
    </w:p>
    <w:p w14:paraId="5401E0F2">
      <w:pPr>
        <w:pStyle w:val="43"/>
        <w:tabs>
          <w:tab w:val="right" w:leader="dot" w:pos="9354"/>
          <w:tab w:val="clear" w:pos="426"/>
        </w:tabs>
      </w:pPr>
      <w:r>
        <w:rPr>
          <w:i w:val="0"/>
          <w:iCs w:val="0"/>
          <w:smallCaps/>
          <w:highlight w:val="none"/>
        </w:rPr>
        <w:fldChar w:fldCharType="begin"/>
      </w:r>
      <w:r>
        <w:rPr>
          <w:i w:val="0"/>
          <w:iCs w:val="0"/>
          <w:smallCaps/>
          <w:highlight w:val="none"/>
        </w:rPr>
        <w:instrText xml:space="preserve"> HYPERLINK \l _Toc10011 </w:instrText>
      </w:r>
      <w:r>
        <w:rPr>
          <w:i w:val="0"/>
          <w:iCs w:val="0"/>
          <w:smallCaps/>
          <w:highlight w:val="none"/>
        </w:rPr>
        <w:fldChar w:fldCharType="separate"/>
      </w:r>
      <w:r>
        <w:rPr>
          <w:rFonts w:hint="eastAsia"/>
          <w:i w:val="0"/>
          <w:iCs w:val="0"/>
          <w:highlight w:val="none"/>
        </w:rPr>
        <w:t>五、商务需求</w:t>
      </w:r>
      <w:r>
        <w:rPr>
          <w:i w:val="0"/>
          <w:iCs w:val="0"/>
        </w:rPr>
        <w:tab/>
      </w:r>
      <w:r>
        <w:rPr>
          <w:i w:val="0"/>
          <w:iCs w:val="0"/>
        </w:rPr>
        <w:fldChar w:fldCharType="begin"/>
      </w:r>
      <w:r>
        <w:rPr>
          <w:i w:val="0"/>
          <w:iCs w:val="0"/>
        </w:rPr>
        <w:instrText xml:space="preserve"> PAGEREF _Toc10011 \h </w:instrText>
      </w:r>
      <w:r>
        <w:rPr>
          <w:i w:val="0"/>
          <w:iCs w:val="0"/>
        </w:rPr>
        <w:fldChar w:fldCharType="separate"/>
      </w:r>
      <w:r>
        <w:rPr>
          <w:i w:val="0"/>
          <w:iCs w:val="0"/>
        </w:rPr>
        <w:t>16</w:t>
      </w:r>
      <w:r>
        <w:rPr>
          <w:i w:val="0"/>
          <w:iCs w:val="0"/>
        </w:rPr>
        <w:fldChar w:fldCharType="end"/>
      </w:r>
      <w:r>
        <w:rPr>
          <w:i w:val="0"/>
          <w:iCs w:val="0"/>
          <w:smallCaps/>
          <w:highlight w:val="none"/>
        </w:rPr>
        <w:fldChar w:fldCharType="end"/>
      </w:r>
    </w:p>
    <w:p w14:paraId="45783B26">
      <w:pPr>
        <w:pStyle w:val="71"/>
        <w:tabs>
          <w:tab w:val="right" w:leader="dot" w:pos="9354"/>
          <w:tab w:val="clear" w:pos="8789"/>
        </w:tabs>
      </w:pPr>
      <w:r>
        <w:rPr>
          <w:smallCaps/>
          <w:highlight w:val="none"/>
        </w:rPr>
        <w:fldChar w:fldCharType="begin"/>
      </w:r>
      <w:r>
        <w:rPr>
          <w:smallCaps/>
          <w:highlight w:val="none"/>
        </w:rPr>
        <w:instrText xml:space="preserve"> HYPERLINK \l _Toc3144 </w:instrText>
      </w:r>
      <w:r>
        <w:rPr>
          <w:smallCaps/>
          <w:highlight w:val="none"/>
        </w:rPr>
        <w:fldChar w:fldCharType="separate"/>
      </w:r>
      <w:r>
        <w:rPr>
          <w:rFonts w:hint="eastAsia"/>
          <w:highlight w:val="none"/>
        </w:rPr>
        <w:t>第四章采购合同的签订、履约及验收</w:t>
      </w:r>
      <w:r>
        <w:tab/>
      </w:r>
      <w:r>
        <w:fldChar w:fldCharType="begin"/>
      </w:r>
      <w:r>
        <w:instrText xml:space="preserve"> PAGEREF _Toc3144 \h </w:instrText>
      </w:r>
      <w:r>
        <w:fldChar w:fldCharType="separate"/>
      </w:r>
      <w:r>
        <w:t>20</w:t>
      </w:r>
      <w:r>
        <w:fldChar w:fldCharType="end"/>
      </w:r>
      <w:r>
        <w:rPr>
          <w:smallCaps/>
          <w:highlight w:val="none"/>
        </w:rPr>
        <w:fldChar w:fldCharType="end"/>
      </w:r>
    </w:p>
    <w:p w14:paraId="7B337DF5">
      <w:pPr>
        <w:pStyle w:val="71"/>
        <w:tabs>
          <w:tab w:val="right" w:leader="dot" w:pos="9354"/>
          <w:tab w:val="clear" w:pos="8789"/>
        </w:tabs>
      </w:pPr>
      <w:r>
        <w:rPr>
          <w:smallCaps/>
          <w:highlight w:val="none"/>
        </w:rPr>
        <w:fldChar w:fldCharType="begin"/>
      </w:r>
      <w:r>
        <w:rPr>
          <w:smallCaps/>
          <w:highlight w:val="none"/>
        </w:rPr>
        <w:instrText xml:space="preserve"> HYPERLINK \l _Toc1107 </w:instrText>
      </w:r>
      <w:r>
        <w:rPr>
          <w:smallCaps/>
          <w:highlight w:val="none"/>
        </w:rPr>
        <w:fldChar w:fldCharType="separate"/>
      </w:r>
      <w:r>
        <w:rPr>
          <w:rFonts w:hint="eastAsia"/>
          <w:highlight w:val="none"/>
        </w:rPr>
        <w:t>第五章投标文件格式、附件</w:t>
      </w:r>
      <w:r>
        <w:tab/>
      </w:r>
      <w:r>
        <w:fldChar w:fldCharType="begin"/>
      </w:r>
      <w:r>
        <w:instrText xml:space="preserve"> PAGEREF _Toc1107 \h </w:instrText>
      </w:r>
      <w:r>
        <w:fldChar w:fldCharType="separate"/>
      </w:r>
      <w:r>
        <w:t>27</w:t>
      </w:r>
      <w:r>
        <w:fldChar w:fldCharType="end"/>
      </w:r>
      <w:r>
        <w:rPr>
          <w:smallCaps/>
          <w:highlight w:val="none"/>
        </w:rPr>
        <w:fldChar w:fldCharType="end"/>
      </w:r>
    </w:p>
    <w:p w14:paraId="39F5C3F1">
      <w:pPr>
        <w:pStyle w:val="57"/>
        <w:tabs>
          <w:tab w:val="right" w:leader="dot" w:pos="9354"/>
          <w:tab w:val="clear" w:pos="426"/>
          <w:tab w:val="clear" w:pos="8789"/>
        </w:tabs>
      </w:pPr>
      <w:r>
        <w:rPr>
          <w:smallCaps/>
          <w:highlight w:val="none"/>
        </w:rPr>
        <w:fldChar w:fldCharType="begin"/>
      </w:r>
      <w:r>
        <w:rPr>
          <w:smallCaps/>
          <w:highlight w:val="none"/>
        </w:rPr>
        <w:instrText xml:space="preserve"> HYPERLINK \l _Toc24624 </w:instrText>
      </w:r>
      <w:r>
        <w:rPr>
          <w:smallCaps/>
          <w:highlight w:val="none"/>
        </w:rPr>
        <w:fldChar w:fldCharType="separate"/>
      </w:r>
      <w:r>
        <w:rPr>
          <w:rFonts w:hint="eastAsia"/>
          <w:highlight w:val="none"/>
        </w:rPr>
        <w:t>第二册通用条款</w:t>
      </w:r>
      <w:r>
        <w:tab/>
      </w:r>
      <w:r>
        <w:fldChar w:fldCharType="begin"/>
      </w:r>
      <w:r>
        <w:instrText xml:space="preserve"> PAGEREF _Toc24624 \h </w:instrText>
      </w:r>
      <w:r>
        <w:fldChar w:fldCharType="separate"/>
      </w:r>
      <w:r>
        <w:t>58</w:t>
      </w:r>
      <w:r>
        <w:fldChar w:fldCharType="end"/>
      </w:r>
      <w:r>
        <w:rPr>
          <w:smallCaps/>
          <w:highlight w:val="none"/>
        </w:rPr>
        <w:fldChar w:fldCharType="end"/>
      </w:r>
    </w:p>
    <w:p w14:paraId="53CD7287">
      <w:pPr>
        <w:pStyle w:val="71"/>
        <w:tabs>
          <w:tab w:val="right" w:leader="dot" w:pos="9354"/>
          <w:tab w:val="clear" w:pos="8789"/>
        </w:tabs>
      </w:pPr>
      <w:r>
        <w:rPr>
          <w:smallCaps/>
          <w:highlight w:val="none"/>
        </w:rPr>
        <w:fldChar w:fldCharType="begin"/>
      </w:r>
      <w:r>
        <w:rPr>
          <w:smallCaps/>
          <w:highlight w:val="none"/>
        </w:rPr>
        <w:instrText xml:space="preserve"> HYPERLINK \l _Toc17489 </w:instrText>
      </w:r>
      <w:r>
        <w:rPr>
          <w:smallCaps/>
          <w:highlight w:val="none"/>
        </w:rPr>
        <w:fldChar w:fldCharType="separate"/>
      </w:r>
      <w:r>
        <w:rPr>
          <w:rFonts w:hint="eastAsia" w:ascii="宋体" w:hAnsi="宋体" w:eastAsia="宋体" w:cs="宋体"/>
          <w:szCs w:val="22"/>
          <w:highlight w:val="none"/>
        </w:rPr>
        <w:t>第一章总则</w:t>
      </w:r>
      <w:r>
        <w:tab/>
      </w:r>
      <w:r>
        <w:fldChar w:fldCharType="begin"/>
      </w:r>
      <w:r>
        <w:instrText xml:space="preserve"> PAGEREF _Toc17489 \h </w:instrText>
      </w:r>
      <w:r>
        <w:fldChar w:fldCharType="separate"/>
      </w:r>
      <w:r>
        <w:t>58</w:t>
      </w:r>
      <w:r>
        <w:fldChar w:fldCharType="end"/>
      </w:r>
      <w:r>
        <w:rPr>
          <w:smallCaps/>
          <w:highlight w:val="none"/>
        </w:rPr>
        <w:fldChar w:fldCharType="end"/>
      </w:r>
    </w:p>
    <w:p w14:paraId="2D159CE4">
      <w:pPr>
        <w:pStyle w:val="71"/>
        <w:tabs>
          <w:tab w:val="right" w:leader="dot" w:pos="9354"/>
          <w:tab w:val="clear" w:pos="8789"/>
        </w:tabs>
      </w:pPr>
      <w:r>
        <w:rPr>
          <w:smallCaps/>
          <w:highlight w:val="none"/>
        </w:rPr>
        <w:fldChar w:fldCharType="begin"/>
      </w:r>
      <w:r>
        <w:rPr>
          <w:smallCaps/>
          <w:highlight w:val="none"/>
        </w:rPr>
        <w:instrText xml:space="preserve"> HYPERLINK \l _Toc9653 </w:instrText>
      </w:r>
      <w:r>
        <w:rPr>
          <w:smallCaps/>
          <w:highlight w:val="none"/>
        </w:rPr>
        <w:fldChar w:fldCharType="separate"/>
      </w:r>
      <w:r>
        <w:rPr>
          <w:rFonts w:hint="eastAsia" w:ascii="宋体" w:hAnsi="宋体" w:eastAsia="宋体" w:cs="宋体"/>
          <w:szCs w:val="22"/>
          <w:highlight w:val="none"/>
        </w:rPr>
        <w:t>第二章招标文件</w:t>
      </w:r>
      <w:r>
        <w:tab/>
      </w:r>
      <w:r>
        <w:fldChar w:fldCharType="begin"/>
      </w:r>
      <w:r>
        <w:instrText xml:space="preserve"> PAGEREF _Toc9653 \h </w:instrText>
      </w:r>
      <w:r>
        <w:fldChar w:fldCharType="separate"/>
      </w:r>
      <w:r>
        <w:t>60</w:t>
      </w:r>
      <w:r>
        <w:fldChar w:fldCharType="end"/>
      </w:r>
      <w:r>
        <w:rPr>
          <w:smallCaps/>
          <w:highlight w:val="none"/>
        </w:rPr>
        <w:fldChar w:fldCharType="end"/>
      </w:r>
    </w:p>
    <w:p w14:paraId="07A10EC6">
      <w:pPr>
        <w:pStyle w:val="71"/>
        <w:tabs>
          <w:tab w:val="right" w:leader="dot" w:pos="9354"/>
          <w:tab w:val="clear" w:pos="8789"/>
        </w:tabs>
      </w:pPr>
      <w:r>
        <w:rPr>
          <w:smallCaps/>
          <w:highlight w:val="none"/>
        </w:rPr>
        <w:fldChar w:fldCharType="begin"/>
      </w:r>
      <w:r>
        <w:rPr>
          <w:smallCaps/>
          <w:highlight w:val="none"/>
        </w:rPr>
        <w:instrText xml:space="preserve"> HYPERLINK \l _Toc14693 </w:instrText>
      </w:r>
      <w:r>
        <w:rPr>
          <w:smallCaps/>
          <w:highlight w:val="none"/>
        </w:rPr>
        <w:fldChar w:fldCharType="separate"/>
      </w:r>
      <w:r>
        <w:rPr>
          <w:rFonts w:hint="eastAsia" w:ascii="宋体" w:hAnsi="宋体" w:eastAsia="宋体" w:cs="宋体"/>
          <w:szCs w:val="22"/>
          <w:highlight w:val="none"/>
        </w:rPr>
        <w:t>第三章投标文件的编制与递交</w:t>
      </w:r>
      <w:r>
        <w:tab/>
      </w:r>
      <w:r>
        <w:fldChar w:fldCharType="begin"/>
      </w:r>
      <w:r>
        <w:instrText xml:space="preserve"> PAGEREF _Toc14693 \h </w:instrText>
      </w:r>
      <w:r>
        <w:fldChar w:fldCharType="separate"/>
      </w:r>
      <w:r>
        <w:t>62</w:t>
      </w:r>
      <w:r>
        <w:fldChar w:fldCharType="end"/>
      </w:r>
      <w:r>
        <w:rPr>
          <w:smallCaps/>
          <w:highlight w:val="none"/>
        </w:rPr>
        <w:fldChar w:fldCharType="end"/>
      </w:r>
    </w:p>
    <w:p w14:paraId="74C40FAD">
      <w:pPr>
        <w:pStyle w:val="71"/>
        <w:tabs>
          <w:tab w:val="right" w:leader="dot" w:pos="9354"/>
          <w:tab w:val="clear" w:pos="8789"/>
        </w:tabs>
      </w:pPr>
      <w:r>
        <w:rPr>
          <w:smallCaps/>
          <w:highlight w:val="none"/>
        </w:rPr>
        <w:fldChar w:fldCharType="begin"/>
      </w:r>
      <w:r>
        <w:rPr>
          <w:smallCaps/>
          <w:highlight w:val="none"/>
        </w:rPr>
        <w:instrText xml:space="preserve"> HYPERLINK \l _Toc29488 </w:instrText>
      </w:r>
      <w:r>
        <w:rPr>
          <w:smallCaps/>
          <w:highlight w:val="none"/>
        </w:rPr>
        <w:fldChar w:fldCharType="separate"/>
      </w:r>
      <w:r>
        <w:rPr>
          <w:rFonts w:hint="eastAsia" w:ascii="宋体" w:hAnsi="宋体" w:eastAsia="宋体" w:cs="宋体"/>
          <w:szCs w:val="22"/>
          <w:highlight w:val="none"/>
        </w:rPr>
        <w:t>第四章开标</w:t>
      </w:r>
      <w:r>
        <w:tab/>
      </w:r>
      <w:r>
        <w:fldChar w:fldCharType="begin"/>
      </w:r>
      <w:r>
        <w:instrText xml:space="preserve"> PAGEREF _Toc29488 \h </w:instrText>
      </w:r>
      <w:r>
        <w:fldChar w:fldCharType="separate"/>
      </w:r>
      <w:r>
        <w:t>65</w:t>
      </w:r>
      <w:r>
        <w:fldChar w:fldCharType="end"/>
      </w:r>
      <w:r>
        <w:rPr>
          <w:smallCaps/>
          <w:highlight w:val="none"/>
        </w:rPr>
        <w:fldChar w:fldCharType="end"/>
      </w:r>
    </w:p>
    <w:p w14:paraId="093D038D">
      <w:pPr>
        <w:pStyle w:val="71"/>
        <w:tabs>
          <w:tab w:val="right" w:leader="dot" w:pos="9354"/>
          <w:tab w:val="clear" w:pos="8789"/>
        </w:tabs>
      </w:pPr>
      <w:r>
        <w:rPr>
          <w:smallCaps/>
          <w:highlight w:val="none"/>
        </w:rPr>
        <w:fldChar w:fldCharType="begin"/>
      </w:r>
      <w:r>
        <w:rPr>
          <w:smallCaps/>
          <w:highlight w:val="none"/>
        </w:rPr>
        <w:instrText xml:space="preserve"> HYPERLINK \l _Toc20973 </w:instrText>
      </w:r>
      <w:r>
        <w:rPr>
          <w:smallCaps/>
          <w:highlight w:val="none"/>
        </w:rPr>
        <w:fldChar w:fldCharType="separate"/>
      </w:r>
      <w:r>
        <w:rPr>
          <w:rFonts w:hint="eastAsia" w:ascii="宋体" w:hAnsi="宋体" w:eastAsia="宋体" w:cs="宋体"/>
          <w:szCs w:val="22"/>
          <w:highlight w:val="none"/>
        </w:rPr>
        <w:t>第五章评标要求</w:t>
      </w:r>
      <w:r>
        <w:tab/>
      </w:r>
      <w:r>
        <w:fldChar w:fldCharType="begin"/>
      </w:r>
      <w:r>
        <w:instrText xml:space="preserve"> PAGEREF _Toc20973 \h </w:instrText>
      </w:r>
      <w:r>
        <w:fldChar w:fldCharType="separate"/>
      </w:r>
      <w:r>
        <w:t>66</w:t>
      </w:r>
      <w:r>
        <w:fldChar w:fldCharType="end"/>
      </w:r>
      <w:r>
        <w:rPr>
          <w:smallCaps/>
          <w:highlight w:val="none"/>
        </w:rPr>
        <w:fldChar w:fldCharType="end"/>
      </w:r>
    </w:p>
    <w:p w14:paraId="3FD0409D">
      <w:pPr>
        <w:pStyle w:val="71"/>
        <w:tabs>
          <w:tab w:val="right" w:leader="dot" w:pos="9354"/>
          <w:tab w:val="clear" w:pos="8789"/>
        </w:tabs>
      </w:pPr>
      <w:r>
        <w:rPr>
          <w:smallCaps/>
          <w:highlight w:val="none"/>
        </w:rPr>
        <w:fldChar w:fldCharType="begin"/>
      </w:r>
      <w:r>
        <w:rPr>
          <w:smallCaps/>
          <w:highlight w:val="none"/>
        </w:rPr>
        <w:instrText xml:space="preserve"> HYPERLINK \l _Toc4426 </w:instrText>
      </w:r>
      <w:r>
        <w:rPr>
          <w:smallCaps/>
          <w:highlight w:val="none"/>
        </w:rPr>
        <w:fldChar w:fldCharType="separate"/>
      </w:r>
      <w:r>
        <w:rPr>
          <w:rFonts w:hint="eastAsia" w:ascii="宋体" w:hAnsi="宋体" w:eastAsia="宋体" w:cs="宋体"/>
          <w:szCs w:val="22"/>
          <w:highlight w:val="none"/>
        </w:rPr>
        <w:t>第六章评标程序及评标方法</w:t>
      </w:r>
      <w:r>
        <w:tab/>
      </w:r>
      <w:r>
        <w:fldChar w:fldCharType="begin"/>
      </w:r>
      <w:r>
        <w:instrText xml:space="preserve"> PAGEREF _Toc4426 \h </w:instrText>
      </w:r>
      <w:r>
        <w:fldChar w:fldCharType="separate"/>
      </w:r>
      <w:r>
        <w:t>67</w:t>
      </w:r>
      <w:r>
        <w:fldChar w:fldCharType="end"/>
      </w:r>
      <w:r>
        <w:rPr>
          <w:smallCaps/>
          <w:highlight w:val="none"/>
        </w:rPr>
        <w:fldChar w:fldCharType="end"/>
      </w:r>
    </w:p>
    <w:p w14:paraId="2BAC237E">
      <w:pPr>
        <w:pStyle w:val="71"/>
        <w:tabs>
          <w:tab w:val="right" w:leader="dot" w:pos="9354"/>
          <w:tab w:val="clear" w:pos="8789"/>
        </w:tabs>
      </w:pPr>
      <w:r>
        <w:rPr>
          <w:smallCaps/>
          <w:highlight w:val="none"/>
        </w:rPr>
        <w:fldChar w:fldCharType="begin"/>
      </w:r>
      <w:r>
        <w:rPr>
          <w:smallCaps/>
          <w:highlight w:val="none"/>
        </w:rPr>
        <w:instrText xml:space="preserve"> HYPERLINK \l _Toc171 </w:instrText>
      </w:r>
      <w:r>
        <w:rPr>
          <w:smallCaps/>
          <w:highlight w:val="none"/>
        </w:rPr>
        <w:fldChar w:fldCharType="separate"/>
      </w:r>
      <w:r>
        <w:rPr>
          <w:rFonts w:hint="eastAsia" w:ascii="宋体" w:hAnsi="宋体" w:eastAsia="宋体" w:cs="宋体"/>
          <w:szCs w:val="22"/>
          <w:highlight w:val="none"/>
        </w:rPr>
        <w:t>第七章定标及公示</w:t>
      </w:r>
      <w:r>
        <w:tab/>
      </w:r>
      <w:r>
        <w:fldChar w:fldCharType="begin"/>
      </w:r>
      <w:r>
        <w:instrText xml:space="preserve"> PAGEREF _Toc171 \h </w:instrText>
      </w:r>
      <w:r>
        <w:fldChar w:fldCharType="separate"/>
      </w:r>
      <w:r>
        <w:t>71</w:t>
      </w:r>
      <w:r>
        <w:fldChar w:fldCharType="end"/>
      </w:r>
      <w:r>
        <w:rPr>
          <w:smallCaps/>
          <w:highlight w:val="none"/>
        </w:rPr>
        <w:fldChar w:fldCharType="end"/>
      </w:r>
    </w:p>
    <w:p w14:paraId="11788CCA">
      <w:pPr>
        <w:pStyle w:val="71"/>
        <w:tabs>
          <w:tab w:val="right" w:leader="dot" w:pos="9354"/>
          <w:tab w:val="clear" w:pos="8789"/>
        </w:tabs>
      </w:pPr>
      <w:r>
        <w:rPr>
          <w:smallCaps/>
          <w:highlight w:val="none"/>
        </w:rPr>
        <w:fldChar w:fldCharType="begin"/>
      </w:r>
      <w:r>
        <w:rPr>
          <w:smallCaps/>
          <w:highlight w:val="none"/>
        </w:rPr>
        <w:instrText xml:space="preserve"> HYPERLINK \l _Toc10637 </w:instrText>
      </w:r>
      <w:r>
        <w:rPr>
          <w:smallCaps/>
          <w:highlight w:val="none"/>
        </w:rPr>
        <w:fldChar w:fldCharType="separate"/>
      </w:r>
      <w:r>
        <w:rPr>
          <w:rFonts w:hint="eastAsia" w:ascii="宋体" w:hAnsi="宋体" w:eastAsia="宋体" w:cs="宋体"/>
          <w:szCs w:val="22"/>
          <w:highlight w:val="none"/>
        </w:rPr>
        <w:t>第八章公开招标失败的后续处理</w:t>
      </w:r>
      <w:r>
        <w:tab/>
      </w:r>
      <w:r>
        <w:fldChar w:fldCharType="begin"/>
      </w:r>
      <w:r>
        <w:instrText xml:space="preserve"> PAGEREF _Toc10637 \h </w:instrText>
      </w:r>
      <w:r>
        <w:fldChar w:fldCharType="separate"/>
      </w:r>
      <w:r>
        <w:t>72</w:t>
      </w:r>
      <w:r>
        <w:fldChar w:fldCharType="end"/>
      </w:r>
      <w:r>
        <w:rPr>
          <w:smallCaps/>
          <w:highlight w:val="none"/>
        </w:rPr>
        <w:fldChar w:fldCharType="end"/>
      </w:r>
    </w:p>
    <w:p w14:paraId="06056A54">
      <w:pPr>
        <w:pStyle w:val="71"/>
        <w:tabs>
          <w:tab w:val="right" w:leader="dot" w:pos="9354"/>
          <w:tab w:val="clear" w:pos="8789"/>
        </w:tabs>
      </w:pPr>
      <w:r>
        <w:rPr>
          <w:smallCaps/>
          <w:highlight w:val="none"/>
        </w:rPr>
        <w:fldChar w:fldCharType="begin"/>
      </w:r>
      <w:r>
        <w:rPr>
          <w:smallCaps/>
          <w:highlight w:val="none"/>
        </w:rPr>
        <w:instrText xml:space="preserve"> HYPERLINK \l _Toc2952 </w:instrText>
      </w:r>
      <w:r>
        <w:rPr>
          <w:smallCaps/>
          <w:highlight w:val="none"/>
        </w:rPr>
        <w:fldChar w:fldCharType="separate"/>
      </w:r>
      <w:r>
        <w:rPr>
          <w:rFonts w:hint="eastAsia" w:ascii="宋体" w:hAnsi="宋体" w:eastAsia="宋体" w:cs="宋体"/>
          <w:szCs w:val="22"/>
          <w:highlight w:val="none"/>
        </w:rPr>
        <w:t>第九章合同的授予与备案</w:t>
      </w:r>
      <w:r>
        <w:tab/>
      </w:r>
      <w:r>
        <w:fldChar w:fldCharType="begin"/>
      </w:r>
      <w:r>
        <w:instrText xml:space="preserve"> PAGEREF _Toc2952 \h </w:instrText>
      </w:r>
      <w:r>
        <w:fldChar w:fldCharType="separate"/>
      </w:r>
      <w:r>
        <w:t>74</w:t>
      </w:r>
      <w:r>
        <w:fldChar w:fldCharType="end"/>
      </w:r>
      <w:r>
        <w:rPr>
          <w:smallCaps/>
          <w:highlight w:val="none"/>
        </w:rPr>
        <w:fldChar w:fldCharType="end"/>
      </w:r>
    </w:p>
    <w:p w14:paraId="2F0A363E">
      <w:pPr>
        <w:pStyle w:val="71"/>
        <w:tabs>
          <w:tab w:val="right" w:leader="dot" w:pos="9354"/>
          <w:tab w:val="clear" w:pos="8789"/>
        </w:tabs>
      </w:pPr>
      <w:r>
        <w:rPr>
          <w:smallCaps/>
          <w:highlight w:val="none"/>
        </w:rPr>
        <w:fldChar w:fldCharType="begin"/>
      </w:r>
      <w:r>
        <w:rPr>
          <w:smallCaps/>
          <w:highlight w:val="none"/>
        </w:rPr>
        <w:instrText xml:space="preserve"> HYPERLINK \l _Toc19106 </w:instrText>
      </w:r>
      <w:r>
        <w:rPr>
          <w:smallCaps/>
          <w:highlight w:val="none"/>
        </w:rPr>
        <w:fldChar w:fldCharType="separate"/>
      </w:r>
      <w:r>
        <w:rPr>
          <w:rFonts w:hint="eastAsia" w:ascii="宋体" w:hAnsi="宋体" w:eastAsia="宋体" w:cs="宋体"/>
          <w:szCs w:val="22"/>
          <w:highlight w:val="none"/>
        </w:rPr>
        <w:t>第十章质疑受理</w:t>
      </w:r>
      <w:r>
        <w:tab/>
      </w:r>
      <w:r>
        <w:fldChar w:fldCharType="begin"/>
      </w:r>
      <w:r>
        <w:instrText xml:space="preserve"> PAGEREF _Toc19106 \h </w:instrText>
      </w:r>
      <w:r>
        <w:fldChar w:fldCharType="separate"/>
      </w:r>
      <w:r>
        <w:t>75</w:t>
      </w:r>
      <w:r>
        <w:fldChar w:fldCharType="end"/>
      </w:r>
      <w:r>
        <w:rPr>
          <w:smallCaps/>
          <w:highlight w:val="none"/>
        </w:rPr>
        <w:fldChar w:fldCharType="end"/>
      </w:r>
    </w:p>
    <w:p w14:paraId="611D0193">
      <w:pPr>
        <w:tabs>
          <w:tab w:val="right" w:leader="dot" w:pos="8820"/>
          <w:tab w:val="right" w:leader="dot" w:pos="9240"/>
          <w:tab w:val="clear" w:pos="426"/>
        </w:tabs>
        <w:rPr>
          <w:highlight w:val="none"/>
        </w:rPr>
        <w:sectPr>
          <w:footerReference r:id="rId5" w:type="even"/>
          <w:pgSz w:w="11906" w:h="16838"/>
          <w:pgMar w:top="1134" w:right="1134" w:bottom="1134" w:left="1418" w:header="851" w:footer="992" w:gutter="0"/>
          <w:pgBorders>
            <w:top w:val="none" w:sz="0" w:space="0"/>
            <w:left w:val="none" w:sz="0" w:space="0"/>
            <w:bottom w:val="none" w:sz="0" w:space="0"/>
            <w:right w:val="none" w:sz="0" w:space="0"/>
          </w:pgBorders>
          <w:pgNumType w:start="0"/>
          <w:cols w:space="720" w:num="1"/>
          <w:titlePg/>
          <w:docGrid w:linePitch="462" w:charSpace="0"/>
        </w:sectPr>
      </w:pPr>
      <w:r>
        <w:rPr>
          <w:smallCaps/>
          <w:highlight w:val="none"/>
        </w:rPr>
        <w:fldChar w:fldCharType="end"/>
      </w:r>
    </w:p>
    <w:p w14:paraId="51134262">
      <w:pPr>
        <w:pStyle w:val="62"/>
        <w:widowControl w:val="0"/>
        <w:shd w:val="clear" w:color="auto" w:fill="auto"/>
        <w:tabs>
          <w:tab w:val="clear" w:pos="426"/>
        </w:tabs>
        <w:adjustRightInd/>
        <w:snapToGrid/>
        <w:outlineLvl w:val="0"/>
        <w:rPr>
          <w:rFonts w:hint="eastAsia" w:ascii="宋体"/>
          <w:bCs w:val="0"/>
          <w:sz w:val="36"/>
          <w:szCs w:val="36"/>
          <w:highlight w:val="none"/>
        </w:rPr>
      </w:pPr>
    </w:p>
    <w:p w14:paraId="43202241">
      <w:pPr>
        <w:pStyle w:val="62"/>
        <w:widowControl w:val="0"/>
        <w:shd w:val="clear" w:color="auto" w:fill="auto"/>
        <w:tabs>
          <w:tab w:val="clear" w:pos="426"/>
        </w:tabs>
        <w:adjustRightInd/>
        <w:snapToGrid/>
        <w:outlineLvl w:val="0"/>
        <w:rPr>
          <w:rFonts w:ascii="宋体"/>
          <w:bCs w:val="0"/>
          <w:sz w:val="36"/>
          <w:szCs w:val="36"/>
          <w:highlight w:val="none"/>
        </w:rPr>
      </w:pPr>
      <w:bookmarkStart w:id="0" w:name="_Toc16196"/>
      <w:r>
        <w:rPr>
          <w:rFonts w:hint="eastAsia" w:ascii="宋体"/>
          <w:bCs w:val="0"/>
          <w:sz w:val="36"/>
          <w:szCs w:val="36"/>
          <w:highlight w:val="none"/>
        </w:rPr>
        <w:t>资格、符合性评审条款</w:t>
      </w:r>
      <w:bookmarkEnd w:id="0"/>
    </w:p>
    <w:tbl>
      <w:tblPr>
        <w:tblStyle w:val="8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8445"/>
      </w:tblGrid>
      <w:tr w14:paraId="201C0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636B307">
            <w:pPr>
              <w:spacing w:line="360" w:lineRule="exact"/>
              <w:jc w:val="center"/>
              <w:rPr>
                <w:sz w:val="22"/>
              </w:rPr>
            </w:pPr>
            <w:r>
              <w:rPr>
                <w:rFonts w:hint="eastAsia" w:ascii="宋体" w:hAnsi="宋体" w:eastAsia="宋体" w:cs="宋体"/>
                <w:b/>
                <w:bCs/>
                <w:sz w:val="22"/>
              </w:rPr>
              <w:t>资格性审查表</w:t>
            </w:r>
          </w:p>
        </w:tc>
      </w:tr>
      <w:tr w14:paraId="0826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vAlign w:val="center"/>
          </w:tcPr>
          <w:p w14:paraId="73F3B726">
            <w:pPr>
              <w:numPr>
                <w:ilvl w:val="0"/>
                <w:numId w:val="0"/>
              </w:numPr>
              <w:spacing w:line="360" w:lineRule="exact"/>
              <w:ind w:left="420" w:leftChars="0" w:hanging="420" w:firstLineChars="0"/>
              <w:jc w:val="center"/>
              <w:rPr>
                <w:rFonts w:hint="eastAsia" w:ascii="宋体" w:hAnsi="宋体" w:eastAsia="宋体" w:cs="宋体"/>
                <w:sz w:val="22"/>
              </w:rPr>
            </w:pPr>
            <w:r>
              <w:rPr>
                <w:rFonts w:hint="eastAsia" w:ascii="宋体" w:hAnsi="宋体" w:eastAsia="宋体" w:cs="宋体"/>
                <w:snapToGrid w:val="0"/>
                <w:color w:val="000000"/>
                <w:sz w:val="22"/>
                <w:szCs w:val="21"/>
                <w:lang w:val="en-US" w:eastAsia="en-US" w:bidi="ar-SA"/>
              </w:rPr>
              <w:t>1</w:t>
            </w:r>
          </w:p>
        </w:tc>
        <w:tc>
          <w:tcPr>
            <w:tcW w:w="4646" w:type="pct"/>
          </w:tcPr>
          <w:p w14:paraId="3CFB52F5">
            <w:pPr>
              <w:spacing w:line="360" w:lineRule="exact"/>
              <w:rPr>
                <w:rFonts w:hint="eastAsia" w:ascii="宋体" w:hAnsi="宋体" w:eastAsia="宋体" w:cs="宋体"/>
                <w:sz w:val="22"/>
                <w:lang w:eastAsia="zh-CN"/>
              </w:rPr>
            </w:pPr>
            <w:r>
              <w:rPr>
                <w:rFonts w:hint="eastAsia" w:ascii="宋体" w:hAnsi="宋体" w:eastAsia="宋体" w:cs="宋体"/>
                <w:sz w:val="22"/>
                <w:lang w:eastAsia="zh-CN"/>
              </w:rPr>
              <w:t>不具备采购文件所列的资格要求，或未提交相应的资格证明资料（详见采购公告投标人资质要求）</w:t>
            </w:r>
          </w:p>
        </w:tc>
      </w:tr>
      <w:tr w14:paraId="18F6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53" w:type="pct"/>
          </w:tcPr>
          <w:p w14:paraId="460AB0FB">
            <w:pPr>
              <w:numPr>
                <w:ilvl w:val="0"/>
                <w:numId w:val="0"/>
              </w:numPr>
              <w:spacing w:line="360" w:lineRule="exact"/>
              <w:ind w:leftChars="0"/>
              <w:jc w:val="center"/>
              <w:rPr>
                <w:rFonts w:hint="eastAsia" w:ascii="宋体" w:hAnsi="宋体" w:eastAsia="宋体" w:cs="宋体"/>
                <w:sz w:val="22"/>
                <w:lang w:val="en-US" w:eastAsia="zh-CN"/>
              </w:rPr>
            </w:pPr>
            <w:r>
              <w:rPr>
                <w:rFonts w:hint="eastAsia" w:ascii="宋体" w:hAnsi="宋体" w:eastAsia="宋体" w:cs="宋体"/>
                <w:sz w:val="22"/>
                <w:lang w:val="en-US" w:eastAsia="zh-CN"/>
              </w:rPr>
              <w:t>2</w:t>
            </w:r>
          </w:p>
        </w:tc>
        <w:tc>
          <w:tcPr>
            <w:tcW w:w="4646" w:type="pct"/>
          </w:tcPr>
          <w:p w14:paraId="3CED1B85">
            <w:pPr>
              <w:spacing w:line="360" w:lineRule="exact"/>
              <w:rPr>
                <w:rFonts w:hint="eastAsia" w:ascii="宋体" w:hAnsi="宋体" w:eastAsia="宋体" w:cs="宋体"/>
                <w:sz w:val="22"/>
                <w:lang w:eastAsia="zh-CN"/>
              </w:rPr>
            </w:pPr>
            <w:r>
              <w:rPr>
                <w:rFonts w:hint="eastAsia" w:ascii="宋体" w:hAnsi="宋体" w:eastAsia="宋体" w:cs="宋体"/>
                <w:sz w:val="22"/>
                <w:lang w:eastAsia="zh-CN"/>
              </w:rPr>
              <w:t>不具备国家有关法律规定的有关资质的</w:t>
            </w:r>
          </w:p>
        </w:tc>
      </w:tr>
      <w:tr w14:paraId="685B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46F11ED">
            <w:pPr>
              <w:spacing w:line="360" w:lineRule="exact"/>
              <w:jc w:val="center"/>
              <w:rPr>
                <w:rFonts w:hint="eastAsia" w:ascii="宋体" w:hAnsi="宋体" w:eastAsia="宋体" w:cs="宋体"/>
                <w:sz w:val="22"/>
              </w:rPr>
            </w:pPr>
            <w:r>
              <w:rPr>
                <w:rFonts w:hint="eastAsia" w:ascii="宋体" w:hAnsi="宋体" w:eastAsia="宋体" w:cs="宋体"/>
                <w:b/>
                <w:bCs/>
                <w:sz w:val="22"/>
              </w:rPr>
              <w:t>符合性审查表</w:t>
            </w:r>
          </w:p>
        </w:tc>
      </w:tr>
      <w:tr w14:paraId="281B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B43D7BC">
            <w:pPr>
              <w:numPr>
                <w:ilvl w:val="0"/>
                <w:numId w:val="0"/>
              </w:numPr>
              <w:spacing w:line="360" w:lineRule="exact"/>
              <w:ind w:left="420" w:leftChars="0" w:hanging="420" w:firstLineChars="0"/>
              <w:jc w:val="center"/>
              <w:rPr>
                <w:rFonts w:hint="eastAsia" w:ascii="宋体" w:hAnsi="宋体" w:eastAsia="宋体" w:cs="宋体"/>
                <w:sz w:val="22"/>
              </w:rPr>
            </w:pPr>
            <w:r>
              <w:rPr>
                <w:rFonts w:hint="eastAsia" w:ascii="宋体" w:hAnsi="宋体" w:eastAsia="宋体" w:cs="宋体"/>
                <w:snapToGrid w:val="0"/>
                <w:color w:val="000000"/>
                <w:sz w:val="22"/>
                <w:szCs w:val="21"/>
                <w:lang w:val="en-US" w:eastAsia="en-US" w:bidi="ar-SA"/>
              </w:rPr>
              <w:t>1</w:t>
            </w:r>
          </w:p>
        </w:tc>
        <w:tc>
          <w:tcPr>
            <w:tcW w:w="4646" w:type="pct"/>
            <w:vAlign w:val="top"/>
          </w:tcPr>
          <w:p w14:paraId="29431238">
            <w:pPr>
              <w:spacing w:line="360" w:lineRule="exact"/>
              <w:jc w:val="left"/>
              <w:rPr>
                <w:rFonts w:hint="eastAsia" w:ascii="宋体" w:hAnsi="宋体" w:eastAsia="宋体" w:cs="宋体"/>
                <w:sz w:val="22"/>
                <w:lang w:eastAsia="zh-CN"/>
              </w:rPr>
            </w:pPr>
            <w:r>
              <w:rPr>
                <w:rFonts w:hint="eastAsia" w:ascii="宋体" w:hAnsi="宋体" w:eastAsia="宋体" w:cs="宋体"/>
                <w:sz w:val="22"/>
              </w:rPr>
              <w:t>将一个包中的内容拆开投标</w:t>
            </w:r>
          </w:p>
        </w:tc>
      </w:tr>
      <w:tr w14:paraId="3103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D1E830E">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2</w:t>
            </w:r>
          </w:p>
        </w:tc>
        <w:tc>
          <w:tcPr>
            <w:tcW w:w="4646" w:type="pct"/>
            <w:vAlign w:val="top"/>
          </w:tcPr>
          <w:p w14:paraId="507374A2">
            <w:pPr>
              <w:spacing w:line="360" w:lineRule="exact"/>
              <w:jc w:val="left"/>
              <w:rPr>
                <w:rFonts w:hint="eastAsia" w:ascii="宋体" w:hAnsi="宋体" w:eastAsia="宋体" w:cs="宋体"/>
                <w:sz w:val="22"/>
                <w:lang w:eastAsia="zh-CN"/>
              </w:rPr>
            </w:pPr>
            <w:r>
              <w:rPr>
                <w:rFonts w:hint="eastAsia" w:ascii="宋体" w:hAnsi="宋体" w:eastAsia="宋体" w:cs="宋体"/>
                <w:sz w:val="22"/>
              </w:rPr>
              <w:t>采购文件未规定允许有替代方案时，对同一货物投标时，同时提供两套或两套以上的投标方案</w:t>
            </w:r>
          </w:p>
        </w:tc>
      </w:tr>
      <w:tr w14:paraId="470D6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21CFF10B">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3</w:t>
            </w:r>
          </w:p>
        </w:tc>
        <w:tc>
          <w:tcPr>
            <w:tcW w:w="4646" w:type="pct"/>
            <w:vAlign w:val="top"/>
          </w:tcPr>
          <w:p w14:paraId="6C9ABB18">
            <w:pPr>
              <w:spacing w:line="360" w:lineRule="exact"/>
              <w:jc w:val="left"/>
              <w:rPr>
                <w:rFonts w:hint="eastAsia" w:ascii="宋体" w:hAnsi="宋体" w:eastAsia="宋体" w:cs="宋体"/>
                <w:sz w:val="22"/>
                <w:lang w:eastAsia="zh-CN"/>
              </w:rPr>
            </w:pPr>
            <w:r>
              <w:rPr>
                <w:rFonts w:hint="eastAsia" w:ascii="宋体" w:hAnsi="宋体" w:eastAsia="宋体" w:cs="宋体"/>
                <w:sz w:val="22"/>
              </w:rPr>
              <w:t>投标总价或分项报价高于财政预算限额的</w:t>
            </w:r>
          </w:p>
        </w:tc>
      </w:tr>
      <w:tr w14:paraId="38E9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07F689B">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4</w:t>
            </w:r>
          </w:p>
        </w:tc>
        <w:tc>
          <w:tcPr>
            <w:tcW w:w="4646" w:type="pct"/>
            <w:vAlign w:val="top"/>
          </w:tcPr>
          <w:p w14:paraId="52159217">
            <w:pPr>
              <w:spacing w:line="360" w:lineRule="exact"/>
              <w:jc w:val="left"/>
              <w:rPr>
                <w:rFonts w:hint="eastAsia" w:ascii="宋体" w:hAnsi="宋体" w:eastAsia="宋体" w:cs="宋体"/>
                <w:sz w:val="22"/>
                <w:lang w:eastAsia="zh-CN"/>
              </w:rPr>
            </w:pPr>
            <w:r>
              <w:rPr>
                <w:rFonts w:hint="eastAsia" w:ascii="宋体" w:hAnsi="宋体" w:eastAsia="宋体" w:cs="宋体"/>
                <w:sz w:val="22"/>
              </w:rPr>
              <w:t>同一项目出现两个或以上报价</w:t>
            </w:r>
          </w:p>
        </w:tc>
      </w:tr>
      <w:tr w14:paraId="7867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06058E95">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5</w:t>
            </w:r>
          </w:p>
        </w:tc>
        <w:tc>
          <w:tcPr>
            <w:tcW w:w="4646" w:type="pct"/>
            <w:vAlign w:val="top"/>
          </w:tcPr>
          <w:p w14:paraId="2444CF44">
            <w:pPr>
              <w:spacing w:line="360" w:lineRule="exact"/>
              <w:jc w:val="left"/>
              <w:rPr>
                <w:rFonts w:hint="eastAsia" w:ascii="宋体" w:hAnsi="宋体" w:eastAsia="宋体" w:cs="宋体"/>
                <w:sz w:val="22"/>
                <w:lang w:eastAsia="zh-CN"/>
              </w:rPr>
            </w:pPr>
            <w:r>
              <w:rPr>
                <w:rFonts w:hint="eastAsia" w:ascii="宋体" w:hAnsi="宋体" w:eastAsia="宋体" w:cs="宋体"/>
                <w:sz w:val="22"/>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r>
      <w:tr w14:paraId="7F376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20573967">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6</w:t>
            </w:r>
          </w:p>
        </w:tc>
        <w:tc>
          <w:tcPr>
            <w:tcW w:w="4646" w:type="pct"/>
            <w:vAlign w:val="top"/>
          </w:tcPr>
          <w:p w14:paraId="6F9F3AE3">
            <w:pPr>
              <w:spacing w:line="360" w:lineRule="exact"/>
              <w:jc w:val="left"/>
              <w:rPr>
                <w:rFonts w:hint="eastAsia" w:ascii="宋体" w:hAnsi="宋体" w:eastAsia="宋体" w:cs="宋体"/>
                <w:sz w:val="22"/>
                <w:lang w:eastAsia="zh-CN"/>
              </w:rPr>
            </w:pPr>
            <w:r>
              <w:rPr>
                <w:rFonts w:hint="eastAsia" w:ascii="宋体" w:hAnsi="宋体" w:eastAsia="宋体" w:cs="宋体"/>
                <w:sz w:val="22"/>
              </w:rPr>
              <w:t>投标报价有严重缺漏项目</w:t>
            </w:r>
          </w:p>
        </w:tc>
      </w:tr>
      <w:tr w14:paraId="07F15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25EB932">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7</w:t>
            </w:r>
          </w:p>
        </w:tc>
        <w:tc>
          <w:tcPr>
            <w:tcW w:w="4646" w:type="pct"/>
            <w:vAlign w:val="top"/>
          </w:tcPr>
          <w:p w14:paraId="6E64931C">
            <w:pPr>
              <w:spacing w:line="360" w:lineRule="exact"/>
              <w:jc w:val="left"/>
              <w:rPr>
                <w:rFonts w:hint="eastAsia" w:ascii="宋体" w:hAnsi="宋体" w:eastAsia="宋体" w:cs="宋体"/>
                <w:sz w:val="22"/>
                <w:lang w:eastAsia="zh-CN"/>
              </w:rPr>
            </w:pPr>
            <w:r>
              <w:rPr>
                <w:rFonts w:hint="eastAsia" w:ascii="宋体" w:hAnsi="宋体" w:eastAsia="宋体" w:cs="宋体"/>
                <w:sz w:val="22"/>
              </w:rPr>
              <w:t>投标文件载明的服务期低于采购文件规定的期限</w:t>
            </w:r>
          </w:p>
        </w:tc>
      </w:tr>
      <w:tr w14:paraId="709A9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5398C102">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8</w:t>
            </w:r>
          </w:p>
        </w:tc>
        <w:tc>
          <w:tcPr>
            <w:tcW w:w="4646" w:type="pct"/>
            <w:vAlign w:val="top"/>
          </w:tcPr>
          <w:p w14:paraId="5D89A1C0">
            <w:pPr>
              <w:spacing w:line="360" w:lineRule="exact"/>
              <w:jc w:val="left"/>
              <w:rPr>
                <w:rFonts w:hint="eastAsia" w:ascii="宋体" w:hAnsi="宋体" w:eastAsia="宋体" w:cs="宋体"/>
                <w:sz w:val="22"/>
                <w:lang w:eastAsia="zh-CN"/>
              </w:rPr>
            </w:pPr>
            <w:r>
              <w:rPr>
                <w:rFonts w:hint="eastAsia" w:ascii="宋体" w:hAnsi="宋体" w:eastAsia="宋体" w:cs="宋体"/>
                <w:sz w:val="22"/>
              </w:rPr>
              <w:t>投标文件载明的免费保修期低于采购文件规定的期限</w:t>
            </w:r>
          </w:p>
        </w:tc>
      </w:tr>
      <w:tr w14:paraId="6D73D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6576E91D">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9</w:t>
            </w:r>
          </w:p>
        </w:tc>
        <w:tc>
          <w:tcPr>
            <w:tcW w:w="4646" w:type="pct"/>
            <w:vAlign w:val="top"/>
          </w:tcPr>
          <w:p w14:paraId="42E13027">
            <w:pPr>
              <w:spacing w:line="360" w:lineRule="exact"/>
              <w:jc w:val="left"/>
              <w:rPr>
                <w:rFonts w:hint="eastAsia" w:ascii="宋体" w:hAnsi="宋体" w:eastAsia="宋体" w:cs="宋体"/>
                <w:sz w:val="22"/>
                <w:lang w:eastAsia="zh-CN"/>
              </w:rPr>
            </w:pPr>
            <w:r>
              <w:rPr>
                <w:rFonts w:hint="eastAsia" w:ascii="宋体" w:hAnsi="宋体" w:eastAsia="宋体" w:cs="宋体"/>
                <w:sz w:val="22"/>
              </w:rPr>
              <w:t>所投产品、工程、服务在质量、技术、方案等方面没有实质性满足采购文件要求</w:t>
            </w:r>
          </w:p>
        </w:tc>
      </w:tr>
      <w:tr w14:paraId="5AF2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32C85AC8">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10</w:t>
            </w:r>
          </w:p>
        </w:tc>
        <w:tc>
          <w:tcPr>
            <w:tcW w:w="4646" w:type="pct"/>
            <w:vAlign w:val="top"/>
          </w:tcPr>
          <w:p w14:paraId="696EB874">
            <w:pPr>
              <w:spacing w:line="360" w:lineRule="exact"/>
              <w:jc w:val="left"/>
              <w:rPr>
                <w:rFonts w:hint="eastAsia" w:ascii="宋体" w:hAnsi="宋体" w:eastAsia="宋体" w:cs="宋体"/>
                <w:sz w:val="22"/>
                <w:lang w:eastAsia="zh-CN"/>
              </w:rPr>
            </w:pPr>
            <w:r>
              <w:rPr>
                <w:rFonts w:hint="eastAsia" w:ascii="宋体" w:hAnsi="宋体" w:eastAsia="宋体" w:cs="宋体"/>
                <w:sz w:val="22"/>
              </w:rPr>
              <w:t>未按采购文件提供《投标函》；未按采购文件对投标文件组成的要求提供投标文件的（投标文件组成不完整）；投标文件的数量、制作、密封、标记、签字盖章不符合采购文件要求；投标文件无法定代表人有效授权的</w:t>
            </w:r>
          </w:p>
        </w:tc>
      </w:tr>
      <w:tr w14:paraId="00BC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408864E8">
            <w:pPr>
              <w:numPr>
                <w:ilvl w:val="0"/>
                <w:numId w:val="0"/>
              </w:numPr>
              <w:spacing w:line="360" w:lineRule="exact"/>
              <w:ind w:left="420" w:leftChars="0" w:hanging="420" w:firstLineChars="0"/>
              <w:jc w:val="center"/>
              <w:rPr>
                <w:rFonts w:hint="eastAsia" w:ascii="宋体" w:hAnsi="宋体" w:eastAsia="宋体" w:cs="宋体"/>
                <w:sz w:val="22"/>
                <w:lang w:eastAsia="zh-CN"/>
              </w:rPr>
            </w:pPr>
            <w:r>
              <w:rPr>
                <w:rFonts w:hint="eastAsia" w:ascii="宋体" w:hAnsi="宋体" w:eastAsia="宋体" w:cs="宋体"/>
                <w:snapToGrid w:val="0"/>
                <w:color w:val="000000"/>
                <w:sz w:val="22"/>
                <w:szCs w:val="21"/>
                <w:lang w:val="en-US" w:eastAsia="zh-CN" w:bidi="ar-SA"/>
              </w:rPr>
              <w:t>11</w:t>
            </w:r>
          </w:p>
        </w:tc>
        <w:tc>
          <w:tcPr>
            <w:tcW w:w="4646" w:type="pct"/>
            <w:vAlign w:val="top"/>
          </w:tcPr>
          <w:p w14:paraId="1252A7AE">
            <w:pPr>
              <w:spacing w:line="360" w:lineRule="exact"/>
              <w:jc w:val="left"/>
              <w:rPr>
                <w:rFonts w:hint="eastAsia" w:ascii="宋体" w:hAnsi="宋体" w:eastAsia="宋体" w:cs="宋体"/>
                <w:sz w:val="22"/>
                <w:lang w:eastAsia="zh-CN"/>
              </w:rPr>
            </w:pPr>
            <w:r>
              <w:rPr>
                <w:rFonts w:hint="eastAsia" w:ascii="宋体" w:hAnsi="宋体" w:eastAsia="宋体" w:cs="宋体"/>
                <w:sz w:val="22"/>
              </w:rPr>
              <w:t>未提供投标文件电子文档或者有病毒</w:t>
            </w:r>
          </w:p>
        </w:tc>
      </w:tr>
      <w:tr w14:paraId="3DC1B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 w:type="pct"/>
          </w:tcPr>
          <w:p w14:paraId="7B1D6049">
            <w:pPr>
              <w:numPr>
                <w:ilvl w:val="0"/>
                <w:numId w:val="0"/>
              </w:numPr>
              <w:spacing w:line="360" w:lineRule="exact"/>
              <w:ind w:leftChars="0"/>
              <w:jc w:val="center"/>
              <w:rPr>
                <w:rFonts w:hint="eastAsia" w:ascii="宋体" w:hAnsi="宋体" w:eastAsia="宋体" w:cs="宋体"/>
                <w:sz w:val="22"/>
                <w:lang w:val="en-US" w:eastAsia="zh-CN"/>
              </w:rPr>
            </w:pPr>
            <w:r>
              <w:rPr>
                <w:rFonts w:hint="eastAsia" w:ascii="宋体" w:hAnsi="宋体" w:eastAsia="宋体" w:cs="宋体"/>
                <w:sz w:val="22"/>
                <w:lang w:val="en-US" w:eastAsia="zh-CN"/>
              </w:rPr>
              <w:t>12</w:t>
            </w:r>
          </w:p>
        </w:tc>
        <w:tc>
          <w:tcPr>
            <w:tcW w:w="4646" w:type="pct"/>
            <w:vAlign w:val="top"/>
          </w:tcPr>
          <w:p w14:paraId="79C91764">
            <w:pPr>
              <w:spacing w:line="360" w:lineRule="exact"/>
              <w:jc w:val="left"/>
              <w:rPr>
                <w:rFonts w:hint="eastAsia" w:ascii="宋体" w:hAnsi="宋体" w:eastAsia="宋体" w:cs="宋体"/>
                <w:sz w:val="22"/>
                <w:lang w:eastAsia="zh-CN"/>
              </w:rPr>
            </w:pPr>
            <w:r>
              <w:rPr>
                <w:rFonts w:hint="eastAsia" w:ascii="宋体" w:hAnsi="宋体" w:eastAsia="宋体" w:cs="宋体"/>
                <w:sz w:val="22"/>
              </w:rPr>
              <w:t>法律、法规规定的其他情形</w:t>
            </w:r>
          </w:p>
        </w:tc>
      </w:tr>
    </w:tbl>
    <w:p w14:paraId="04DE69F0">
      <w:pPr>
        <w:pStyle w:val="62"/>
        <w:widowControl w:val="0"/>
        <w:shd w:val="clear" w:color="auto" w:fill="auto"/>
        <w:tabs>
          <w:tab w:val="clear" w:pos="426"/>
        </w:tabs>
        <w:adjustRightInd/>
        <w:snapToGrid/>
        <w:jc w:val="both"/>
        <w:outlineLvl w:val="9"/>
        <w:rPr>
          <w:sz w:val="21"/>
          <w:szCs w:val="21"/>
          <w:highlight w:val="none"/>
        </w:rPr>
      </w:pPr>
    </w:p>
    <w:p w14:paraId="0E172EE2">
      <w:pPr>
        <w:pStyle w:val="62"/>
        <w:widowControl w:val="0"/>
        <w:shd w:val="clear" w:color="auto" w:fill="auto"/>
        <w:tabs>
          <w:tab w:val="clear" w:pos="426"/>
        </w:tabs>
        <w:adjustRightInd/>
        <w:snapToGrid/>
        <w:outlineLvl w:val="0"/>
        <w:rPr>
          <w:rFonts w:ascii="宋体"/>
          <w:bCs w:val="0"/>
          <w:sz w:val="36"/>
          <w:szCs w:val="36"/>
          <w:highlight w:val="none"/>
        </w:rPr>
      </w:pPr>
      <w:r>
        <w:rPr>
          <w:sz w:val="24"/>
          <w:highlight w:val="none"/>
        </w:rPr>
        <w:br w:type="page"/>
      </w:r>
      <w:bookmarkStart w:id="1" w:name="_Toc4247"/>
      <w:bookmarkStart w:id="2" w:name="_Toc435514846"/>
      <w:r>
        <w:rPr>
          <w:rFonts w:hint="eastAsia" w:ascii="宋体"/>
          <w:bCs w:val="0"/>
          <w:sz w:val="36"/>
          <w:szCs w:val="36"/>
          <w:highlight w:val="none"/>
        </w:rPr>
        <w:t>评标信息</w:t>
      </w:r>
      <w:bookmarkEnd w:id="1"/>
    </w:p>
    <w:bookmarkEnd w:id="2"/>
    <w:p w14:paraId="627B1942">
      <w:pPr>
        <w:keepNext w:val="0"/>
        <w:keepLines w:val="0"/>
        <w:pageBreakBefore w:val="0"/>
        <w:widowControl/>
        <w:tabs>
          <w:tab w:val="clear" w:pos="426"/>
        </w:tabs>
        <w:kinsoku/>
        <w:wordWrap/>
        <w:overflowPunct/>
        <w:topLinePunct w:val="0"/>
        <w:autoSpaceDE/>
        <w:autoSpaceDN/>
        <w:bidi w:val="0"/>
        <w:adjustRightInd w:val="0"/>
        <w:snapToGrid w:val="0"/>
        <w:spacing w:line="360" w:lineRule="exact"/>
        <w:ind w:firstLine="440" w:firstLineChars="200"/>
        <w:textAlignment w:val="auto"/>
        <w:rPr>
          <w:rFonts w:hint="eastAsia"/>
          <w:b w:val="0"/>
          <w:bCs/>
          <w:sz w:val="22"/>
          <w:szCs w:val="22"/>
          <w:highlight w:val="none"/>
        </w:rPr>
      </w:pPr>
      <w:r>
        <w:rPr>
          <w:rFonts w:hint="eastAsia"/>
          <w:b w:val="0"/>
          <w:bCs/>
          <w:sz w:val="22"/>
          <w:szCs w:val="22"/>
          <w:highlight w:val="none"/>
        </w:rPr>
        <w:t>评标方法：综合评分法。按照招标文件中规定的各项因素进行量化打分，以评标总得分的平均分最高的投标人为中标候选供应商，采购人根据评标委员会评审结果确定中标候选供应商为中标人。</w:t>
      </w:r>
    </w:p>
    <w:p w14:paraId="6A76EF9C">
      <w:pPr>
        <w:keepNext w:val="0"/>
        <w:keepLines w:val="0"/>
        <w:pageBreakBefore w:val="0"/>
        <w:widowControl/>
        <w:tabs>
          <w:tab w:val="clear" w:pos="426"/>
        </w:tabs>
        <w:kinsoku/>
        <w:wordWrap/>
        <w:overflowPunct/>
        <w:topLinePunct w:val="0"/>
        <w:autoSpaceDE/>
        <w:autoSpaceDN/>
        <w:bidi w:val="0"/>
        <w:adjustRightInd w:val="0"/>
        <w:snapToGrid w:val="0"/>
        <w:spacing w:line="360" w:lineRule="exact"/>
        <w:ind w:firstLine="440" w:firstLineChars="200"/>
        <w:textAlignment w:val="auto"/>
        <w:rPr>
          <w:rFonts w:hAnsi="宋体"/>
          <w:sz w:val="22"/>
          <w:szCs w:val="22"/>
          <w:highlight w:val="none"/>
        </w:rPr>
      </w:pPr>
      <w:r>
        <w:rPr>
          <w:rFonts w:hint="eastAsia"/>
          <w:b w:val="0"/>
          <w:bCs/>
          <w:sz w:val="22"/>
          <w:szCs w:val="22"/>
          <w:highlight w:val="none"/>
        </w:rPr>
        <w:t>综合评分法中的价格分统一采用低价优先法计算。即满足采购文件要求且投标价格最低的投标报价为评标基准价，其价格分为满分。其他投标人的价格分统一按照下列公式计算：投标报价得分=(评标基准价/投标报价)×分值</w:t>
      </w:r>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789"/>
        <w:gridCol w:w="1817"/>
        <w:gridCol w:w="876"/>
        <w:gridCol w:w="1263"/>
        <w:gridCol w:w="4336"/>
      </w:tblGrid>
      <w:tr w14:paraId="5DF5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336" w:hRule="atLeast"/>
          <w:jc w:val="center"/>
        </w:trPr>
        <w:tc>
          <w:tcPr>
            <w:tcW w:w="2612" w:type="pct"/>
            <w:gridSpan w:val="4"/>
            <w:shd w:val="clear" w:color="auto" w:fill="FFFFFF" w:themeFill="background1"/>
            <w:noWrap w:val="0"/>
            <w:vAlign w:val="center"/>
          </w:tcPr>
          <w:p w14:paraId="1E17F973">
            <w:pPr>
              <w:spacing w:line="360" w:lineRule="exact"/>
              <w:jc w:val="center"/>
              <w:rPr>
                <w:rFonts w:hint="eastAsia" w:ascii="宋体" w:hAnsi="宋体" w:cs="宋体"/>
                <w:sz w:val="22"/>
                <w:szCs w:val="22"/>
                <w:highlight w:val="none"/>
              </w:rPr>
            </w:pPr>
            <w:bookmarkStart w:id="3" w:name="_Hlk109230509"/>
            <w:bookmarkStart w:id="4" w:name="_Toc432592812"/>
            <w:r>
              <w:rPr>
                <w:rFonts w:hint="eastAsia" w:ascii="宋体" w:hAnsi="宋体" w:cs="宋体"/>
                <w:sz w:val="22"/>
                <w:szCs w:val="22"/>
                <w:highlight w:val="none"/>
              </w:rPr>
              <w:t>评分项</w:t>
            </w:r>
          </w:p>
        </w:tc>
        <w:tc>
          <w:tcPr>
            <w:tcW w:w="2387" w:type="pct"/>
            <w:shd w:val="clear" w:color="auto" w:fill="FFFFFF" w:themeFill="background1"/>
            <w:noWrap w:val="0"/>
            <w:vAlign w:val="center"/>
          </w:tcPr>
          <w:p w14:paraId="04DF5E48">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分值</w:t>
            </w:r>
          </w:p>
        </w:tc>
      </w:tr>
      <w:tr w14:paraId="11C89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612" w:type="pct"/>
            <w:gridSpan w:val="4"/>
            <w:shd w:val="clear" w:color="auto" w:fill="FFFFFF" w:themeFill="background1"/>
            <w:noWrap w:val="0"/>
            <w:vAlign w:val="center"/>
          </w:tcPr>
          <w:p w14:paraId="1456A0B4">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价格</w:t>
            </w:r>
          </w:p>
        </w:tc>
        <w:tc>
          <w:tcPr>
            <w:tcW w:w="2387" w:type="pct"/>
            <w:shd w:val="clear" w:color="auto" w:fill="FFFFFF" w:themeFill="background1"/>
            <w:noWrap w:val="0"/>
            <w:vAlign w:val="center"/>
          </w:tcPr>
          <w:p w14:paraId="66F85A8A">
            <w:pPr>
              <w:spacing w:line="360" w:lineRule="exact"/>
              <w:jc w:val="center"/>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10</w:t>
            </w:r>
          </w:p>
        </w:tc>
      </w:tr>
      <w:tr w14:paraId="639D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6" w:hRule="atLeast"/>
          <w:jc w:val="center"/>
        </w:trPr>
        <w:tc>
          <w:tcPr>
            <w:tcW w:w="2612" w:type="pct"/>
            <w:gridSpan w:val="4"/>
            <w:shd w:val="clear" w:color="auto" w:fill="FFFFFF" w:themeFill="background1"/>
            <w:noWrap w:val="0"/>
            <w:vAlign w:val="center"/>
          </w:tcPr>
          <w:p w14:paraId="28D2F1F2">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技术部分</w:t>
            </w:r>
          </w:p>
        </w:tc>
        <w:tc>
          <w:tcPr>
            <w:tcW w:w="2387" w:type="pct"/>
            <w:shd w:val="clear" w:color="auto" w:fill="FFFFFF" w:themeFill="background1"/>
            <w:noWrap w:val="0"/>
            <w:vAlign w:val="center"/>
          </w:tcPr>
          <w:p w14:paraId="68D4A375">
            <w:pPr>
              <w:spacing w:line="360" w:lineRule="exact"/>
              <w:jc w:val="center"/>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50</w:t>
            </w:r>
          </w:p>
        </w:tc>
      </w:tr>
      <w:tr w14:paraId="2D19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5" w:type="pct"/>
            <w:shd w:val="clear" w:color="auto" w:fill="FFFFFF" w:themeFill="background1"/>
            <w:noWrap w:val="0"/>
            <w:vAlign w:val="center"/>
          </w:tcPr>
          <w:p w14:paraId="0D5B95F4">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序号</w:t>
            </w:r>
          </w:p>
        </w:tc>
        <w:tc>
          <w:tcPr>
            <w:tcW w:w="1000" w:type="pct"/>
            <w:shd w:val="clear" w:color="auto" w:fill="FFFFFF" w:themeFill="background1"/>
            <w:noWrap w:val="0"/>
            <w:vAlign w:val="center"/>
          </w:tcPr>
          <w:p w14:paraId="0EEC00E9">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评分因素</w:t>
            </w:r>
          </w:p>
        </w:tc>
        <w:tc>
          <w:tcPr>
            <w:tcW w:w="482" w:type="pct"/>
            <w:shd w:val="clear" w:color="auto" w:fill="FFFFFF" w:themeFill="background1"/>
            <w:noWrap w:val="0"/>
            <w:vAlign w:val="center"/>
          </w:tcPr>
          <w:p w14:paraId="613E3561">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分值</w:t>
            </w:r>
          </w:p>
        </w:tc>
        <w:tc>
          <w:tcPr>
            <w:tcW w:w="694" w:type="pct"/>
            <w:shd w:val="clear" w:color="auto" w:fill="FFFFFF" w:themeFill="background1"/>
            <w:noWrap w:val="0"/>
            <w:vAlign w:val="center"/>
          </w:tcPr>
          <w:p w14:paraId="0A3F8B3C">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评分方式</w:t>
            </w:r>
          </w:p>
        </w:tc>
        <w:tc>
          <w:tcPr>
            <w:tcW w:w="2387" w:type="pct"/>
            <w:shd w:val="clear" w:color="auto" w:fill="FFFFFF" w:themeFill="background1"/>
            <w:noWrap w:val="0"/>
            <w:vAlign w:val="center"/>
          </w:tcPr>
          <w:p w14:paraId="74B4237B">
            <w:pPr>
              <w:spacing w:line="360" w:lineRule="exact"/>
              <w:jc w:val="center"/>
              <w:rPr>
                <w:rFonts w:hint="eastAsia" w:ascii="宋体" w:hAnsi="宋体" w:cs="宋体"/>
                <w:sz w:val="22"/>
                <w:szCs w:val="22"/>
                <w:highlight w:val="none"/>
              </w:rPr>
            </w:pPr>
            <w:r>
              <w:rPr>
                <w:rFonts w:hint="eastAsia" w:ascii="宋体" w:hAnsi="宋体" w:cs="宋体"/>
                <w:sz w:val="22"/>
                <w:szCs w:val="22"/>
                <w:highlight w:val="none"/>
              </w:rPr>
              <w:t>评分准则</w:t>
            </w:r>
          </w:p>
        </w:tc>
      </w:tr>
      <w:tr w14:paraId="7800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5" w:type="pct"/>
            <w:shd w:val="clear" w:color="auto" w:fill="FFFFFF" w:themeFill="background1"/>
            <w:noWrap w:val="0"/>
            <w:vAlign w:val="center"/>
          </w:tcPr>
          <w:p w14:paraId="5EBBB039">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w:t>
            </w:r>
          </w:p>
        </w:tc>
        <w:tc>
          <w:tcPr>
            <w:tcW w:w="1000" w:type="pct"/>
            <w:shd w:val="clear" w:color="auto" w:fill="FFFFFF" w:themeFill="background1"/>
            <w:noWrap w:val="0"/>
            <w:vAlign w:val="center"/>
          </w:tcPr>
          <w:p w14:paraId="2346A16E">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项目重点难点分析、应对措施及相关的合理化建议</w:t>
            </w:r>
          </w:p>
        </w:tc>
        <w:tc>
          <w:tcPr>
            <w:tcW w:w="482" w:type="pct"/>
            <w:shd w:val="clear" w:color="auto" w:fill="FFFFFF" w:themeFill="background1"/>
            <w:noWrap w:val="0"/>
            <w:vAlign w:val="center"/>
          </w:tcPr>
          <w:p w14:paraId="6021AF5A">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6</w:t>
            </w:r>
          </w:p>
        </w:tc>
        <w:tc>
          <w:tcPr>
            <w:tcW w:w="694" w:type="pct"/>
            <w:shd w:val="clear" w:color="auto" w:fill="FFFFFF" w:themeFill="background1"/>
            <w:noWrap w:val="0"/>
            <w:vAlign w:val="center"/>
          </w:tcPr>
          <w:p w14:paraId="1E4B640A">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120D7CDB">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50262BDB">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①对项目专项服务小组人员配备、②质量安全控制措施（包括食品来源、入库、出库等全过程的检测与监管措施）、③配送服务计划（包括配送流程、客户沟通、项目重点难点分析、专业性意见及合理化建议等）进行评审，要求内容详尽，具有科学性与可操作性。满足以上3方面内容得</w:t>
            </w:r>
            <w:r>
              <w:rPr>
                <w:rFonts w:hint="eastAsia" w:ascii="宋体" w:hAnsi="宋体" w:eastAsia="宋体" w:cs="宋体"/>
                <w:sz w:val="22"/>
                <w:szCs w:val="22"/>
                <w:highlight w:val="none"/>
                <w:lang w:val="en-US" w:eastAsia="zh-CN"/>
              </w:rPr>
              <w:t>3分</w:t>
            </w:r>
            <w:r>
              <w:rPr>
                <w:rFonts w:hint="eastAsia" w:ascii="宋体" w:hAnsi="宋体" w:eastAsia="宋体" w:cs="宋体"/>
                <w:sz w:val="22"/>
                <w:szCs w:val="22"/>
                <w:highlight w:val="none"/>
              </w:rPr>
              <w:t>，满足任意2方面内容得</w:t>
            </w:r>
            <w:r>
              <w:rPr>
                <w:rFonts w:hint="eastAsia" w:ascii="宋体" w:hAnsi="宋体" w:eastAsia="宋体" w:cs="宋体"/>
                <w:sz w:val="22"/>
                <w:szCs w:val="22"/>
                <w:highlight w:val="none"/>
                <w:lang w:val="en-US" w:eastAsia="zh-CN"/>
              </w:rPr>
              <w:t>1.5分</w:t>
            </w:r>
            <w:r>
              <w:rPr>
                <w:rFonts w:hint="eastAsia" w:ascii="宋体" w:hAnsi="宋体" w:eastAsia="宋体" w:cs="宋体"/>
                <w:sz w:val="22"/>
                <w:szCs w:val="22"/>
                <w:highlight w:val="none"/>
              </w:rPr>
              <w:t>，满足任意一方面内容得</w:t>
            </w:r>
            <w:r>
              <w:rPr>
                <w:rFonts w:hint="eastAsia" w:ascii="宋体" w:hAnsi="宋体" w:eastAsia="宋体" w:cs="宋体"/>
                <w:sz w:val="22"/>
                <w:szCs w:val="22"/>
                <w:highlight w:val="none"/>
                <w:lang w:val="en-US" w:eastAsia="zh-CN"/>
              </w:rPr>
              <w:t>0.5分</w:t>
            </w:r>
            <w:r>
              <w:rPr>
                <w:rFonts w:hint="eastAsia" w:ascii="宋体" w:hAnsi="宋体" w:eastAsia="宋体" w:cs="宋体"/>
                <w:sz w:val="22"/>
                <w:szCs w:val="22"/>
                <w:highlight w:val="none"/>
              </w:rPr>
              <w:t>，未满足不得分。</w:t>
            </w:r>
          </w:p>
          <w:p w14:paraId="58CD8E92">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在此基础上，专家根据各供应商的具体响应内容评审：</w:t>
            </w:r>
          </w:p>
          <w:p w14:paraId="2C0AB186">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评审为优(项目应急方案整体科学合理、针对性强和可操作性强)的加</w:t>
            </w:r>
            <w:r>
              <w:rPr>
                <w:rFonts w:hint="eastAsia" w:ascii="宋体" w:hAnsi="宋体" w:eastAsia="宋体" w:cs="宋体"/>
                <w:sz w:val="22"/>
                <w:szCs w:val="22"/>
                <w:highlight w:val="none"/>
                <w:lang w:val="en-US" w:eastAsia="zh-CN"/>
              </w:rPr>
              <w:t>3分</w:t>
            </w:r>
            <w:r>
              <w:rPr>
                <w:rFonts w:hint="eastAsia" w:ascii="宋体" w:hAnsi="宋体" w:eastAsia="宋体" w:cs="宋体"/>
                <w:sz w:val="22"/>
                <w:szCs w:val="22"/>
                <w:highlight w:val="none"/>
              </w:rPr>
              <w:t>；</w:t>
            </w:r>
          </w:p>
          <w:p w14:paraId="53E502F9">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评审为良(项目应急方案整体科学合理、针对性和可操作性较强)的加</w:t>
            </w:r>
            <w:r>
              <w:rPr>
                <w:rFonts w:hint="eastAsia" w:ascii="宋体" w:hAnsi="宋体" w:eastAsia="宋体" w:cs="宋体"/>
                <w:sz w:val="22"/>
                <w:szCs w:val="22"/>
                <w:highlight w:val="none"/>
                <w:lang w:val="en-US" w:eastAsia="zh-CN"/>
              </w:rPr>
              <w:t>2分</w:t>
            </w:r>
            <w:r>
              <w:rPr>
                <w:rFonts w:hint="eastAsia" w:ascii="宋体" w:hAnsi="宋体" w:eastAsia="宋体" w:cs="宋体"/>
                <w:sz w:val="22"/>
                <w:szCs w:val="22"/>
                <w:highlight w:val="none"/>
              </w:rPr>
              <w:t>；</w:t>
            </w:r>
          </w:p>
          <w:p w14:paraId="5C2CFEDA">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评审为中(项目应急方案整体科学合理性一般、针对性和可操作性一般)的加</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w:t>
            </w:r>
          </w:p>
          <w:p w14:paraId="3B2989EF">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评审为差(项目应急方案整体不科学不合理、不具有针对性强和可操作性)的不得分；未提供的不得分。</w:t>
            </w:r>
          </w:p>
        </w:tc>
      </w:tr>
      <w:tr w14:paraId="3F27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33" w:hRule="atLeast"/>
          <w:jc w:val="center"/>
        </w:trPr>
        <w:tc>
          <w:tcPr>
            <w:tcW w:w="435" w:type="pct"/>
            <w:shd w:val="clear" w:color="auto" w:fill="FFFFFF" w:themeFill="background1"/>
            <w:noWrap w:val="0"/>
            <w:vAlign w:val="center"/>
          </w:tcPr>
          <w:p w14:paraId="3E108992">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w:t>
            </w:r>
          </w:p>
        </w:tc>
        <w:tc>
          <w:tcPr>
            <w:tcW w:w="1000" w:type="pct"/>
            <w:shd w:val="clear" w:color="auto" w:fill="FFFFFF" w:themeFill="background1"/>
            <w:noWrap w:val="0"/>
            <w:vAlign w:val="center"/>
          </w:tcPr>
          <w:p w14:paraId="40EC88D4">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配送保障能力</w:t>
            </w:r>
          </w:p>
        </w:tc>
        <w:tc>
          <w:tcPr>
            <w:tcW w:w="482" w:type="pct"/>
            <w:shd w:val="clear" w:color="auto" w:fill="FFFFFF" w:themeFill="background1"/>
            <w:noWrap w:val="0"/>
            <w:vAlign w:val="center"/>
          </w:tcPr>
          <w:p w14:paraId="2E2FA61A">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w:t>
            </w:r>
          </w:p>
        </w:tc>
        <w:tc>
          <w:tcPr>
            <w:tcW w:w="694" w:type="pct"/>
            <w:shd w:val="clear" w:color="auto" w:fill="FFFFFF" w:themeFill="background1"/>
            <w:noWrap w:val="0"/>
            <w:vAlign w:val="center"/>
          </w:tcPr>
          <w:p w14:paraId="4C331803">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7542D158">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017859B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根据投标人自有或租赁的冷藏运输车辆总数进行评分：每提供一辆冷藏运输车得</w:t>
            </w:r>
            <w:r>
              <w:rPr>
                <w:rFonts w:hint="eastAsia" w:ascii="宋体" w:hAnsi="宋体" w:eastAsia="宋体" w:cs="宋体"/>
                <w:sz w:val="22"/>
                <w:szCs w:val="22"/>
                <w:highlight w:val="none"/>
                <w:lang w:val="en-US" w:eastAsia="zh-CN"/>
              </w:rPr>
              <w:t>1.5分</w:t>
            </w:r>
            <w:r>
              <w:rPr>
                <w:rFonts w:hint="eastAsia" w:ascii="宋体" w:hAnsi="宋体" w:eastAsia="宋体" w:cs="宋体"/>
                <w:sz w:val="22"/>
                <w:szCs w:val="22"/>
                <w:highlight w:val="none"/>
              </w:rPr>
              <w:t>，最高得</w:t>
            </w:r>
            <w:r>
              <w:rPr>
                <w:rFonts w:hint="eastAsia" w:ascii="宋体" w:hAnsi="宋体" w:eastAsia="宋体" w:cs="宋体"/>
                <w:sz w:val="22"/>
                <w:szCs w:val="22"/>
                <w:highlight w:val="none"/>
                <w:lang w:val="en-US" w:eastAsia="zh-CN"/>
              </w:rPr>
              <w:t>3分</w:t>
            </w:r>
            <w:r>
              <w:rPr>
                <w:rFonts w:hint="eastAsia" w:ascii="宋体" w:hAnsi="宋体" w:eastAsia="宋体" w:cs="宋体"/>
                <w:sz w:val="22"/>
                <w:szCs w:val="22"/>
                <w:highlight w:val="none"/>
              </w:rPr>
              <w:t>。</w:t>
            </w:r>
          </w:p>
          <w:p w14:paraId="6C6F0EB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3A5E0BE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若为自有的，提供①车辆行驶证（年审在有效期内）；②车辆购置发票或机动车登记证书，车辆所有人必须为投标单位或投标人法定代表人；③车头完整正面图片（含车牌号码）；</w:t>
            </w:r>
          </w:p>
          <w:p w14:paraId="6C83AF8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若为租赁的，提供①车辆行驶证（年审在有效期内）；②车头完整正面图片（含车牌号码）；③提供车辆租赁合同；④</w:t>
            </w:r>
            <w:r>
              <w:rPr>
                <w:rFonts w:hint="eastAsia" w:ascii="宋体" w:hAnsi="宋体" w:eastAsia="宋体" w:cs="宋体"/>
                <w:sz w:val="22"/>
                <w:szCs w:val="22"/>
                <w:highlight w:val="none"/>
                <w:lang w:val="en-US" w:eastAsia="zh-CN"/>
              </w:rPr>
              <w:t>提供</w:t>
            </w:r>
            <w:r>
              <w:rPr>
                <w:rFonts w:hint="eastAsia" w:ascii="宋体" w:hAnsi="宋体" w:eastAsia="宋体" w:cs="宋体"/>
                <w:sz w:val="22"/>
                <w:szCs w:val="22"/>
                <w:highlight w:val="none"/>
              </w:rPr>
              <w:t>至本项目投标截止日中任意一次的租金发票或银行</w:t>
            </w:r>
            <w:r>
              <w:rPr>
                <w:rFonts w:hint="eastAsia" w:ascii="宋体" w:hAnsi="宋体" w:eastAsia="宋体" w:cs="宋体"/>
                <w:sz w:val="22"/>
                <w:szCs w:val="22"/>
                <w:highlight w:val="none"/>
                <w:lang w:val="en-US" w:eastAsia="zh-CN"/>
              </w:rPr>
              <w:t>付款凭证</w:t>
            </w:r>
            <w:r>
              <w:rPr>
                <w:rFonts w:hint="eastAsia" w:ascii="宋体" w:hAnsi="宋体" w:eastAsia="宋体" w:cs="宋体"/>
                <w:sz w:val="22"/>
                <w:szCs w:val="22"/>
                <w:highlight w:val="none"/>
              </w:rPr>
              <w:t>；⑤出租方的车辆购置发票或机动车登记证书，未按要求提供或提供不清晰导致专家无法判断的不得分，原件备查。</w:t>
            </w:r>
          </w:p>
        </w:tc>
      </w:tr>
      <w:tr w14:paraId="1C506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326909D7">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3</w:t>
            </w:r>
          </w:p>
        </w:tc>
        <w:tc>
          <w:tcPr>
            <w:tcW w:w="1000" w:type="pct"/>
            <w:shd w:val="clear" w:color="auto" w:fill="FFFFFF" w:themeFill="background1"/>
            <w:noWrap w:val="0"/>
            <w:vAlign w:val="center"/>
          </w:tcPr>
          <w:p w14:paraId="5259BC42">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服务配套的设备</w:t>
            </w:r>
          </w:p>
        </w:tc>
        <w:tc>
          <w:tcPr>
            <w:tcW w:w="482" w:type="pct"/>
            <w:shd w:val="clear" w:color="auto" w:fill="FFFFFF" w:themeFill="background1"/>
            <w:noWrap w:val="0"/>
            <w:vAlign w:val="center"/>
          </w:tcPr>
          <w:p w14:paraId="127EF5D9">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b w:val="0"/>
                <w:bCs w:val="0"/>
                <w:color w:val="auto"/>
                <w:sz w:val="22"/>
                <w:szCs w:val="22"/>
                <w:highlight w:val="none"/>
                <w:lang w:val="en-US" w:eastAsia="zh-CN"/>
              </w:rPr>
              <w:t>10</w:t>
            </w:r>
          </w:p>
        </w:tc>
        <w:tc>
          <w:tcPr>
            <w:tcW w:w="694" w:type="pct"/>
            <w:shd w:val="clear" w:color="auto" w:fill="FFFFFF" w:themeFill="background1"/>
            <w:noWrap w:val="0"/>
            <w:vAlign w:val="center"/>
          </w:tcPr>
          <w:p w14:paraId="67B3E4A4">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3E8EC421">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3B79309F">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①投标人自有检测室，且通过具有行政机关（或事业单位）或行业协会颁发的定量定性检验类荣誉证书得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没有的不得分</w:t>
            </w:r>
            <w:r>
              <w:rPr>
                <w:rFonts w:hint="eastAsia" w:ascii="宋体" w:hAnsi="宋体" w:eastAsia="宋体" w:cs="宋体"/>
                <w:sz w:val="22"/>
                <w:szCs w:val="22"/>
                <w:highlight w:val="none"/>
                <w:lang w:eastAsia="zh-CN"/>
              </w:rPr>
              <w:t>；</w:t>
            </w:r>
          </w:p>
          <w:p w14:paraId="4BB7C8CD">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②投标人自有农药残留检测仪，为确保仪器正常使用以及数据准确，提供202</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年</w:t>
            </w:r>
            <w:r>
              <w:rPr>
                <w:rFonts w:hint="eastAsia" w:ascii="宋体" w:hAnsi="宋体" w:eastAsia="宋体" w:cs="宋体"/>
                <w:sz w:val="22"/>
                <w:szCs w:val="22"/>
                <w:highlight w:val="none"/>
                <w:lang w:val="en-US" w:eastAsia="zh-CN"/>
              </w:rPr>
              <w:t>以来</w:t>
            </w:r>
            <w:r>
              <w:rPr>
                <w:rFonts w:hint="eastAsia" w:ascii="宋体" w:hAnsi="宋体" w:eastAsia="宋体" w:cs="宋体"/>
                <w:sz w:val="22"/>
                <w:szCs w:val="22"/>
                <w:highlight w:val="none"/>
              </w:rPr>
              <w:t>的仪器校准报告，且仪器校准内容应包含但不限于分辨力、信噪比、质量准确性、峰面积重复性、离子丰度比重复性、保留时间重复性，得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w:t>
            </w:r>
          </w:p>
          <w:p w14:paraId="3C434989">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③投标人自有微生物检测仪，为确保仪器正常使用以及数据准确，提供202</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年</w:t>
            </w:r>
            <w:r>
              <w:rPr>
                <w:rFonts w:hint="eastAsia" w:ascii="宋体" w:hAnsi="宋体" w:eastAsia="宋体" w:cs="宋体"/>
                <w:sz w:val="22"/>
                <w:szCs w:val="22"/>
                <w:highlight w:val="none"/>
                <w:lang w:val="en-US" w:eastAsia="zh-CN"/>
              </w:rPr>
              <w:t>以来</w:t>
            </w:r>
            <w:r>
              <w:rPr>
                <w:rFonts w:hint="eastAsia" w:ascii="宋体" w:hAnsi="宋体" w:eastAsia="宋体" w:cs="宋体"/>
                <w:sz w:val="22"/>
                <w:szCs w:val="22"/>
                <w:highlight w:val="none"/>
              </w:rPr>
              <w:t>的仪器校准报告，且仪器校准内容应包含但不限于进样压力稳定性、进样压力重复性、激发光波长、激发光强度均匀性、激发光强度稳定性，得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w:t>
            </w:r>
          </w:p>
          <w:p w14:paraId="53FA7C6C">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④投标人自有食品添加剂检测仪，为确保仪器正常使用以及数据准确，提供202</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年</w:t>
            </w:r>
            <w:r>
              <w:rPr>
                <w:rFonts w:hint="eastAsia" w:ascii="宋体" w:hAnsi="宋体" w:eastAsia="宋体" w:cs="宋体"/>
                <w:sz w:val="22"/>
                <w:szCs w:val="22"/>
                <w:highlight w:val="none"/>
                <w:lang w:val="en-US" w:eastAsia="zh-CN"/>
              </w:rPr>
              <w:t>以来</w:t>
            </w:r>
            <w:r>
              <w:rPr>
                <w:rFonts w:hint="eastAsia" w:ascii="宋体" w:hAnsi="宋体" w:eastAsia="宋体" w:cs="宋体"/>
                <w:sz w:val="22"/>
                <w:szCs w:val="22"/>
                <w:highlight w:val="none"/>
              </w:rPr>
              <w:t>的仪器校准报告，且仪器校准内容应包含但不限于基线噪声、基线漂移、最小检测浓度、波长示值最大允许误差、波长重复性、线性范围，得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w:t>
            </w:r>
          </w:p>
          <w:p w14:paraId="2082D80C">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以上最高得</w:t>
            </w:r>
            <w:r>
              <w:rPr>
                <w:rFonts w:hint="eastAsia" w:ascii="宋体" w:hAnsi="宋体" w:eastAsia="宋体" w:cs="宋体"/>
                <w:sz w:val="22"/>
                <w:szCs w:val="22"/>
                <w:highlight w:val="none"/>
                <w:lang w:val="en-US" w:eastAsia="zh-CN"/>
              </w:rPr>
              <w:t>10分</w:t>
            </w:r>
            <w:r>
              <w:rPr>
                <w:rFonts w:hint="eastAsia" w:ascii="宋体" w:hAnsi="宋体" w:eastAsia="宋体" w:cs="宋体"/>
                <w:sz w:val="22"/>
                <w:szCs w:val="22"/>
                <w:highlight w:val="none"/>
              </w:rPr>
              <w:t xml:space="preserve">。 </w:t>
            </w:r>
          </w:p>
          <w:p w14:paraId="0FFB96A6">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255AFBDD">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①投标人提供检测室产权证明或建设合同复印件；</w:t>
            </w:r>
          </w:p>
          <w:p w14:paraId="6151A736">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提供有效期内的荣誉证书复印件；若证书由行业协会颁发，还需同时提供①社会团体法人登记证复印件（业务主管单位须是省级（或以上）农业部门），②提供颁发机构在中国社会组织政务服务平台（https://chinanpo.mca.gov.cn）登记信息状态“正常”的网站查询截图。。</w:t>
            </w:r>
          </w:p>
          <w:p w14:paraId="5D690D66">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③购买仪器发票扫描件及由具备CMA资质或CNAS资质的第三方检测机构出具的校准报告扫描件。</w:t>
            </w:r>
          </w:p>
          <w:p w14:paraId="3F229708">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rPr>
            </w:pPr>
            <w:r>
              <w:rPr>
                <w:rFonts w:hint="eastAsia" w:ascii="宋体" w:hAnsi="宋体" w:eastAsia="宋体" w:cs="宋体"/>
                <w:sz w:val="22"/>
                <w:szCs w:val="22"/>
                <w:highlight w:val="none"/>
              </w:rPr>
              <w:t>原件备查，未按要求提供或提供不清晰导致专家无法判断的不得分。</w:t>
            </w:r>
          </w:p>
        </w:tc>
      </w:tr>
      <w:tr w14:paraId="52F5F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2B1042A9">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4</w:t>
            </w:r>
          </w:p>
        </w:tc>
        <w:tc>
          <w:tcPr>
            <w:tcW w:w="1000" w:type="pct"/>
            <w:shd w:val="clear" w:color="auto" w:fill="FFFFFF" w:themeFill="background1"/>
            <w:noWrap w:val="0"/>
            <w:vAlign w:val="center"/>
          </w:tcPr>
          <w:p w14:paraId="785B2846">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第三方食材检测</w:t>
            </w:r>
          </w:p>
        </w:tc>
        <w:tc>
          <w:tcPr>
            <w:tcW w:w="482" w:type="pct"/>
            <w:shd w:val="clear" w:color="auto" w:fill="FFFFFF" w:themeFill="background1"/>
            <w:noWrap w:val="0"/>
            <w:vAlign w:val="center"/>
          </w:tcPr>
          <w:p w14:paraId="46D4D12C">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b w:val="0"/>
                <w:bCs w:val="0"/>
                <w:color w:val="auto"/>
                <w:sz w:val="22"/>
                <w:szCs w:val="22"/>
                <w:highlight w:val="none"/>
                <w:lang w:val="en-US" w:eastAsia="zh-CN"/>
              </w:rPr>
              <w:t>10</w:t>
            </w:r>
          </w:p>
        </w:tc>
        <w:tc>
          <w:tcPr>
            <w:tcW w:w="694" w:type="pct"/>
            <w:shd w:val="clear" w:color="auto" w:fill="FFFFFF" w:themeFill="background1"/>
            <w:noWrap w:val="0"/>
            <w:vAlign w:val="center"/>
          </w:tcPr>
          <w:p w14:paraId="454A809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0554EA1C">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2188F2BA">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提供的自2023年1月1日至本项目投标截止日之前，由具备中国计量认证（以下简称“CMA”）资质或中国合格评定国家认可委员会（以下简称“CNAS”）资质的第三方检测机构出具印有CMA印章标识或CNAS印章标识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检测报告（检测报告的委托单位需为投标人，检测结果为合格或未检出等表述）：</w:t>
            </w:r>
          </w:p>
          <w:p w14:paraId="440E40F7">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①各提供叶菜类、瓜果类、水果类（三种）的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检测报告，且每份</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测报告的检测项目须包含：铅、镉、灭幼脲、三氯杀螨醇、苯并(b)荧蒽、五氯硝基苯、乙烯菌核利、乙酰甲胺磷、二嗪磷、嘧霉胺、苯并(a)芘、氯虫苯甲酰胺，完全符合得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，缺项不得分；</w:t>
            </w:r>
          </w:p>
          <w:p w14:paraId="6E0061B3">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②各提供鱼、虾、蟹（三种）的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检测报告，且每份</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检测报告的检测项目须包含：铅、镉、培氟沙星、恩诺沙星、氟甲砜霉素、四环素、金霉素、土霉素、氯霉素、多西环素、磺胺甲噁唑、苯并(a)芘，完全符合得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，缺项不得分；</w:t>
            </w:r>
          </w:p>
          <w:p w14:paraId="6510BEF2">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③各提供干黄豆、干木耳、干香菇（三种）的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检测报告，且每份</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检测报告的检测项目须包含：黄曲霉毒素B1、苯并(b)荧蒽、苯并(g,h,i)苝、苯并(k)荧蒽、芘、苊、蒽、二苯并(a,h)蒽、菲、萘、芴、苯并(a)芘、灭幼脲、除虫脲，完全符合得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，缺项不得分；</w:t>
            </w:r>
          </w:p>
          <w:p w14:paraId="7167FDC9">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④各提供酱油、醋、辣椒酱（三种）的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检测报告，且每份</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的检测项目须包含：铅、镉、苯甲酸、黄曲霉毒素B1、二嗪磷、哒螨灵、阿维菌素、2,6-二叔丁基对甲基苯酚(BHT)、没食子酸丙酯（PG）、叔丁基对苯二酚(TBHQ)、叔丁基对羟基茴香醚(BHA)、环己基氨基磺酸钠，完全符合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，缺项不得分；</w:t>
            </w:r>
          </w:p>
          <w:p w14:paraId="0EFFA69E">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以上最高得</w:t>
            </w:r>
            <w:r>
              <w:rPr>
                <w:rFonts w:hint="eastAsia" w:ascii="宋体" w:hAnsi="宋体" w:eastAsia="宋体" w:cs="宋体"/>
                <w:sz w:val="22"/>
                <w:szCs w:val="22"/>
                <w:highlight w:val="none"/>
                <w:lang w:val="en-US" w:eastAsia="zh-CN"/>
              </w:rPr>
              <w:t>10分</w:t>
            </w:r>
            <w:r>
              <w:rPr>
                <w:rFonts w:hint="eastAsia" w:ascii="宋体" w:hAnsi="宋体" w:eastAsia="宋体" w:cs="宋体"/>
                <w:sz w:val="22"/>
                <w:szCs w:val="22"/>
                <w:highlight w:val="none"/>
              </w:rPr>
              <w:t>。</w:t>
            </w:r>
          </w:p>
          <w:p w14:paraId="6E2D1D7B">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54A212BC">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投标人提供2023年1月1日至本项目投标截止日之前</w:t>
            </w:r>
            <w:r>
              <w:rPr>
                <w:rFonts w:hint="eastAsia" w:ascii="宋体" w:hAnsi="宋体" w:eastAsia="宋体" w:cs="宋体"/>
                <w:sz w:val="22"/>
                <w:szCs w:val="22"/>
                <w:highlight w:val="none"/>
                <w:lang w:val="en-US" w:eastAsia="zh-CN"/>
              </w:rPr>
              <w:t>任意</w:t>
            </w:r>
            <w:r>
              <w:rPr>
                <w:rFonts w:hint="eastAsia" w:ascii="宋体" w:hAnsi="宋体" w:eastAsia="宋体" w:cs="宋体"/>
                <w:sz w:val="22"/>
                <w:szCs w:val="22"/>
                <w:highlight w:val="none"/>
              </w:rPr>
              <w:t>连续三个月的</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检测报告（加盖第三方检测机构公章和</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检测专用章）复印件及相对应三个月的检测费用发票，</w:t>
            </w:r>
            <w:r>
              <w:rPr>
                <w:rFonts w:hint="eastAsia" w:ascii="宋体" w:hAnsi="宋体" w:eastAsia="宋体" w:cs="宋体"/>
                <w:sz w:val="22"/>
                <w:szCs w:val="22"/>
                <w:highlight w:val="none"/>
                <w:lang w:val="en-US" w:eastAsia="zh-CN"/>
              </w:rPr>
              <w:t>检验</w:t>
            </w:r>
            <w:r>
              <w:rPr>
                <w:rFonts w:hint="eastAsia" w:ascii="宋体" w:hAnsi="宋体" w:eastAsia="宋体" w:cs="宋体"/>
                <w:sz w:val="22"/>
                <w:szCs w:val="22"/>
                <w:highlight w:val="none"/>
              </w:rPr>
              <w:t>检测报告上需有CMA印章标识或CNAS印章标识。</w:t>
            </w:r>
          </w:p>
          <w:p w14:paraId="7A6747A2">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rPr>
            </w:pPr>
            <w:r>
              <w:rPr>
                <w:rFonts w:hint="eastAsia" w:ascii="宋体" w:hAnsi="宋体" w:eastAsia="宋体" w:cs="宋体"/>
                <w:sz w:val="22"/>
                <w:szCs w:val="22"/>
                <w:highlight w:val="none"/>
              </w:rPr>
              <w:t>注：若供应商成立不足三个月的，需提供成立情况说明函（格式自拟），无需提供相关检测报告，亦可得分；以上资料原件备查，未按要求提供或提供不清晰导致专家无法判断的不得分。</w:t>
            </w:r>
          </w:p>
        </w:tc>
      </w:tr>
      <w:tr w14:paraId="10BF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357EF3C1">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5</w:t>
            </w:r>
          </w:p>
        </w:tc>
        <w:tc>
          <w:tcPr>
            <w:tcW w:w="1000" w:type="pct"/>
            <w:shd w:val="clear" w:color="auto" w:fill="FFFFFF" w:themeFill="background1"/>
            <w:noWrap w:val="0"/>
            <w:vAlign w:val="center"/>
          </w:tcPr>
          <w:p w14:paraId="1A23693B">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基地建设</w:t>
            </w:r>
          </w:p>
        </w:tc>
        <w:tc>
          <w:tcPr>
            <w:tcW w:w="482" w:type="pct"/>
            <w:shd w:val="clear" w:color="auto" w:fill="FFFFFF" w:themeFill="background1"/>
            <w:noWrap w:val="0"/>
            <w:vAlign w:val="center"/>
          </w:tcPr>
          <w:p w14:paraId="41753CE9">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b w:val="0"/>
                <w:bCs w:val="0"/>
                <w:color w:val="auto"/>
                <w:sz w:val="22"/>
                <w:szCs w:val="22"/>
                <w:highlight w:val="none"/>
                <w:lang w:val="en-US" w:eastAsia="zh-CN"/>
              </w:rPr>
              <w:t>4</w:t>
            </w:r>
          </w:p>
        </w:tc>
        <w:tc>
          <w:tcPr>
            <w:tcW w:w="694" w:type="pct"/>
            <w:shd w:val="clear" w:color="auto" w:fill="FFFFFF" w:themeFill="background1"/>
            <w:noWrap w:val="0"/>
            <w:vAlign w:val="center"/>
          </w:tcPr>
          <w:p w14:paraId="79290AC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2F5CA953">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209C35C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 xml:space="preserve"> （1）投标人具备（自有或租赁或合作）种植基地面积情况：面积≥500亩的，得</w:t>
            </w:r>
            <w:r>
              <w:rPr>
                <w:rFonts w:hint="eastAsia" w:ascii="宋体" w:hAnsi="宋体" w:eastAsia="宋体" w:cs="宋体"/>
                <w:sz w:val="22"/>
                <w:szCs w:val="22"/>
                <w:highlight w:val="none"/>
                <w:lang w:val="en-US" w:eastAsia="zh-CN"/>
              </w:rPr>
              <w:t>2.5</w:t>
            </w:r>
            <w:r>
              <w:rPr>
                <w:rFonts w:hint="eastAsia" w:ascii="宋体" w:hAnsi="宋体" w:eastAsia="宋体" w:cs="宋体"/>
                <w:sz w:val="22"/>
                <w:szCs w:val="22"/>
                <w:highlight w:val="none"/>
              </w:rPr>
              <w:t>分；300 亩≤面积＜500 亩的，得</w:t>
            </w: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分；100亩≤面积＜300 亩的，得</w:t>
            </w:r>
            <w:r>
              <w:rPr>
                <w:rFonts w:hint="eastAsia" w:ascii="宋体" w:hAnsi="宋体" w:eastAsia="宋体" w:cs="宋体"/>
                <w:sz w:val="22"/>
                <w:szCs w:val="22"/>
                <w:highlight w:val="none"/>
                <w:lang w:val="en-US" w:eastAsia="zh-CN"/>
              </w:rPr>
              <w:t>0.5</w:t>
            </w:r>
            <w:r>
              <w:rPr>
                <w:rFonts w:hint="eastAsia" w:ascii="宋体" w:hAnsi="宋体" w:eastAsia="宋体" w:cs="宋体"/>
                <w:sz w:val="22"/>
                <w:szCs w:val="22"/>
                <w:highlight w:val="none"/>
              </w:rPr>
              <w:t>分；其他情况不得分，此项最高得</w:t>
            </w:r>
            <w:r>
              <w:rPr>
                <w:rFonts w:hint="eastAsia" w:ascii="宋体" w:hAnsi="宋体" w:eastAsia="宋体" w:cs="宋体"/>
                <w:sz w:val="22"/>
                <w:szCs w:val="22"/>
                <w:highlight w:val="none"/>
                <w:lang w:val="en-US" w:eastAsia="zh-CN"/>
              </w:rPr>
              <w:t>2.5</w:t>
            </w:r>
            <w:r>
              <w:rPr>
                <w:rFonts w:hint="eastAsia" w:ascii="宋体" w:hAnsi="宋体" w:eastAsia="宋体" w:cs="宋体"/>
                <w:sz w:val="22"/>
                <w:szCs w:val="22"/>
                <w:highlight w:val="none"/>
              </w:rPr>
              <w:t>分。</w:t>
            </w:r>
          </w:p>
          <w:p w14:paraId="2261FF55">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（2）投标人自2023年1月1日至投标截止之日前，具有第三方检测机构出具的印有CMA或CNAS印章标识的种植基地检测报告（检测报告的委托单位需为投标人，检测结果为合格或未检出等表述）：</w:t>
            </w:r>
          </w:p>
          <w:p w14:paraId="7106AFA0">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①提供土壤检测报告，得</w:t>
            </w:r>
            <w:r>
              <w:rPr>
                <w:rFonts w:hint="eastAsia" w:ascii="宋体" w:hAnsi="宋体" w:eastAsia="宋体" w:cs="宋体"/>
                <w:sz w:val="22"/>
                <w:szCs w:val="22"/>
                <w:highlight w:val="none"/>
                <w:lang w:val="en-US" w:eastAsia="zh-CN"/>
              </w:rPr>
              <w:t>0.5</w:t>
            </w:r>
            <w:r>
              <w:rPr>
                <w:rFonts w:hint="eastAsia" w:ascii="宋体" w:hAnsi="宋体" w:eastAsia="宋体" w:cs="宋体"/>
                <w:sz w:val="22"/>
                <w:szCs w:val="22"/>
                <w:highlight w:val="none"/>
              </w:rPr>
              <w:t>分；</w:t>
            </w:r>
          </w:p>
          <w:p w14:paraId="4EE105AD">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②提供灌溉水源（或灌溉水）检测报告，得</w:t>
            </w:r>
            <w:r>
              <w:rPr>
                <w:rFonts w:hint="eastAsia" w:ascii="宋体" w:hAnsi="宋体" w:eastAsia="宋体" w:cs="宋体"/>
                <w:sz w:val="22"/>
                <w:szCs w:val="22"/>
                <w:highlight w:val="none"/>
                <w:lang w:val="en-US" w:eastAsia="zh-CN"/>
              </w:rPr>
              <w:t>0.5</w:t>
            </w:r>
            <w:r>
              <w:rPr>
                <w:rFonts w:hint="eastAsia" w:ascii="宋体" w:hAnsi="宋体" w:eastAsia="宋体" w:cs="宋体"/>
                <w:sz w:val="22"/>
                <w:szCs w:val="22"/>
                <w:highlight w:val="none"/>
              </w:rPr>
              <w:t>分；</w:t>
            </w:r>
          </w:p>
          <w:p w14:paraId="20C406F2">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③提供环境空气检测报告，得</w:t>
            </w:r>
            <w:r>
              <w:rPr>
                <w:rFonts w:hint="eastAsia" w:ascii="宋体" w:hAnsi="宋体" w:eastAsia="宋体" w:cs="宋体"/>
                <w:sz w:val="22"/>
                <w:szCs w:val="22"/>
                <w:highlight w:val="none"/>
                <w:lang w:val="en-US" w:eastAsia="zh-CN"/>
              </w:rPr>
              <w:t>0.5</w:t>
            </w:r>
            <w:r>
              <w:rPr>
                <w:rFonts w:hint="eastAsia" w:ascii="宋体" w:hAnsi="宋体" w:eastAsia="宋体" w:cs="宋体"/>
                <w:sz w:val="22"/>
                <w:szCs w:val="22"/>
                <w:highlight w:val="none"/>
              </w:rPr>
              <w:t>分。</w:t>
            </w:r>
          </w:p>
          <w:p w14:paraId="1DF6D5D4">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以上两项合计最高得</w:t>
            </w: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rPr>
              <w:t>分</w:t>
            </w:r>
            <w:r>
              <w:rPr>
                <w:rFonts w:hint="eastAsia" w:ascii="宋体" w:hAnsi="宋体" w:eastAsia="宋体" w:cs="宋体"/>
                <w:sz w:val="22"/>
                <w:szCs w:val="22"/>
                <w:highlight w:val="none"/>
                <w:lang w:eastAsia="zh-CN"/>
              </w:rPr>
              <w:t>。</w:t>
            </w:r>
          </w:p>
          <w:p w14:paraId="180AE025">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5666A35E">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1.投标人提供有效的自有种植基地产权证明或基地土地租赁合同证明文件或合作协议复印件；</w:t>
            </w:r>
          </w:p>
          <w:p w14:paraId="67134C90">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2.投标人提供土壤、灌溉水源（或灌溉水）、环境空气检测报告复印件，检测报告上需有CMA或CNAS印章标识。</w:t>
            </w:r>
          </w:p>
          <w:p w14:paraId="14840137">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rPr>
            </w:pPr>
            <w:r>
              <w:rPr>
                <w:rFonts w:hint="eastAsia" w:ascii="宋体" w:hAnsi="宋体" w:eastAsia="宋体" w:cs="宋体"/>
                <w:sz w:val="22"/>
                <w:szCs w:val="22"/>
                <w:highlight w:val="none"/>
              </w:rPr>
              <w:t>以上资料原件备查，未按要求提供或提供不清晰导致专家无法判断的不得分。</w:t>
            </w:r>
          </w:p>
        </w:tc>
      </w:tr>
      <w:tr w14:paraId="0AD2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281162FD">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6</w:t>
            </w:r>
          </w:p>
        </w:tc>
        <w:tc>
          <w:tcPr>
            <w:tcW w:w="1000" w:type="pct"/>
            <w:shd w:val="clear" w:color="auto" w:fill="FFFFFF" w:themeFill="background1"/>
            <w:noWrap w:val="0"/>
            <w:vAlign w:val="center"/>
          </w:tcPr>
          <w:p w14:paraId="31D649AF">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拟投入项目负责人（仅限1人）</w:t>
            </w:r>
          </w:p>
        </w:tc>
        <w:tc>
          <w:tcPr>
            <w:tcW w:w="482" w:type="pct"/>
            <w:shd w:val="clear" w:color="auto" w:fill="FFFFFF" w:themeFill="background1"/>
            <w:noWrap w:val="0"/>
            <w:vAlign w:val="center"/>
          </w:tcPr>
          <w:p w14:paraId="412176E3">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6536A551">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027B4E9A">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4A4C5BF0">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投标人拟派本科（或以上）的项目负责人（限1人）：</w:t>
            </w:r>
          </w:p>
          <w:p w14:paraId="008C04D8">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sz w:val="22"/>
                <w:szCs w:val="22"/>
                <w:highlight w:val="none"/>
              </w:rPr>
              <w:t>①</w:t>
            </w:r>
            <w:r>
              <w:rPr>
                <w:rFonts w:hint="eastAsia" w:ascii="宋体" w:hAnsi="宋体" w:eastAsia="宋体" w:cs="宋体"/>
                <w:b w:val="0"/>
                <w:bCs w:val="0"/>
                <w:kern w:val="2"/>
                <w:sz w:val="22"/>
                <w:szCs w:val="22"/>
                <w:highlight w:val="none"/>
                <w:lang w:val="en-US" w:eastAsia="zh-CN" w:bidi="ar-SA"/>
              </w:rPr>
              <w:t>具有食品安全总监证书，得1分；</w:t>
            </w:r>
          </w:p>
          <w:p w14:paraId="74C7E9A4">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sz w:val="22"/>
                <w:szCs w:val="22"/>
                <w:highlight w:val="none"/>
              </w:rPr>
              <w:t>②</w:t>
            </w:r>
            <w:r>
              <w:rPr>
                <w:rFonts w:hint="eastAsia" w:ascii="宋体" w:hAnsi="宋体" w:eastAsia="宋体" w:cs="宋体"/>
                <w:b w:val="0"/>
                <w:bCs w:val="0"/>
                <w:kern w:val="2"/>
                <w:sz w:val="22"/>
                <w:szCs w:val="22"/>
                <w:highlight w:val="none"/>
                <w:lang w:val="en-US" w:eastAsia="zh-CN" w:bidi="ar-SA"/>
              </w:rPr>
              <w:t>具有农产品食品检验员或</w:t>
            </w:r>
            <w:r>
              <w:rPr>
                <w:rFonts w:hint="eastAsia" w:ascii="宋体" w:hAnsi="宋体" w:eastAsia="宋体" w:cs="宋体"/>
                <w:b w:val="0"/>
                <w:bCs w:val="0"/>
                <w:color w:val="auto"/>
                <w:kern w:val="2"/>
                <w:sz w:val="22"/>
                <w:szCs w:val="22"/>
                <w:highlight w:val="none"/>
                <w:lang w:val="en-US" w:eastAsia="zh-CN" w:bidi="ar-SA"/>
              </w:rPr>
              <w:t>食品检验员（工）证书</w:t>
            </w:r>
            <w:r>
              <w:rPr>
                <w:rFonts w:hint="eastAsia" w:ascii="宋体" w:hAnsi="宋体" w:eastAsia="宋体" w:cs="宋体"/>
                <w:b w:val="0"/>
                <w:bCs w:val="0"/>
                <w:kern w:val="2"/>
                <w:sz w:val="22"/>
                <w:szCs w:val="22"/>
                <w:highlight w:val="none"/>
                <w:lang w:val="en-US" w:eastAsia="zh-CN" w:bidi="ar-SA"/>
              </w:rPr>
              <w:t>（一级/高级技师），得2分；</w:t>
            </w:r>
          </w:p>
          <w:p w14:paraId="523BF566">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③</w:t>
            </w:r>
            <w:r>
              <w:rPr>
                <w:rFonts w:hint="eastAsia" w:ascii="宋体" w:hAnsi="宋体" w:eastAsia="宋体" w:cs="宋体"/>
                <w:b w:val="0"/>
                <w:bCs w:val="0"/>
                <w:color w:val="auto"/>
                <w:kern w:val="2"/>
                <w:sz w:val="22"/>
                <w:szCs w:val="22"/>
                <w:highlight w:val="none"/>
                <w:lang w:val="en-US" w:eastAsia="zh-CN" w:bidi="ar-SA"/>
              </w:rPr>
              <w:t>具有</w:t>
            </w:r>
            <w:r>
              <w:rPr>
                <w:rFonts w:hint="eastAsia" w:ascii="宋体" w:hAnsi="宋体" w:eastAsia="宋体" w:cs="宋体"/>
                <w:b w:val="0"/>
                <w:bCs w:val="0"/>
                <w:kern w:val="2"/>
                <w:sz w:val="22"/>
                <w:szCs w:val="22"/>
                <w:highlight w:val="none"/>
                <w:lang w:val="en-US" w:eastAsia="zh-CN" w:bidi="ar-SA"/>
              </w:rPr>
              <w:t>公共营养师证书（一级/高级技师），得2分；</w:t>
            </w:r>
          </w:p>
          <w:p w14:paraId="53E4A40B">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以上累计最高得5分。</w:t>
            </w:r>
          </w:p>
          <w:p w14:paraId="62C1BE1B">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1573C55E">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提供</w:t>
            </w:r>
            <w:r>
              <w:rPr>
                <w:rFonts w:hint="eastAsia" w:ascii="宋体" w:hAnsi="宋体" w:eastAsia="宋体" w:cs="宋体"/>
                <w:sz w:val="22"/>
                <w:szCs w:val="22"/>
                <w:highlight w:val="none"/>
                <w:lang w:val="en-US" w:eastAsia="zh-CN"/>
              </w:rPr>
              <w:t>相关</w:t>
            </w:r>
            <w:r>
              <w:rPr>
                <w:rFonts w:hint="eastAsia" w:ascii="宋体" w:hAnsi="宋体" w:eastAsia="宋体" w:cs="宋体"/>
                <w:sz w:val="22"/>
                <w:szCs w:val="22"/>
                <w:highlight w:val="none"/>
              </w:rPr>
              <w:t>证书的扫描件</w:t>
            </w:r>
            <w:r>
              <w:rPr>
                <w:rFonts w:hint="eastAsia" w:ascii="宋体" w:hAnsi="宋体" w:eastAsia="宋体" w:cs="宋体"/>
                <w:sz w:val="22"/>
                <w:szCs w:val="22"/>
                <w:highlight w:val="none"/>
                <w:lang w:eastAsia="zh-CN"/>
              </w:rPr>
              <w:t>；</w:t>
            </w:r>
          </w:p>
          <w:p w14:paraId="2509A7FF">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lang w:eastAsia="zh-CN"/>
              </w:rPr>
              <w:t>涉及学历：提供毕业证书及学信网查询记录。对于较早颁发的学历证书，学信网无法查询的，要求提供其他佐证材料（如毕业院校、人社部门等颁发机构或监管机构等单位出具的证明）作为可以得分的依据等证明文件作为得分依据。海外留学人员（含港澳台）学历无法通过学信网站查询，允许提供“教育部留学服务中心出具的国外学历认证证书以及教育部留学服务中心官网查询截图”；</w:t>
            </w:r>
          </w:p>
          <w:p w14:paraId="3EB54EA8">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3.若证书是由经人社部门备案的社会培训评价组织发证的，</w:t>
            </w:r>
            <w:r>
              <w:rPr>
                <w:rFonts w:hint="eastAsia" w:ascii="宋体" w:hAnsi="宋体" w:eastAsia="宋体" w:cs="宋体"/>
                <w:sz w:val="22"/>
                <w:szCs w:val="22"/>
                <w:highlight w:val="none"/>
              </w:rPr>
              <w:t>须提供技能人才评价证书全国联网查询截图（http://jndj.osta.org.cn）；</w:t>
            </w:r>
          </w:p>
          <w:p w14:paraId="6B28C4A6">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rPr>
              <w:t>若证书由行业协会颁发，</w:t>
            </w:r>
            <w:r>
              <w:rPr>
                <w:rFonts w:hint="eastAsia" w:ascii="宋体" w:hAnsi="宋体" w:eastAsia="宋体" w:cs="宋体"/>
                <w:sz w:val="22"/>
                <w:szCs w:val="22"/>
                <w:highlight w:val="none"/>
                <w:lang w:val="en-US" w:eastAsia="zh-CN"/>
              </w:rPr>
              <w:t>需</w:t>
            </w:r>
            <w:r>
              <w:rPr>
                <w:rFonts w:hint="eastAsia" w:ascii="宋体" w:hAnsi="宋体" w:eastAsia="宋体" w:cs="宋体"/>
                <w:sz w:val="22"/>
                <w:szCs w:val="22"/>
                <w:highlight w:val="none"/>
              </w:rPr>
              <w:t>提供①社会团体法人登记证扫描件（业务主管单位须是省级（或以上）农业部门），②提供颁发机构在中国社会组织政务服务平台（https://chinanpo.mca.gov.cn）登记信息状态“正常”的网站查询截图</w:t>
            </w:r>
            <w:r>
              <w:rPr>
                <w:rFonts w:hint="eastAsia" w:ascii="宋体" w:hAnsi="宋体" w:eastAsia="宋体" w:cs="宋体"/>
                <w:sz w:val="22"/>
                <w:szCs w:val="22"/>
                <w:highlight w:val="none"/>
                <w:lang w:eastAsia="zh-CN"/>
              </w:rPr>
              <w:t>；</w:t>
            </w:r>
          </w:p>
          <w:p w14:paraId="01F6B720">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5.提供近三个月内任意一个月由投标单位购买的社保证明复印件</w:t>
            </w:r>
            <w:r>
              <w:rPr>
                <w:rFonts w:hint="eastAsia" w:ascii="宋体" w:hAnsi="宋体" w:eastAsia="宋体" w:cs="宋体"/>
                <w:sz w:val="22"/>
                <w:szCs w:val="22"/>
                <w:highlight w:val="none"/>
                <w:lang w:eastAsia="zh-CN"/>
              </w:rPr>
              <w:t>；以上资料原件备查，</w:t>
            </w:r>
            <w:r>
              <w:rPr>
                <w:rFonts w:hint="eastAsia" w:ascii="宋体" w:hAnsi="宋体" w:eastAsia="宋体" w:cs="宋体"/>
                <w:sz w:val="22"/>
                <w:szCs w:val="22"/>
                <w:highlight w:val="none"/>
              </w:rPr>
              <w:t>未按要求提供相关材料或无法凭所提供资料判断是否得分的或证明材料不清晰导致无法识别的，均不得分。</w:t>
            </w:r>
            <w:r>
              <w:rPr>
                <w:rFonts w:hint="eastAsia" w:ascii="宋体" w:hAnsi="宋体" w:eastAsia="宋体" w:cs="宋体"/>
                <w:b w:val="0"/>
                <w:bCs/>
                <w:color w:val="auto"/>
                <w:sz w:val="22"/>
                <w:szCs w:val="22"/>
              </w:rPr>
              <w:t>若</w:t>
            </w:r>
            <w:r>
              <w:rPr>
                <w:rFonts w:hint="eastAsia" w:ascii="宋体" w:hAnsi="宋体" w:eastAsia="宋体" w:cs="宋体"/>
                <w:sz w:val="22"/>
                <w:szCs w:val="22"/>
                <w:highlight w:val="none"/>
                <w:lang w:val="en-US" w:eastAsia="zh-CN"/>
              </w:rPr>
              <w:t>投标单位</w:t>
            </w:r>
            <w:r>
              <w:rPr>
                <w:rFonts w:hint="eastAsia" w:ascii="宋体" w:hAnsi="宋体" w:eastAsia="宋体" w:cs="宋体"/>
                <w:b w:val="0"/>
                <w:bCs/>
                <w:color w:val="auto"/>
                <w:sz w:val="22"/>
                <w:szCs w:val="22"/>
              </w:rPr>
              <w:t>成立不足三个月的，需提供成立情况说明函（格式自拟），无需提供相关人员社保，亦可得分；若为退休返聘人员，需提供说明函（格式自拟），无需提供相关人员社保，亦可得分。</w:t>
            </w:r>
          </w:p>
        </w:tc>
      </w:tr>
      <w:tr w14:paraId="795A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45D5BB34">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7</w:t>
            </w:r>
          </w:p>
        </w:tc>
        <w:tc>
          <w:tcPr>
            <w:tcW w:w="1000" w:type="pct"/>
            <w:shd w:val="clear" w:color="auto" w:fill="FFFFFF" w:themeFill="background1"/>
            <w:noWrap w:val="0"/>
            <w:vAlign w:val="center"/>
          </w:tcPr>
          <w:p w14:paraId="46A46B28">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拟投入综合服务成员（不含项目负责人）</w:t>
            </w:r>
          </w:p>
        </w:tc>
        <w:tc>
          <w:tcPr>
            <w:tcW w:w="482" w:type="pct"/>
            <w:shd w:val="clear" w:color="auto" w:fill="FFFFFF" w:themeFill="background1"/>
            <w:noWrap w:val="0"/>
            <w:vAlign w:val="center"/>
          </w:tcPr>
          <w:p w14:paraId="7608EC67">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sz w:val="22"/>
                <w:szCs w:val="22"/>
                <w:highlight w:val="none"/>
                <w:lang w:val="en-US" w:eastAsia="zh-CN"/>
              </w:rPr>
              <w:t>6</w:t>
            </w:r>
          </w:p>
        </w:tc>
        <w:tc>
          <w:tcPr>
            <w:tcW w:w="694" w:type="pct"/>
            <w:shd w:val="clear" w:color="auto" w:fill="FFFFFF" w:themeFill="background1"/>
            <w:noWrap w:val="0"/>
            <w:vAlign w:val="center"/>
          </w:tcPr>
          <w:p w14:paraId="42387264">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0C9F2FE8">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693DAD31">
            <w:pPr>
              <w:pStyle w:val="2"/>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投标人拟派本项目团队人员（除项目负责人）：</w:t>
            </w:r>
          </w:p>
          <w:p w14:paraId="63CDD54C">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①具有食品检测类相关证书（一级/高级技师)</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得1.5分；</w:t>
            </w:r>
          </w:p>
          <w:p w14:paraId="3D3D97E2">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②具有公共营养类相关证书（一级/高级技师)</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得1.5分；</w:t>
            </w:r>
          </w:p>
          <w:p w14:paraId="0DFD8D84">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③具有健康管理类相关证书（一级/高级技师)</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得1.5分；</w:t>
            </w:r>
          </w:p>
          <w:p w14:paraId="616DE64C">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④具有物流服务类相关证书（一级/高级技师)</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得1.5分；</w:t>
            </w:r>
          </w:p>
          <w:p w14:paraId="27047DBA">
            <w:pPr>
              <w:keepNext w:val="0"/>
              <w:keepLines w:val="0"/>
              <w:pageBreakBefore w:val="0"/>
              <w:widowControl/>
              <w:kinsoku/>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注：一人多个证书不可累积得分，最高得6分。</w:t>
            </w:r>
          </w:p>
          <w:p w14:paraId="34E2C644">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195E8A10">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提供</w:t>
            </w:r>
            <w:r>
              <w:rPr>
                <w:rFonts w:hint="eastAsia" w:ascii="宋体" w:hAnsi="宋体" w:eastAsia="宋体" w:cs="宋体"/>
                <w:sz w:val="22"/>
                <w:szCs w:val="22"/>
                <w:highlight w:val="none"/>
                <w:lang w:val="en-US" w:eastAsia="zh-CN"/>
              </w:rPr>
              <w:t>相关</w:t>
            </w:r>
            <w:r>
              <w:rPr>
                <w:rFonts w:hint="eastAsia" w:ascii="宋体" w:hAnsi="宋体" w:eastAsia="宋体" w:cs="宋体"/>
                <w:sz w:val="22"/>
                <w:szCs w:val="22"/>
                <w:highlight w:val="none"/>
              </w:rPr>
              <w:t>证书的扫描件</w:t>
            </w:r>
            <w:r>
              <w:rPr>
                <w:rFonts w:hint="eastAsia" w:ascii="宋体" w:hAnsi="宋体" w:eastAsia="宋体" w:cs="宋体"/>
                <w:sz w:val="22"/>
                <w:szCs w:val="22"/>
                <w:highlight w:val="none"/>
                <w:lang w:eastAsia="zh-CN"/>
              </w:rPr>
              <w:t>；</w:t>
            </w:r>
          </w:p>
          <w:p w14:paraId="71A2F55B">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2.若证书是由经人社部门备案的社会培训评价组织发证的，</w:t>
            </w:r>
            <w:r>
              <w:rPr>
                <w:rFonts w:hint="eastAsia" w:ascii="宋体" w:hAnsi="宋体" w:eastAsia="宋体" w:cs="宋体"/>
                <w:sz w:val="22"/>
                <w:szCs w:val="22"/>
                <w:highlight w:val="none"/>
              </w:rPr>
              <w:t>须提供技能人才评价证书全国联网查询截图（http://jndj.osta.org.cn）；</w:t>
            </w:r>
          </w:p>
          <w:p w14:paraId="79A02E4A">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若证书由行业协会颁发，需提供①社会团体法人登记证扫描件（业务主管单位须是省级（或以上）农业部门），②提供颁发机构在中国社会组织政务服务平台（https://chinanpo.mca.gov.cn）登记信息状态“正常”的网站查询截图</w:t>
            </w:r>
            <w:r>
              <w:rPr>
                <w:rFonts w:hint="eastAsia" w:ascii="宋体" w:hAnsi="宋体" w:eastAsia="宋体" w:cs="宋体"/>
                <w:sz w:val="22"/>
                <w:szCs w:val="22"/>
                <w:highlight w:val="none"/>
                <w:lang w:eastAsia="zh-CN"/>
              </w:rPr>
              <w:t>。</w:t>
            </w:r>
          </w:p>
          <w:p w14:paraId="69D5434B">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4.提供近三个月内任意一个月由投标单位购买的社保证明复印件</w:t>
            </w:r>
            <w:r>
              <w:rPr>
                <w:rFonts w:hint="eastAsia" w:ascii="宋体" w:hAnsi="宋体" w:eastAsia="宋体" w:cs="宋体"/>
                <w:sz w:val="22"/>
                <w:szCs w:val="22"/>
                <w:highlight w:val="none"/>
                <w:lang w:eastAsia="zh-CN"/>
              </w:rPr>
              <w:t>；以上资料原件备查，</w:t>
            </w:r>
            <w:r>
              <w:rPr>
                <w:rFonts w:hint="eastAsia" w:ascii="宋体" w:hAnsi="宋体" w:eastAsia="宋体" w:cs="宋体"/>
                <w:sz w:val="22"/>
                <w:szCs w:val="22"/>
                <w:highlight w:val="none"/>
              </w:rPr>
              <w:t>未按要求提供相关材料或无法凭所提供资料判断是否得分的或证明材料不清晰导致无法识别的，均不得分。</w:t>
            </w:r>
            <w:r>
              <w:rPr>
                <w:rFonts w:hint="eastAsia" w:ascii="宋体" w:hAnsi="宋体" w:eastAsia="宋体" w:cs="宋体"/>
                <w:b w:val="0"/>
                <w:bCs/>
                <w:color w:val="auto"/>
                <w:sz w:val="22"/>
                <w:szCs w:val="22"/>
              </w:rPr>
              <w:t>若</w:t>
            </w:r>
            <w:r>
              <w:rPr>
                <w:rFonts w:hint="eastAsia" w:ascii="宋体" w:hAnsi="宋体" w:eastAsia="宋体" w:cs="宋体"/>
                <w:sz w:val="22"/>
                <w:szCs w:val="22"/>
                <w:highlight w:val="none"/>
                <w:lang w:val="en-US" w:eastAsia="zh-CN"/>
              </w:rPr>
              <w:t>投标单位</w:t>
            </w:r>
            <w:r>
              <w:rPr>
                <w:rFonts w:hint="eastAsia" w:ascii="宋体" w:hAnsi="宋体" w:eastAsia="宋体" w:cs="宋体"/>
                <w:b w:val="0"/>
                <w:bCs/>
                <w:color w:val="auto"/>
                <w:sz w:val="22"/>
                <w:szCs w:val="22"/>
              </w:rPr>
              <w:t>成立不足三个月的，需提供成立情况说明函（格式自拟），无需提供相关人员社保，亦可得分；若为退休返聘人员，需提供说明函（格式自拟），无需提供相关人员社保，亦可得分。</w:t>
            </w:r>
          </w:p>
        </w:tc>
      </w:tr>
      <w:tr w14:paraId="1B52D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516C7E28">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8</w:t>
            </w:r>
          </w:p>
        </w:tc>
        <w:tc>
          <w:tcPr>
            <w:tcW w:w="1000" w:type="pct"/>
            <w:shd w:val="clear" w:color="auto" w:fill="FFFFFF" w:themeFill="background1"/>
            <w:noWrap w:val="0"/>
            <w:vAlign w:val="center"/>
          </w:tcPr>
          <w:p w14:paraId="41890CD3">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highlight w:val="none"/>
              </w:rPr>
              <w:t>拟投入本项目配送场所</w:t>
            </w:r>
          </w:p>
        </w:tc>
        <w:tc>
          <w:tcPr>
            <w:tcW w:w="482" w:type="pct"/>
            <w:shd w:val="clear" w:color="auto" w:fill="FFFFFF" w:themeFill="background1"/>
            <w:noWrap w:val="0"/>
            <w:vAlign w:val="center"/>
          </w:tcPr>
          <w:p w14:paraId="3C982732">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color w:val="000000"/>
                <w:sz w:val="22"/>
                <w:szCs w:val="22"/>
                <w:lang w:val="en-US" w:eastAsia="zh-CN"/>
              </w:rPr>
            </w:pPr>
            <w:r>
              <w:rPr>
                <w:rFonts w:hint="eastAsia" w:ascii="宋体" w:hAnsi="宋体" w:eastAsia="宋体" w:cs="宋体"/>
                <w:sz w:val="22"/>
                <w:szCs w:val="22"/>
                <w:highlight w:val="none"/>
                <w:lang w:val="en-US" w:eastAsia="zh-CN"/>
              </w:rPr>
              <w:t>3</w:t>
            </w:r>
          </w:p>
        </w:tc>
        <w:tc>
          <w:tcPr>
            <w:tcW w:w="694" w:type="pct"/>
            <w:shd w:val="clear" w:color="auto" w:fill="FFFFFF" w:themeFill="background1"/>
            <w:noWrap w:val="0"/>
            <w:vAlign w:val="center"/>
          </w:tcPr>
          <w:p w14:paraId="1A6C0BBC">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5FBD0542">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0AE69323">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根据投标人的配送场所面积进行评分：</w:t>
            </w:r>
          </w:p>
          <w:p w14:paraId="1D4B5018">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00（含）平方米以上的，得</w:t>
            </w:r>
            <w:r>
              <w:rPr>
                <w:rFonts w:hint="eastAsia" w:ascii="宋体" w:hAnsi="宋体" w:eastAsia="宋体" w:cs="宋体"/>
                <w:sz w:val="22"/>
                <w:szCs w:val="22"/>
                <w:highlight w:val="none"/>
                <w:lang w:val="en-US" w:eastAsia="zh-CN"/>
              </w:rPr>
              <w:t>3分</w:t>
            </w:r>
            <w:r>
              <w:rPr>
                <w:rFonts w:hint="eastAsia" w:ascii="宋体" w:hAnsi="宋体" w:eastAsia="宋体" w:cs="宋体"/>
                <w:sz w:val="22"/>
                <w:szCs w:val="22"/>
                <w:highlight w:val="none"/>
              </w:rPr>
              <w:t>；</w:t>
            </w:r>
          </w:p>
          <w:p w14:paraId="60375FE0">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00（含）-</w:t>
            </w: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000（不含）平方米的，得</w:t>
            </w:r>
            <w:r>
              <w:rPr>
                <w:rFonts w:hint="eastAsia" w:ascii="宋体" w:hAnsi="宋体" w:eastAsia="宋体" w:cs="宋体"/>
                <w:sz w:val="22"/>
                <w:szCs w:val="22"/>
                <w:highlight w:val="none"/>
                <w:lang w:val="en-US" w:eastAsia="zh-CN"/>
              </w:rPr>
              <w:t>2分</w:t>
            </w:r>
            <w:r>
              <w:rPr>
                <w:rFonts w:hint="eastAsia" w:ascii="宋体" w:hAnsi="宋体" w:eastAsia="宋体" w:cs="宋体"/>
                <w:sz w:val="22"/>
                <w:szCs w:val="22"/>
                <w:highlight w:val="none"/>
              </w:rPr>
              <w:t xml:space="preserve">； </w:t>
            </w:r>
          </w:p>
          <w:p w14:paraId="66F8D2A0">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00（含）-</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00（不含）平方米的，得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w:t>
            </w:r>
          </w:p>
          <w:p w14:paraId="7A80A1B6">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00（不含）平方米以下，得</w:t>
            </w:r>
            <w:r>
              <w:rPr>
                <w:rFonts w:hint="eastAsia" w:ascii="宋体" w:hAnsi="宋体" w:eastAsia="宋体" w:cs="宋体"/>
                <w:sz w:val="22"/>
                <w:szCs w:val="22"/>
                <w:highlight w:val="none"/>
                <w:lang w:val="en-US" w:eastAsia="zh-CN"/>
              </w:rPr>
              <w:t>0.5分</w:t>
            </w:r>
            <w:r>
              <w:rPr>
                <w:rFonts w:hint="eastAsia" w:ascii="宋体" w:hAnsi="宋体" w:eastAsia="宋体" w:cs="宋体"/>
                <w:sz w:val="22"/>
                <w:szCs w:val="22"/>
                <w:highlight w:val="none"/>
              </w:rPr>
              <w:t>；</w:t>
            </w:r>
          </w:p>
          <w:p w14:paraId="022F43A5">
            <w:pPr>
              <w:keepNext w:val="0"/>
              <w:keepLines w:val="0"/>
              <w:pageBreakBefore w:val="0"/>
              <w:widowControl/>
              <w:kinsoku/>
              <w:wordWrap w:val="0"/>
              <w:overflowPunct/>
              <w:topLinePunct w:val="0"/>
              <w:autoSpaceDE/>
              <w:autoSpaceDN/>
              <w:bidi w:val="0"/>
              <w:adjustRightInd w:val="0"/>
              <w:snapToGrid w:val="0"/>
              <w:spacing w:line="36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没有</w:t>
            </w:r>
            <w:r>
              <w:rPr>
                <w:rFonts w:hint="eastAsia" w:ascii="宋体" w:hAnsi="宋体" w:eastAsia="宋体" w:cs="宋体"/>
                <w:sz w:val="22"/>
                <w:szCs w:val="22"/>
                <w:highlight w:val="none"/>
              </w:rPr>
              <w:t>不得分。</w:t>
            </w:r>
          </w:p>
          <w:p w14:paraId="515AF99E">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43ED9088">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sz w:val="22"/>
                <w:szCs w:val="22"/>
              </w:rPr>
            </w:pPr>
            <w:r>
              <w:rPr>
                <w:rFonts w:hint="eastAsia" w:ascii="宋体" w:hAnsi="宋体" w:eastAsia="宋体" w:cs="宋体"/>
                <w:sz w:val="22"/>
                <w:szCs w:val="22"/>
                <w:highlight w:val="none"/>
              </w:rPr>
              <w:t>投标人提供的场所地权属证明（房产证明或租赁合同</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的扫描件，未按要求提供或提供不清晰导致专家无法判断的不得分，原件备查。</w:t>
            </w:r>
          </w:p>
        </w:tc>
      </w:tr>
      <w:tr w14:paraId="56CA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328060C8">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9</w:t>
            </w:r>
          </w:p>
        </w:tc>
        <w:tc>
          <w:tcPr>
            <w:tcW w:w="1000" w:type="pct"/>
            <w:shd w:val="clear" w:color="auto" w:fill="FFFFFF" w:themeFill="background1"/>
            <w:noWrap w:val="0"/>
            <w:vAlign w:val="center"/>
          </w:tcPr>
          <w:p w14:paraId="7D5F1872">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冷库面积</w:t>
            </w:r>
          </w:p>
        </w:tc>
        <w:tc>
          <w:tcPr>
            <w:tcW w:w="482" w:type="pct"/>
            <w:shd w:val="clear" w:color="auto" w:fill="FFFFFF" w:themeFill="background1"/>
            <w:noWrap w:val="0"/>
            <w:vAlign w:val="center"/>
          </w:tcPr>
          <w:p w14:paraId="4068C462">
            <w:pPr>
              <w:keepNext w:val="0"/>
              <w:keepLines w:val="0"/>
              <w:pageBreakBefore w:val="0"/>
              <w:widowControl/>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w:t>
            </w:r>
          </w:p>
        </w:tc>
        <w:tc>
          <w:tcPr>
            <w:tcW w:w="694" w:type="pct"/>
            <w:shd w:val="clear" w:color="auto" w:fill="FFFFFF" w:themeFill="background1"/>
            <w:noWrap w:val="0"/>
            <w:vAlign w:val="center"/>
          </w:tcPr>
          <w:p w14:paraId="22EF3933">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03BD080F">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30596EB1">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根据投标人自有</w:t>
            </w:r>
            <w:r>
              <w:rPr>
                <w:rFonts w:hint="eastAsia" w:ascii="宋体" w:hAnsi="宋体" w:eastAsia="宋体" w:cs="宋体"/>
                <w:sz w:val="22"/>
                <w:szCs w:val="22"/>
                <w:highlight w:val="none"/>
                <w:lang w:val="en-US" w:eastAsia="zh-CN"/>
              </w:rPr>
              <w:t>或租赁的</w:t>
            </w:r>
            <w:r>
              <w:rPr>
                <w:rFonts w:hint="eastAsia" w:ascii="宋体" w:hAnsi="宋体" w:eastAsia="宋体" w:cs="宋体"/>
                <w:sz w:val="22"/>
                <w:szCs w:val="22"/>
                <w:highlight w:val="none"/>
              </w:rPr>
              <w:t>冷库（含冷冻库和冷藏库）</w:t>
            </w:r>
            <w:r>
              <w:rPr>
                <w:rFonts w:hint="eastAsia" w:ascii="宋体" w:hAnsi="宋体" w:eastAsia="宋体" w:cs="宋体"/>
                <w:sz w:val="22"/>
                <w:szCs w:val="22"/>
                <w:highlight w:val="none"/>
                <w:lang w:eastAsia="zh-CN"/>
              </w:rPr>
              <w:t>总</w:t>
            </w:r>
            <w:r>
              <w:rPr>
                <w:rFonts w:hint="eastAsia" w:ascii="宋体" w:hAnsi="宋体" w:eastAsia="宋体" w:cs="宋体"/>
                <w:sz w:val="22"/>
                <w:szCs w:val="22"/>
                <w:highlight w:val="none"/>
              </w:rPr>
              <w:t>面积进行评分：</w:t>
            </w:r>
          </w:p>
          <w:p w14:paraId="7C7DF9C4">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面积在</w:t>
            </w: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0平方米（含）以上的得</w:t>
            </w:r>
            <w:r>
              <w:rPr>
                <w:rFonts w:hint="eastAsia" w:ascii="宋体" w:hAnsi="宋体" w:eastAsia="宋体" w:cs="宋体"/>
                <w:sz w:val="22"/>
                <w:szCs w:val="22"/>
                <w:highlight w:val="none"/>
                <w:lang w:val="en-US" w:eastAsia="zh-CN"/>
              </w:rPr>
              <w:t>3分</w:t>
            </w:r>
            <w:r>
              <w:rPr>
                <w:rFonts w:hint="eastAsia" w:ascii="宋体" w:hAnsi="宋体" w:eastAsia="宋体" w:cs="宋体"/>
                <w:sz w:val="22"/>
                <w:szCs w:val="22"/>
                <w:highlight w:val="none"/>
              </w:rPr>
              <w:t>；</w:t>
            </w:r>
          </w:p>
          <w:p w14:paraId="074E3C12">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lang w:eastAsia="zh-CN"/>
              </w:rPr>
              <w:t>）面积在</w:t>
            </w: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0平方米（含）-</w:t>
            </w: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0（</w:t>
            </w:r>
            <w:r>
              <w:rPr>
                <w:rFonts w:hint="eastAsia" w:ascii="宋体" w:hAnsi="宋体" w:eastAsia="宋体" w:cs="宋体"/>
                <w:sz w:val="22"/>
                <w:szCs w:val="22"/>
                <w:highlight w:val="none"/>
                <w:lang w:val="en-US" w:eastAsia="zh-CN"/>
              </w:rPr>
              <w:t>不</w:t>
            </w:r>
            <w:r>
              <w:rPr>
                <w:rFonts w:hint="eastAsia" w:ascii="宋体" w:hAnsi="宋体" w:eastAsia="宋体" w:cs="宋体"/>
                <w:sz w:val="22"/>
                <w:szCs w:val="22"/>
                <w:highlight w:val="none"/>
              </w:rPr>
              <w:t>含）平方米的得</w:t>
            </w:r>
            <w:r>
              <w:rPr>
                <w:rFonts w:hint="eastAsia" w:ascii="宋体" w:hAnsi="宋体" w:eastAsia="宋体" w:cs="宋体"/>
                <w:sz w:val="22"/>
                <w:szCs w:val="22"/>
                <w:highlight w:val="none"/>
                <w:lang w:val="en-US" w:eastAsia="zh-CN"/>
              </w:rPr>
              <w:t>2分</w:t>
            </w:r>
            <w:r>
              <w:rPr>
                <w:rFonts w:hint="eastAsia" w:ascii="宋体" w:hAnsi="宋体" w:eastAsia="宋体" w:cs="宋体"/>
                <w:sz w:val="22"/>
                <w:szCs w:val="22"/>
                <w:highlight w:val="none"/>
              </w:rPr>
              <w:t>；</w:t>
            </w:r>
          </w:p>
          <w:p w14:paraId="7D14CB01">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面积</w:t>
            </w:r>
            <w:r>
              <w:rPr>
                <w:rFonts w:hint="eastAsia" w:ascii="宋体" w:hAnsi="宋体" w:eastAsia="宋体" w:cs="宋体"/>
                <w:sz w:val="22"/>
                <w:szCs w:val="22"/>
                <w:highlight w:val="none"/>
                <w:lang w:eastAsia="zh-CN"/>
              </w:rPr>
              <w:t>在</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0平方米（含）-</w:t>
            </w: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00（</w:t>
            </w:r>
            <w:r>
              <w:rPr>
                <w:rFonts w:hint="eastAsia" w:ascii="宋体" w:hAnsi="宋体" w:eastAsia="宋体" w:cs="宋体"/>
                <w:sz w:val="22"/>
                <w:szCs w:val="22"/>
                <w:highlight w:val="none"/>
                <w:lang w:val="en-US" w:eastAsia="zh-CN"/>
              </w:rPr>
              <w:t>不</w:t>
            </w:r>
            <w:r>
              <w:rPr>
                <w:rFonts w:hint="eastAsia" w:ascii="宋体" w:hAnsi="宋体" w:eastAsia="宋体" w:cs="宋体"/>
                <w:sz w:val="22"/>
                <w:szCs w:val="22"/>
                <w:highlight w:val="none"/>
              </w:rPr>
              <w:t>含）平方米的得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w:t>
            </w:r>
          </w:p>
          <w:p w14:paraId="0EF445F9">
            <w:pPr>
              <w:keepNext w:val="0"/>
              <w:keepLines w:val="0"/>
              <w:pageBreakBefore w:val="0"/>
              <w:widowControl/>
              <w:numPr>
                <w:ilvl w:val="0"/>
                <w:numId w:val="0"/>
              </w:numPr>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 xml:space="preserve">其他情况不得分。 </w:t>
            </w:r>
          </w:p>
          <w:p w14:paraId="2A83CB55">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7970479B">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①自有冷库提供冷库工程竣工验收报告或冷库安装合同或冷库转让合同的扫描件，租赁冷库提供租赁合同扫描件；</w:t>
            </w:r>
          </w:p>
          <w:p w14:paraId="61DA188B">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②提供由具备CMA资质或CNAS资质的第三方检测机构出具的冷库温度校准证书扫描件，委托单位需为投标人；</w:t>
            </w:r>
          </w:p>
          <w:p w14:paraId="44332877">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③提供由具备CMA资质或CNAS资质的第三方测绘机构出具的面积测绘报告扫描件，委托单位需为投标人，且需体现冷库面积。</w:t>
            </w:r>
          </w:p>
          <w:p w14:paraId="1C77CDF3">
            <w:pPr>
              <w:keepNext w:val="0"/>
              <w:keepLines w:val="0"/>
              <w:pageBreakBefore w:val="0"/>
              <w:widowControl/>
              <w:kinsoku/>
              <w:wordWrap w:val="0"/>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原件备查，未按要求提供或提供不清晰导致专家无法判断的不得分。</w:t>
            </w:r>
          </w:p>
        </w:tc>
      </w:tr>
      <w:tr w14:paraId="28CC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9" w:hRule="atLeast"/>
          <w:jc w:val="center"/>
        </w:trPr>
        <w:tc>
          <w:tcPr>
            <w:tcW w:w="2612" w:type="pct"/>
            <w:gridSpan w:val="4"/>
            <w:shd w:val="clear" w:color="auto" w:fill="FFFFFF" w:themeFill="background1"/>
            <w:noWrap w:val="0"/>
            <w:vAlign w:val="center"/>
          </w:tcPr>
          <w:p w14:paraId="2A40719D">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商务部分</w:t>
            </w:r>
          </w:p>
        </w:tc>
        <w:tc>
          <w:tcPr>
            <w:tcW w:w="2387" w:type="pct"/>
            <w:shd w:val="clear" w:color="auto" w:fill="FFFFFF" w:themeFill="background1"/>
            <w:noWrap w:val="0"/>
            <w:vAlign w:val="center"/>
          </w:tcPr>
          <w:p w14:paraId="49F6884B">
            <w:pPr>
              <w:keepNext w:val="0"/>
              <w:keepLines w:val="0"/>
              <w:pageBreakBefore w:val="0"/>
              <w:kinsoku/>
              <w:wordWrap/>
              <w:overflowPunct/>
              <w:topLinePunct w:val="0"/>
              <w:bidi w:val="0"/>
              <w:spacing w:line="360" w:lineRule="exact"/>
              <w:jc w:val="center"/>
              <w:textAlignment w:val="auto"/>
              <w:rPr>
                <w:rFonts w:hint="default" w:ascii="宋体" w:hAnsi="宋体" w:eastAsia="宋体" w:cs="宋体"/>
                <w:sz w:val="22"/>
                <w:szCs w:val="22"/>
                <w:highlight w:val="none"/>
                <w:lang w:val="en-US" w:eastAsia="zh-CN"/>
              </w:rPr>
            </w:pPr>
            <w:r>
              <w:rPr>
                <w:rFonts w:hint="eastAsia" w:hAnsi="宋体" w:cs="宋体"/>
                <w:sz w:val="22"/>
                <w:szCs w:val="22"/>
                <w:highlight w:val="none"/>
                <w:lang w:val="en-US" w:eastAsia="zh-CN"/>
              </w:rPr>
              <w:t>40</w:t>
            </w:r>
          </w:p>
        </w:tc>
      </w:tr>
      <w:tr w14:paraId="77BEE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35" w:type="pct"/>
            <w:shd w:val="clear" w:color="auto" w:fill="FFFFFF" w:themeFill="background1"/>
            <w:noWrap w:val="0"/>
            <w:vAlign w:val="center"/>
          </w:tcPr>
          <w:p w14:paraId="733D1A1C">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序号</w:t>
            </w:r>
          </w:p>
        </w:tc>
        <w:tc>
          <w:tcPr>
            <w:tcW w:w="1000" w:type="pct"/>
            <w:shd w:val="clear" w:color="auto" w:fill="FFFFFF" w:themeFill="background1"/>
            <w:noWrap w:val="0"/>
            <w:vAlign w:val="center"/>
          </w:tcPr>
          <w:p w14:paraId="4E281BD2">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评分因素</w:t>
            </w:r>
          </w:p>
        </w:tc>
        <w:tc>
          <w:tcPr>
            <w:tcW w:w="482" w:type="pct"/>
            <w:shd w:val="clear" w:color="auto" w:fill="FFFFFF" w:themeFill="background1"/>
            <w:noWrap w:val="0"/>
            <w:vAlign w:val="center"/>
          </w:tcPr>
          <w:p w14:paraId="0D6908A1">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分值</w:t>
            </w:r>
          </w:p>
        </w:tc>
        <w:tc>
          <w:tcPr>
            <w:tcW w:w="694" w:type="pct"/>
            <w:shd w:val="clear" w:color="auto" w:fill="FFFFFF" w:themeFill="background1"/>
            <w:noWrap w:val="0"/>
            <w:vAlign w:val="center"/>
          </w:tcPr>
          <w:p w14:paraId="57A7E88B">
            <w:pPr>
              <w:keepNext w:val="0"/>
              <w:keepLines w:val="0"/>
              <w:pageBreakBefore w:val="0"/>
              <w:kinsoku/>
              <w:wordWrap/>
              <w:overflowPunct/>
              <w:topLinePunct w:val="0"/>
              <w:bidi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评分方式</w:t>
            </w:r>
          </w:p>
        </w:tc>
        <w:tc>
          <w:tcPr>
            <w:tcW w:w="2387" w:type="pct"/>
            <w:shd w:val="clear" w:color="auto" w:fill="FFFFFF" w:themeFill="background1"/>
            <w:noWrap w:val="0"/>
            <w:vAlign w:val="center"/>
          </w:tcPr>
          <w:p w14:paraId="5F677D25">
            <w:pPr>
              <w:keepNext w:val="0"/>
              <w:keepLines w:val="0"/>
              <w:pageBreakBefore w:val="0"/>
              <w:kinsoku/>
              <w:wordWrap/>
              <w:overflowPunct/>
              <w:topLinePunct w:val="0"/>
              <w:bidi w:val="0"/>
              <w:spacing w:line="360" w:lineRule="exact"/>
              <w:ind w:firstLine="440" w:firstLineChars="200"/>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评分准则</w:t>
            </w:r>
          </w:p>
        </w:tc>
      </w:tr>
      <w:tr w14:paraId="422D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73D36B4D">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1</w:t>
            </w:r>
          </w:p>
        </w:tc>
        <w:tc>
          <w:tcPr>
            <w:tcW w:w="1000" w:type="pct"/>
            <w:shd w:val="clear" w:color="auto" w:fill="FFFFFF" w:themeFill="background1"/>
            <w:noWrap w:val="0"/>
            <w:vAlign w:val="center"/>
          </w:tcPr>
          <w:p w14:paraId="3DED4BC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同类项目经验</w:t>
            </w:r>
          </w:p>
        </w:tc>
        <w:tc>
          <w:tcPr>
            <w:tcW w:w="482" w:type="pct"/>
            <w:shd w:val="clear" w:color="auto" w:fill="FFFFFF" w:themeFill="background1"/>
            <w:noWrap w:val="0"/>
            <w:vAlign w:val="center"/>
          </w:tcPr>
          <w:p w14:paraId="7730E26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65D736F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105BE194">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25D683D2">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投标人20</w:t>
            </w:r>
            <w:r>
              <w:rPr>
                <w:rFonts w:hint="eastAsia" w:ascii="宋体" w:hAnsi="宋体" w:eastAsia="宋体" w:cs="宋体"/>
                <w:sz w:val="22"/>
                <w:szCs w:val="22"/>
                <w:highlight w:val="none"/>
                <w:lang w:val="en-US" w:eastAsia="zh-CN"/>
              </w:rPr>
              <w:t>21</w:t>
            </w:r>
            <w:r>
              <w:rPr>
                <w:rFonts w:hint="eastAsia" w:ascii="宋体" w:hAnsi="宋体" w:eastAsia="宋体" w:cs="宋体"/>
                <w:sz w:val="22"/>
                <w:szCs w:val="22"/>
                <w:highlight w:val="none"/>
              </w:rPr>
              <w:t>年1月1日起至本项目</w:t>
            </w:r>
            <w:r>
              <w:rPr>
                <w:rFonts w:hint="eastAsia" w:ascii="宋体" w:hAnsi="宋体" w:eastAsia="宋体" w:cs="宋体"/>
                <w:sz w:val="22"/>
                <w:szCs w:val="22"/>
                <w:highlight w:val="none"/>
                <w:lang w:val="en-US" w:eastAsia="zh-CN"/>
              </w:rPr>
              <w:t>开标日之前</w:t>
            </w:r>
            <w:r>
              <w:rPr>
                <w:rFonts w:hint="eastAsia" w:ascii="宋体" w:hAnsi="宋体" w:eastAsia="宋体" w:cs="宋体"/>
                <w:sz w:val="22"/>
                <w:szCs w:val="22"/>
                <w:highlight w:val="none"/>
              </w:rPr>
              <w:t>（以合同签订时间为准），具有食堂物资供应同类业绩，每提供一个同类项目业绩得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，最高得</w:t>
            </w:r>
            <w:r>
              <w:rPr>
                <w:rFonts w:hint="eastAsia" w:ascii="宋体" w:hAnsi="宋体" w:eastAsia="宋体" w:cs="宋体"/>
                <w:sz w:val="22"/>
                <w:szCs w:val="22"/>
                <w:highlight w:val="none"/>
                <w:lang w:val="en-US" w:eastAsia="zh-CN"/>
              </w:rPr>
              <w:t>5分</w:t>
            </w:r>
            <w:r>
              <w:rPr>
                <w:rFonts w:hint="eastAsia" w:ascii="宋体" w:hAnsi="宋体" w:eastAsia="宋体" w:cs="宋体"/>
                <w:sz w:val="22"/>
                <w:szCs w:val="22"/>
                <w:highlight w:val="none"/>
              </w:rPr>
              <w:t>。</w:t>
            </w:r>
          </w:p>
          <w:p w14:paraId="049007C3">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2C20C683">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投标人需提供合同关键页扫描件，原件备查。未按要求提供或提供不清晰文件导致专家无法判断的不得分</w:t>
            </w:r>
            <w:r>
              <w:rPr>
                <w:rFonts w:hint="eastAsia" w:ascii="宋体" w:hAnsi="宋体" w:eastAsia="宋体" w:cs="宋体"/>
                <w:sz w:val="22"/>
                <w:szCs w:val="22"/>
                <w:highlight w:val="none"/>
                <w:lang w:eastAsia="zh-CN"/>
              </w:rPr>
              <w:t>。</w:t>
            </w:r>
          </w:p>
        </w:tc>
      </w:tr>
      <w:tr w14:paraId="70F42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2F067D9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2</w:t>
            </w:r>
          </w:p>
        </w:tc>
        <w:tc>
          <w:tcPr>
            <w:tcW w:w="1000" w:type="pct"/>
            <w:shd w:val="clear" w:color="auto" w:fill="FFFFFF" w:themeFill="background1"/>
            <w:noWrap w:val="0"/>
            <w:vAlign w:val="center"/>
          </w:tcPr>
          <w:p w14:paraId="408E047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投标人</w:t>
            </w:r>
            <w:r>
              <w:rPr>
                <w:rFonts w:hint="eastAsia" w:ascii="宋体" w:hAnsi="宋体" w:eastAsia="宋体" w:cs="宋体"/>
                <w:sz w:val="22"/>
                <w:szCs w:val="22"/>
                <w:highlight w:val="none"/>
              </w:rPr>
              <w:t>履约评价</w:t>
            </w:r>
          </w:p>
        </w:tc>
        <w:tc>
          <w:tcPr>
            <w:tcW w:w="482" w:type="pct"/>
            <w:shd w:val="clear" w:color="auto" w:fill="FFFFFF" w:themeFill="background1"/>
            <w:noWrap w:val="0"/>
            <w:vAlign w:val="center"/>
          </w:tcPr>
          <w:p w14:paraId="021F6C0D">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2BEB9C7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75A49F2F">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3D3063E5">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根据投标人上述“</w:t>
            </w:r>
            <w:r>
              <w:rPr>
                <w:rFonts w:hint="eastAsia" w:ascii="宋体" w:hAnsi="宋体" w:eastAsia="宋体" w:cs="宋体"/>
                <w:sz w:val="22"/>
                <w:szCs w:val="22"/>
                <w:highlight w:val="none"/>
                <w:lang w:eastAsia="zh-CN"/>
              </w:rPr>
              <w:t>服务</w:t>
            </w:r>
            <w:r>
              <w:rPr>
                <w:rFonts w:hint="eastAsia" w:ascii="宋体" w:hAnsi="宋体" w:eastAsia="宋体" w:cs="宋体"/>
                <w:sz w:val="22"/>
                <w:szCs w:val="22"/>
                <w:highlight w:val="none"/>
              </w:rPr>
              <w:t>项目业绩”的有效业绩进行打分，经</w:t>
            </w:r>
            <w:r>
              <w:rPr>
                <w:rFonts w:hint="eastAsia" w:ascii="宋体" w:hAnsi="宋体" w:eastAsia="宋体" w:cs="宋体"/>
                <w:sz w:val="22"/>
                <w:szCs w:val="22"/>
                <w:highlight w:val="none"/>
                <w:lang w:eastAsia="zh-CN"/>
              </w:rPr>
              <w:t>项目</w:t>
            </w:r>
            <w:r>
              <w:rPr>
                <w:rFonts w:hint="eastAsia" w:ascii="宋体" w:hAnsi="宋体" w:eastAsia="宋体" w:cs="宋体"/>
                <w:sz w:val="22"/>
                <w:szCs w:val="22"/>
                <w:highlight w:val="none"/>
              </w:rPr>
              <w:t>甲方考核评价为“优”（或其他最高档次评价），每提供一项得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，累计不超过</w:t>
            </w:r>
            <w:r>
              <w:rPr>
                <w:rFonts w:hint="eastAsia" w:ascii="宋体" w:hAnsi="宋体" w:eastAsia="宋体" w:cs="宋体"/>
                <w:sz w:val="22"/>
                <w:szCs w:val="22"/>
                <w:highlight w:val="none"/>
                <w:lang w:val="en-US" w:eastAsia="zh-CN"/>
              </w:rPr>
              <w:t>5分</w:t>
            </w:r>
            <w:r>
              <w:rPr>
                <w:rFonts w:hint="eastAsia" w:ascii="宋体" w:hAnsi="宋体" w:eastAsia="宋体" w:cs="宋体"/>
                <w:sz w:val="22"/>
                <w:szCs w:val="22"/>
                <w:highlight w:val="none"/>
              </w:rPr>
              <w:t>。其他情况不得分。</w:t>
            </w:r>
          </w:p>
          <w:p w14:paraId="110BAD36">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5E08FE6B">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提供评价证明扫描件（评价日期须在履约服务完成后，且评价方须与合同甲方名称保持一致，并加盖合同甲方公章），原件备查，未按要求提供或提供不清晰导致专家无法判断的不得分。</w:t>
            </w:r>
          </w:p>
        </w:tc>
      </w:tr>
      <w:tr w14:paraId="60D20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74459AD0">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3</w:t>
            </w:r>
          </w:p>
        </w:tc>
        <w:tc>
          <w:tcPr>
            <w:tcW w:w="1000" w:type="pct"/>
            <w:shd w:val="clear" w:color="auto" w:fill="FFFFFF" w:themeFill="background1"/>
            <w:noWrap w:val="0"/>
            <w:vAlign w:val="center"/>
          </w:tcPr>
          <w:p w14:paraId="18D554F3">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管理体系</w:t>
            </w:r>
            <w:r>
              <w:rPr>
                <w:rFonts w:hint="eastAsia" w:ascii="宋体" w:hAnsi="宋体" w:eastAsia="宋体" w:cs="宋体"/>
                <w:sz w:val="22"/>
                <w:szCs w:val="22"/>
                <w:highlight w:val="none"/>
              </w:rPr>
              <w:t>认证情况</w:t>
            </w:r>
          </w:p>
        </w:tc>
        <w:tc>
          <w:tcPr>
            <w:tcW w:w="482" w:type="pct"/>
            <w:shd w:val="clear" w:color="auto" w:fill="FFFFFF" w:themeFill="background1"/>
            <w:noWrap w:val="0"/>
            <w:vAlign w:val="center"/>
          </w:tcPr>
          <w:p w14:paraId="4CEE660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2C3BEDDA">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30C37FE3">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2127A847">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①</w:t>
            </w:r>
            <w:r>
              <w:rPr>
                <w:rFonts w:hint="eastAsia" w:ascii="宋体" w:hAnsi="宋体" w:eastAsia="宋体" w:cs="宋体"/>
                <w:sz w:val="22"/>
                <w:szCs w:val="22"/>
                <w:highlight w:val="none"/>
              </w:rPr>
              <w:t>投标人具有质量管理体系认证证书得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 xml:space="preserve">； </w:t>
            </w:r>
          </w:p>
          <w:p w14:paraId="010B5291">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②</w:t>
            </w:r>
            <w:r>
              <w:rPr>
                <w:rFonts w:hint="eastAsia" w:ascii="宋体" w:hAnsi="宋体" w:eastAsia="宋体" w:cs="宋体"/>
                <w:sz w:val="22"/>
                <w:szCs w:val="22"/>
                <w:highlight w:val="none"/>
              </w:rPr>
              <w:t>投标人具有环境管理体系认证证书得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 xml:space="preserve">； </w:t>
            </w:r>
          </w:p>
          <w:p w14:paraId="56BB69B5">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color w:val="auto"/>
                <w:sz w:val="22"/>
                <w:szCs w:val="22"/>
                <w:highlight w:val="none"/>
              </w:rPr>
            </w:pPr>
            <w:r>
              <w:rPr>
                <w:rFonts w:hint="eastAsia" w:ascii="宋体" w:hAnsi="宋体" w:eastAsia="宋体" w:cs="宋体"/>
                <w:sz w:val="22"/>
                <w:szCs w:val="22"/>
                <w:highlight w:val="none"/>
                <w:lang w:eastAsia="zh-CN"/>
              </w:rPr>
              <w:t>③</w:t>
            </w:r>
            <w:r>
              <w:rPr>
                <w:rFonts w:hint="eastAsia" w:ascii="宋体" w:hAnsi="宋体" w:eastAsia="宋体" w:cs="宋体"/>
                <w:sz w:val="22"/>
                <w:szCs w:val="22"/>
                <w:highlight w:val="none"/>
              </w:rPr>
              <w:t>投标人具</w:t>
            </w:r>
            <w:r>
              <w:rPr>
                <w:rFonts w:hint="eastAsia" w:ascii="宋体" w:hAnsi="宋体" w:eastAsia="宋体" w:cs="宋体"/>
                <w:color w:val="auto"/>
                <w:sz w:val="22"/>
                <w:szCs w:val="22"/>
                <w:highlight w:val="none"/>
              </w:rPr>
              <w:t>有</w:t>
            </w:r>
            <w:r>
              <w:rPr>
                <w:rFonts w:hint="eastAsia" w:ascii="宋体" w:hAnsi="宋体" w:eastAsia="宋体" w:cs="宋体"/>
                <w:color w:val="auto"/>
                <w:sz w:val="22"/>
                <w:szCs w:val="22"/>
                <w:highlight w:val="none"/>
                <w:shd w:val="clear" w:color="auto" w:fill="auto"/>
                <w:lang w:eastAsia="zh-CN"/>
              </w:rPr>
              <w:t>职业健康安全管理体系认证证书</w:t>
            </w:r>
            <w:r>
              <w:rPr>
                <w:rFonts w:hint="eastAsia" w:ascii="宋体" w:hAnsi="宋体" w:eastAsia="宋体" w:cs="宋体"/>
                <w:color w:val="auto"/>
                <w:sz w:val="22"/>
                <w:szCs w:val="22"/>
                <w:highlight w:val="none"/>
              </w:rPr>
              <w:t>得</w:t>
            </w:r>
            <w:r>
              <w:rPr>
                <w:rFonts w:hint="eastAsia" w:ascii="宋体" w:hAnsi="宋体" w:eastAsia="宋体" w:cs="宋体"/>
                <w:sz w:val="22"/>
                <w:szCs w:val="22"/>
                <w:highlight w:val="none"/>
                <w:lang w:val="en-US" w:eastAsia="zh-CN"/>
              </w:rPr>
              <w:t>1分</w:t>
            </w:r>
            <w:r>
              <w:rPr>
                <w:rFonts w:hint="eastAsia" w:ascii="宋体" w:hAnsi="宋体" w:eastAsia="宋体" w:cs="宋体"/>
                <w:color w:val="auto"/>
                <w:sz w:val="22"/>
                <w:szCs w:val="22"/>
                <w:highlight w:val="none"/>
              </w:rPr>
              <w:t xml:space="preserve">； </w:t>
            </w:r>
          </w:p>
          <w:p w14:paraId="73D3CAD2">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color w:val="auto"/>
                <w:sz w:val="22"/>
                <w:szCs w:val="22"/>
                <w:highlight w:val="none"/>
                <w:lang w:eastAsia="zh-CN"/>
              </w:rPr>
              <w:t>④</w:t>
            </w:r>
            <w:r>
              <w:rPr>
                <w:rFonts w:hint="eastAsia" w:ascii="宋体" w:hAnsi="宋体" w:eastAsia="宋体" w:cs="宋体"/>
                <w:color w:val="auto"/>
                <w:sz w:val="22"/>
                <w:szCs w:val="22"/>
                <w:highlight w:val="none"/>
              </w:rPr>
              <w:t>投标人具有</w:t>
            </w:r>
            <w:r>
              <w:rPr>
                <w:rFonts w:hint="eastAsia" w:ascii="宋体" w:hAnsi="宋体" w:eastAsia="宋体" w:cs="宋体"/>
                <w:color w:val="auto"/>
                <w:sz w:val="22"/>
                <w:szCs w:val="22"/>
                <w:highlight w:val="none"/>
                <w:shd w:val="clear" w:color="auto" w:fill="auto"/>
                <w:lang w:eastAsia="zh-CN"/>
              </w:rPr>
              <w:t>食品安全管理体系认证证书</w:t>
            </w:r>
            <w:r>
              <w:rPr>
                <w:rFonts w:hint="eastAsia" w:ascii="宋体" w:hAnsi="宋体" w:eastAsia="宋体" w:cs="宋体"/>
                <w:color w:val="auto"/>
                <w:sz w:val="22"/>
                <w:szCs w:val="22"/>
                <w:highlight w:val="none"/>
              </w:rPr>
              <w:t>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rPr>
              <w:t xml:space="preserve">； </w:t>
            </w:r>
          </w:p>
          <w:p w14:paraId="18045811">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eastAsia="zh-CN"/>
              </w:rPr>
              <w:t>⑤</w:t>
            </w:r>
            <w:r>
              <w:rPr>
                <w:rFonts w:hint="eastAsia" w:ascii="宋体" w:hAnsi="宋体" w:eastAsia="宋体" w:cs="宋体"/>
                <w:sz w:val="22"/>
                <w:szCs w:val="22"/>
                <w:highlight w:val="none"/>
              </w:rPr>
              <w:t>投标人具有</w:t>
            </w:r>
            <w:r>
              <w:rPr>
                <w:rFonts w:hint="eastAsia" w:ascii="宋体" w:hAnsi="宋体" w:eastAsia="宋体" w:cs="宋体"/>
                <w:sz w:val="22"/>
                <w:szCs w:val="22"/>
                <w:highlight w:val="none"/>
                <w:lang w:val="en-US" w:eastAsia="zh-CN"/>
              </w:rPr>
              <w:t>HACCP认证</w:t>
            </w:r>
            <w:r>
              <w:rPr>
                <w:rFonts w:hint="eastAsia" w:ascii="宋体" w:hAnsi="宋体" w:eastAsia="宋体" w:cs="宋体"/>
                <w:sz w:val="22"/>
                <w:szCs w:val="22"/>
                <w:highlight w:val="none"/>
              </w:rPr>
              <w:t>证书得</w:t>
            </w:r>
            <w:r>
              <w:rPr>
                <w:rFonts w:hint="eastAsia" w:ascii="宋体" w:hAnsi="宋体" w:eastAsia="宋体" w:cs="宋体"/>
                <w:sz w:val="22"/>
                <w:szCs w:val="22"/>
                <w:highlight w:val="none"/>
                <w:lang w:val="en-US" w:eastAsia="zh-CN"/>
              </w:rPr>
              <w:t>1分</w:t>
            </w:r>
            <w:r>
              <w:rPr>
                <w:rFonts w:hint="eastAsia" w:ascii="宋体" w:hAnsi="宋体" w:eastAsia="宋体" w:cs="宋体"/>
                <w:sz w:val="22"/>
                <w:szCs w:val="22"/>
                <w:highlight w:val="none"/>
                <w:lang w:eastAsia="zh-CN"/>
              </w:rPr>
              <w:t>。</w:t>
            </w:r>
          </w:p>
          <w:p w14:paraId="0329AEBE">
            <w:pPr>
              <w:pStyle w:val="2"/>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以上合计最高得5分。</w:t>
            </w:r>
          </w:p>
          <w:p w14:paraId="187E3263">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0A73F77F">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投标人提供以上有效期内的证书扫描件，认证证书还需提供在全国认证认可信息公共服务平台（认e云）（http://cx.cnca.cn/）的认证信息截图（须体现网站信息），原件备查，未按要求提供或提供不清晰导致专家无法判断的不得分。</w:t>
            </w:r>
          </w:p>
        </w:tc>
      </w:tr>
      <w:tr w14:paraId="7DB60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42E564E7">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lang w:val="en-US" w:eastAsia="zh-CN"/>
              </w:rPr>
              <w:t>4</w:t>
            </w:r>
          </w:p>
        </w:tc>
        <w:tc>
          <w:tcPr>
            <w:tcW w:w="1000" w:type="pct"/>
            <w:shd w:val="clear" w:color="auto" w:fill="FFFFFF" w:themeFill="background1"/>
            <w:noWrap w:val="0"/>
            <w:vAlign w:val="center"/>
          </w:tcPr>
          <w:p w14:paraId="7A3E6F84">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产品认证情况</w:t>
            </w:r>
          </w:p>
        </w:tc>
        <w:tc>
          <w:tcPr>
            <w:tcW w:w="482" w:type="pct"/>
            <w:shd w:val="clear" w:color="auto" w:fill="FFFFFF" w:themeFill="background1"/>
            <w:noWrap w:val="0"/>
            <w:vAlign w:val="center"/>
          </w:tcPr>
          <w:p w14:paraId="1982F9F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10</w:t>
            </w:r>
          </w:p>
        </w:tc>
        <w:tc>
          <w:tcPr>
            <w:tcW w:w="694" w:type="pct"/>
            <w:shd w:val="clear" w:color="auto" w:fill="FFFFFF" w:themeFill="background1"/>
            <w:noWrap w:val="0"/>
            <w:vAlign w:val="center"/>
          </w:tcPr>
          <w:p w14:paraId="62628DF1">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3FC5D8D3">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15130450">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投标人有绿色产品或有机产品认证证书，产品范围应包含</w:t>
            </w:r>
            <w:r>
              <w:rPr>
                <w:rFonts w:hint="eastAsia" w:ascii="宋体" w:hAnsi="宋体" w:eastAsia="宋体" w:cs="宋体"/>
                <w:sz w:val="22"/>
                <w:szCs w:val="22"/>
                <w:highlight w:val="none"/>
                <w:lang w:val="en-US" w:eastAsia="zh-CN"/>
              </w:rPr>
              <w:t>属于</w:t>
            </w:r>
            <w:r>
              <w:rPr>
                <w:rFonts w:hint="eastAsia" w:ascii="宋体" w:hAnsi="宋体" w:eastAsia="宋体" w:cs="宋体"/>
                <w:sz w:val="22"/>
                <w:szCs w:val="22"/>
                <w:highlight w:val="none"/>
              </w:rPr>
              <w:t>以下七类（缺项不得分）：蔬菜类、肉类、水产类、蛋品类、干货类、调味品类、粮油类。符合以上范围的基础上对所有种类加总的数量进行评分：</w:t>
            </w:r>
          </w:p>
          <w:p w14:paraId="063610A0">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①</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0个（含）以上的，得1</w:t>
            </w:r>
            <w:r>
              <w:rPr>
                <w:rFonts w:hint="eastAsia" w:ascii="宋体" w:hAnsi="宋体" w:eastAsia="宋体" w:cs="宋体"/>
                <w:sz w:val="22"/>
                <w:szCs w:val="22"/>
                <w:highlight w:val="none"/>
                <w:lang w:val="en-US" w:eastAsia="zh-CN"/>
              </w:rPr>
              <w:t>0</w:t>
            </w:r>
            <w:r>
              <w:rPr>
                <w:rFonts w:hint="eastAsia" w:ascii="宋体" w:hAnsi="宋体" w:eastAsia="宋体" w:cs="宋体"/>
                <w:sz w:val="22"/>
                <w:szCs w:val="22"/>
                <w:highlight w:val="none"/>
              </w:rPr>
              <w:t>分；</w:t>
            </w:r>
          </w:p>
          <w:p w14:paraId="63A1B392">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②30个（含）-</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0个（不含）的，得5分；</w:t>
            </w:r>
          </w:p>
          <w:p w14:paraId="5B46E399">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③10个（含）-30个（不含）的，得2分；</w:t>
            </w:r>
          </w:p>
          <w:p w14:paraId="509B4AF0">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④其他情况不得分。</w:t>
            </w:r>
          </w:p>
          <w:p w14:paraId="5BD829EF">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注：一个（或多个）证书有多个产品可累计得分，以上最高得10分。</w:t>
            </w:r>
          </w:p>
          <w:p w14:paraId="014DAA12">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742F8B76">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投标人提供以上有效的认证证书的扫描件及全国认证认可信息公共服务平台（认e云）（http://cx.cnca.cn/）的认证信息截图（须体现网站信息）。</w:t>
            </w:r>
          </w:p>
          <w:p w14:paraId="16131D65">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原件备查，未按要求提供或提供不清晰导致专家无法判断的不得分。</w:t>
            </w:r>
          </w:p>
        </w:tc>
      </w:tr>
      <w:tr w14:paraId="606B9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535643B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lang w:val="en-US" w:eastAsia="zh-CN"/>
              </w:rPr>
              <w:t>5</w:t>
            </w:r>
          </w:p>
        </w:tc>
        <w:tc>
          <w:tcPr>
            <w:tcW w:w="1000" w:type="pct"/>
            <w:shd w:val="clear" w:color="auto" w:fill="FFFFFF" w:themeFill="background1"/>
            <w:noWrap w:val="0"/>
            <w:vAlign w:val="center"/>
          </w:tcPr>
          <w:p w14:paraId="7E539A6E">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食品安全保险</w:t>
            </w:r>
          </w:p>
        </w:tc>
        <w:tc>
          <w:tcPr>
            <w:tcW w:w="482" w:type="pct"/>
            <w:shd w:val="clear" w:color="auto" w:fill="FFFFFF" w:themeFill="background1"/>
            <w:noWrap w:val="0"/>
            <w:vAlign w:val="center"/>
          </w:tcPr>
          <w:p w14:paraId="2F5D9A50">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7653FB0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29FC7142">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b/>
                <w:bCs/>
                <w:sz w:val="22"/>
                <w:szCs w:val="22"/>
                <w:highlight w:val="none"/>
                <w:lang w:val="en-US" w:eastAsia="zh-CN"/>
              </w:rPr>
              <w:t>1、</w:t>
            </w: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7FC3EA35">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①</w:t>
            </w:r>
            <w:r>
              <w:rPr>
                <w:rFonts w:hint="eastAsia" w:ascii="宋体" w:hAnsi="宋体" w:eastAsia="宋体" w:cs="宋体"/>
                <w:sz w:val="22"/>
                <w:szCs w:val="22"/>
                <w:highlight w:val="none"/>
              </w:rPr>
              <w:t>在本项目</w:t>
            </w:r>
            <w:r>
              <w:rPr>
                <w:rFonts w:hint="eastAsia" w:ascii="宋体" w:hAnsi="宋体" w:eastAsia="宋体" w:cs="宋体"/>
                <w:sz w:val="22"/>
                <w:szCs w:val="22"/>
                <w:highlight w:val="none"/>
                <w:lang w:val="en-US" w:eastAsia="zh-CN"/>
              </w:rPr>
              <w:t>投标截止日</w:t>
            </w:r>
            <w:r>
              <w:rPr>
                <w:rFonts w:hint="eastAsia" w:ascii="宋体" w:hAnsi="宋体" w:eastAsia="宋体" w:cs="宋体"/>
                <w:sz w:val="22"/>
                <w:szCs w:val="22"/>
                <w:highlight w:val="none"/>
              </w:rPr>
              <w:t>前</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投标人购买了在有效期内的食品安全保险</w:t>
            </w:r>
            <w:r>
              <w:rPr>
                <w:rFonts w:hint="eastAsia" w:ascii="宋体" w:hAnsi="宋体" w:eastAsia="宋体" w:cs="宋体"/>
                <w:sz w:val="22"/>
                <w:szCs w:val="22"/>
                <w:highlight w:val="none"/>
                <w:lang w:val="en-US" w:eastAsia="zh-CN"/>
              </w:rPr>
              <w:t>保额</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000万元</w:t>
            </w:r>
            <w:r>
              <w:rPr>
                <w:rFonts w:hint="eastAsia" w:ascii="宋体" w:hAnsi="宋体" w:eastAsia="宋体" w:cs="宋体"/>
                <w:sz w:val="22"/>
                <w:szCs w:val="22"/>
                <w:highlight w:val="none"/>
                <w:lang w:val="en-US" w:eastAsia="zh-CN"/>
              </w:rPr>
              <w:t>或</w:t>
            </w:r>
            <w:r>
              <w:rPr>
                <w:rFonts w:hint="eastAsia" w:ascii="宋体" w:hAnsi="宋体" w:eastAsia="宋体" w:cs="宋体"/>
                <w:sz w:val="22"/>
                <w:szCs w:val="22"/>
                <w:highlight w:val="none"/>
              </w:rPr>
              <w:t>以上的得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00</w:t>
            </w:r>
            <w:r>
              <w:rPr>
                <w:rFonts w:hint="eastAsia" w:ascii="宋体" w:hAnsi="宋体" w:eastAsia="宋体" w:cs="宋体"/>
                <w:sz w:val="22"/>
                <w:szCs w:val="22"/>
                <w:highlight w:val="none"/>
                <w:lang w:val="en-US" w:eastAsia="zh-CN"/>
              </w:rPr>
              <w:t>0</w:t>
            </w:r>
            <w:r>
              <w:rPr>
                <w:rFonts w:hint="eastAsia" w:ascii="宋体" w:hAnsi="宋体" w:eastAsia="宋体" w:cs="宋体"/>
                <w:sz w:val="22"/>
                <w:szCs w:val="22"/>
                <w:highlight w:val="none"/>
              </w:rPr>
              <w:t>万元（含）至</w:t>
            </w:r>
            <w:r>
              <w:rPr>
                <w:rFonts w:hint="eastAsia" w:ascii="宋体" w:hAnsi="宋体" w:eastAsia="宋体" w:cs="宋体"/>
                <w:sz w:val="22"/>
                <w:szCs w:val="22"/>
                <w:highlight w:val="none"/>
                <w:lang w:val="en-US" w:eastAsia="zh-CN"/>
              </w:rPr>
              <w:t>150</w:t>
            </w:r>
            <w:r>
              <w:rPr>
                <w:rFonts w:hint="eastAsia" w:ascii="宋体" w:hAnsi="宋体" w:eastAsia="宋体" w:cs="宋体"/>
                <w:sz w:val="22"/>
                <w:szCs w:val="22"/>
                <w:highlight w:val="none"/>
              </w:rPr>
              <w:t>00万元</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不含</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的得</w:t>
            </w:r>
            <w:r>
              <w:rPr>
                <w:rFonts w:hint="eastAsia" w:ascii="宋体" w:hAnsi="宋体" w:eastAsia="宋体" w:cs="宋体"/>
                <w:sz w:val="22"/>
                <w:szCs w:val="22"/>
                <w:highlight w:val="none"/>
                <w:lang w:val="en-US" w:eastAsia="zh-CN"/>
              </w:rPr>
              <w:t>1.5分</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00</w:t>
            </w:r>
            <w:r>
              <w:rPr>
                <w:rFonts w:hint="eastAsia" w:ascii="宋体" w:hAnsi="宋体" w:eastAsia="宋体" w:cs="宋体"/>
                <w:sz w:val="22"/>
                <w:szCs w:val="22"/>
                <w:highlight w:val="none"/>
                <w:lang w:val="en-US" w:eastAsia="zh-CN"/>
              </w:rPr>
              <w:t>0</w:t>
            </w:r>
            <w:r>
              <w:rPr>
                <w:rFonts w:hint="eastAsia" w:ascii="宋体" w:hAnsi="宋体" w:eastAsia="宋体" w:cs="宋体"/>
                <w:sz w:val="22"/>
                <w:szCs w:val="22"/>
                <w:highlight w:val="none"/>
              </w:rPr>
              <w:t>万元</w:t>
            </w:r>
            <w:r>
              <w:rPr>
                <w:rFonts w:hint="eastAsia" w:ascii="宋体" w:hAnsi="宋体" w:eastAsia="宋体" w:cs="宋体"/>
                <w:sz w:val="22"/>
                <w:szCs w:val="22"/>
                <w:highlight w:val="none"/>
                <w:lang w:val="en-US" w:eastAsia="zh-CN"/>
              </w:rPr>
              <w:t>以下的得0.5分，</w:t>
            </w:r>
            <w:r>
              <w:rPr>
                <w:rFonts w:hint="eastAsia" w:ascii="宋体" w:hAnsi="宋体" w:eastAsia="宋体" w:cs="宋体"/>
                <w:sz w:val="22"/>
                <w:szCs w:val="22"/>
                <w:highlight w:val="none"/>
              </w:rPr>
              <w:t xml:space="preserve">其他情况不得分； </w:t>
            </w:r>
          </w:p>
          <w:p w14:paraId="2F7008AD">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eastAsia="zh-CN"/>
              </w:rPr>
              <w:t>②</w:t>
            </w:r>
            <w:r>
              <w:rPr>
                <w:rFonts w:hint="eastAsia" w:ascii="宋体" w:hAnsi="宋体" w:eastAsia="宋体" w:cs="宋体"/>
                <w:sz w:val="22"/>
                <w:szCs w:val="22"/>
                <w:highlight w:val="none"/>
              </w:rPr>
              <w:t>在本项目</w:t>
            </w:r>
            <w:r>
              <w:rPr>
                <w:rFonts w:hint="eastAsia" w:ascii="宋体" w:hAnsi="宋体" w:eastAsia="宋体" w:cs="宋体"/>
                <w:sz w:val="22"/>
                <w:szCs w:val="22"/>
                <w:highlight w:val="none"/>
                <w:lang w:val="en-US" w:eastAsia="zh-CN"/>
              </w:rPr>
              <w:t>投标截止日</w:t>
            </w:r>
            <w:r>
              <w:rPr>
                <w:rFonts w:hint="eastAsia" w:ascii="宋体" w:hAnsi="宋体" w:eastAsia="宋体" w:cs="宋体"/>
                <w:sz w:val="22"/>
                <w:szCs w:val="22"/>
                <w:highlight w:val="none"/>
              </w:rPr>
              <w:t>前投标人购买了在有效期内的公众责任保险</w:t>
            </w:r>
            <w:r>
              <w:rPr>
                <w:rFonts w:hint="eastAsia" w:ascii="宋体" w:hAnsi="宋体" w:eastAsia="宋体" w:cs="宋体"/>
                <w:sz w:val="22"/>
                <w:szCs w:val="22"/>
                <w:highlight w:val="none"/>
                <w:lang w:val="en-US" w:eastAsia="zh-CN"/>
              </w:rPr>
              <w:t>保额</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15</w:t>
            </w:r>
            <w:r>
              <w:rPr>
                <w:rFonts w:hint="eastAsia" w:ascii="宋体" w:hAnsi="宋体" w:eastAsia="宋体" w:cs="宋体"/>
                <w:sz w:val="22"/>
                <w:szCs w:val="22"/>
                <w:highlight w:val="none"/>
              </w:rPr>
              <w:t>000万元</w:t>
            </w:r>
            <w:r>
              <w:rPr>
                <w:rFonts w:hint="eastAsia" w:ascii="宋体" w:hAnsi="宋体" w:eastAsia="宋体" w:cs="宋体"/>
                <w:sz w:val="22"/>
                <w:szCs w:val="22"/>
                <w:highlight w:val="none"/>
                <w:lang w:val="en-US" w:eastAsia="zh-CN"/>
              </w:rPr>
              <w:t>或</w:t>
            </w:r>
            <w:r>
              <w:rPr>
                <w:rFonts w:hint="eastAsia" w:ascii="宋体" w:hAnsi="宋体" w:eastAsia="宋体" w:cs="宋体"/>
                <w:sz w:val="22"/>
                <w:szCs w:val="22"/>
                <w:highlight w:val="none"/>
              </w:rPr>
              <w:t>以上的得</w:t>
            </w:r>
            <w:r>
              <w:rPr>
                <w:rFonts w:hint="eastAsia" w:ascii="宋体" w:hAnsi="宋体" w:eastAsia="宋体" w:cs="宋体"/>
                <w:sz w:val="22"/>
                <w:szCs w:val="22"/>
                <w:highlight w:val="none"/>
                <w:lang w:val="en-US" w:eastAsia="zh-CN"/>
              </w:rPr>
              <w:t>2.5分</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8</w:t>
            </w:r>
            <w:r>
              <w:rPr>
                <w:rFonts w:hint="eastAsia" w:ascii="宋体" w:hAnsi="宋体" w:eastAsia="宋体" w:cs="宋体"/>
                <w:sz w:val="22"/>
                <w:szCs w:val="22"/>
                <w:highlight w:val="none"/>
              </w:rPr>
              <w:t>00</w:t>
            </w:r>
            <w:r>
              <w:rPr>
                <w:rFonts w:hint="eastAsia" w:ascii="宋体" w:hAnsi="宋体" w:eastAsia="宋体" w:cs="宋体"/>
                <w:sz w:val="22"/>
                <w:szCs w:val="22"/>
                <w:highlight w:val="none"/>
                <w:lang w:val="en-US" w:eastAsia="zh-CN"/>
              </w:rPr>
              <w:t>0</w:t>
            </w:r>
            <w:r>
              <w:rPr>
                <w:rFonts w:hint="eastAsia" w:ascii="宋体" w:hAnsi="宋体" w:eastAsia="宋体" w:cs="宋体"/>
                <w:sz w:val="22"/>
                <w:szCs w:val="22"/>
                <w:highlight w:val="none"/>
              </w:rPr>
              <w:t>万元（含）至</w:t>
            </w:r>
            <w:r>
              <w:rPr>
                <w:rFonts w:hint="eastAsia" w:ascii="宋体" w:hAnsi="宋体" w:eastAsia="宋体" w:cs="宋体"/>
                <w:sz w:val="22"/>
                <w:szCs w:val="22"/>
                <w:highlight w:val="none"/>
                <w:lang w:val="en-US" w:eastAsia="zh-CN"/>
              </w:rPr>
              <w:t>150</w:t>
            </w:r>
            <w:r>
              <w:rPr>
                <w:rFonts w:hint="eastAsia" w:ascii="宋体" w:hAnsi="宋体" w:eastAsia="宋体" w:cs="宋体"/>
                <w:sz w:val="22"/>
                <w:szCs w:val="22"/>
                <w:highlight w:val="none"/>
              </w:rPr>
              <w:t>00万元</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不含</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的得</w:t>
            </w:r>
            <w:r>
              <w:rPr>
                <w:rFonts w:hint="eastAsia" w:ascii="宋体" w:hAnsi="宋体" w:eastAsia="宋体" w:cs="宋体"/>
                <w:sz w:val="22"/>
                <w:szCs w:val="22"/>
                <w:highlight w:val="none"/>
                <w:lang w:val="en-US" w:eastAsia="zh-CN"/>
              </w:rPr>
              <w:t>1.5分</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8</w:t>
            </w:r>
            <w:r>
              <w:rPr>
                <w:rFonts w:hint="eastAsia" w:ascii="宋体" w:hAnsi="宋体" w:eastAsia="宋体" w:cs="宋体"/>
                <w:sz w:val="22"/>
                <w:szCs w:val="22"/>
                <w:highlight w:val="none"/>
              </w:rPr>
              <w:t>00</w:t>
            </w:r>
            <w:r>
              <w:rPr>
                <w:rFonts w:hint="eastAsia" w:ascii="宋体" w:hAnsi="宋体" w:eastAsia="宋体" w:cs="宋体"/>
                <w:sz w:val="22"/>
                <w:szCs w:val="22"/>
                <w:highlight w:val="none"/>
                <w:lang w:val="en-US" w:eastAsia="zh-CN"/>
              </w:rPr>
              <w:t>0</w:t>
            </w:r>
            <w:r>
              <w:rPr>
                <w:rFonts w:hint="eastAsia" w:ascii="宋体" w:hAnsi="宋体" w:eastAsia="宋体" w:cs="宋体"/>
                <w:sz w:val="22"/>
                <w:szCs w:val="22"/>
                <w:highlight w:val="none"/>
              </w:rPr>
              <w:t>万元</w:t>
            </w:r>
            <w:r>
              <w:rPr>
                <w:rFonts w:hint="eastAsia" w:ascii="宋体" w:hAnsi="宋体" w:eastAsia="宋体" w:cs="宋体"/>
                <w:sz w:val="22"/>
                <w:szCs w:val="22"/>
                <w:highlight w:val="none"/>
                <w:lang w:val="en-US" w:eastAsia="zh-CN"/>
              </w:rPr>
              <w:t>以下的得0.5分，</w:t>
            </w:r>
            <w:r>
              <w:rPr>
                <w:rFonts w:hint="eastAsia" w:ascii="宋体" w:hAnsi="宋体" w:eastAsia="宋体" w:cs="宋体"/>
                <w:sz w:val="22"/>
                <w:szCs w:val="22"/>
                <w:highlight w:val="none"/>
              </w:rPr>
              <w:t xml:space="preserve">其他情况不得分。 </w:t>
            </w:r>
          </w:p>
          <w:p w14:paraId="77802D5E">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val="en-US" w:eastAsia="zh-CN"/>
              </w:rPr>
              <w:t>2、</w:t>
            </w: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4DD3A18D">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需提供有效的食品安全保险保单扫描件及发票扫描件，被保险人需为投标人，原件备查，未按要求提供或提供不清晰导致专家无法判断的不得分。</w:t>
            </w:r>
          </w:p>
        </w:tc>
      </w:tr>
      <w:tr w14:paraId="46A46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0AC81568">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lang w:val="en-US" w:eastAsia="zh-CN"/>
              </w:rPr>
              <w:t>6</w:t>
            </w:r>
          </w:p>
        </w:tc>
        <w:tc>
          <w:tcPr>
            <w:tcW w:w="1000" w:type="pct"/>
            <w:shd w:val="clear" w:color="auto" w:fill="FFFFFF" w:themeFill="background1"/>
            <w:noWrap w:val="0"/>
            <w:vAlign w:val="center"/>
          </w:tcPr>
          <w:p w14:paraId="49114D26">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食品溯源系统</w:t>
            </w:r>
          </w:p>
        </w:tc>
        <w:tc>
          <w:tcPr>
            <w:tcW w:w="482" w:type="pct"/>
            <w:shd w:val="clear" w:color="auto" w:fill="FFFFFF" w:themeFill="background1"/>
            <w:noWrap w:val="0"/>
            <w:vAlign w:val="center"/>
          </w:tcPr>
          <w:p w14:paraId="2781C4CD">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5</w:t>
            </w:r>
          </w:p>
        </w:tc>
        <w:tc>
          <w:tcPr>
            <w:tcW w:w="694" w:type="pct"/>
            <w:shd w:val="clear" w:color="auto" w:fill="FFFFFF" w:themeFill="background1"/>
            <w:noWrap w:val="0"/>
            <w:vAlign w:val="center"/>
          </w:tcPr>
          <w:p w14:paraId="13AC3A3A">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rPr>
              <w:t>专家评分</w:t>
            </w:r>
          </w:p>
        </w:tc>
        <w:tc>
          <w:tcPr>
            <w:tcW w:w="2387" w:type="pct"/>
            <w:shd w:val="clear" w:color="auto" w:fill="FFFFFF" w:themeFill="background1"/>
            <w:noWrap w:val="0"/>
            <w:vAlign w:val="top"/>
          </w:tcPr>
          <w:p w14:paraId="5DACDEF4">
            <w:pPr>
              <w:keepNext w:val="0"/>
              <w:keepLines w:val="0"/>
              <w:pageBreakBefore w:val="0"/>
              <w:widowControl/>
              <w:numPr>
                <w:ilvl w:val="0"/>
                <w:numId w:val="32"/>
              </w:numPr>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评审内容</w:t>
            </w:r>
            <w:r>
              <w:rPr>
                <w:rFonts w:hint="eastAsia" w:ascii="宋体" w:hAnsi="宋体" w:eastAsia="宋体" w:cs="宋体"/>
                <w:b/>
                <w:bCs/>
                <w:sz w:val="22"/>
                <w:szCs w:val="22"/>
                <w:highlight w:val="none"/>
              </w:rPr>
              <w:t>：</w:t>
            </w:r>
          </w:p>
          <w:p w14:paraId="45BDBAB1">
            <w:pPr>
              <w:keepNext w:val="0"/>
              <w:keepLines w:val="0"/>
              <w:pageBreakBefore w:val="0"/>
              <w:widowControl/>
              <w:numPr>
                <w:ilvl w:val="0"/>
                <w:numId w:val="0"/>
              </w:numPr>
              <w:kinsoku/>
              <w:wordWrap/>
              <w:overflowPunct/>
              <w:topLinePunct w:val="0"/>
              <w:autoSpaceDE/>
              <w:autoSpaceDN/>
              <w:bidi w:val="0"/>
              <w:adjustRightInd w:val="0"/>
              <w:snapToGrid w:val="0"/>
              <w:spacing w:line="36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投标人自有</w:t>
            </w:r>
            <w:r>
              <w:rPr>
                <w:rFonts w:hint="eastAsia" w:ascii="宋体" w:hAnsi="宋体" w:eastAsia="宋体" w:cs="宋体"/>
                <w:sz w:val="22"/>
                <w:szCs w:val="22"/>
                <w:highlight w:val="none"/>
                <w:lang w:eastAsia="zh-CN"/>
              </w:rPr>
              <w:t>或者</w:t>
            </w:r>
            <w:r>
              <w:rPr>
                <w:rFonts w:hint="eastAsia" w:ascii="宋体" w:hAnsi="宋体" w:eastAsia="宋体" w:cs="宋体"/>
                <w:sz w:val="22"/>
                <w:szCs w:val="22"/>
                <w:highlight w:val="none"/>
                <w:lang w:val="en-US" w:eastAsia="zh-CN"/>
              </w:rPr>
              <w:t>购买</w:t>
            </w:r>
            <w:r>
              <w:rPr>
                <w:rFonts w:hint="eastAsia" w:ascii="宋体" w:hAnsi="宋体" w:eastAsia="宋体" w:cs="宋体"/>
                <w:sz w:val="22"/>
                <w:szCs w:val="22"/>
                <w:highlight w:val="none"/>
              </w:rPr>
              <w:t>食品溯源管理系统</w:t>
            </w:r>
            <w:r>
              <w:rPr>
                <w:rFonts w:hint="eastAsia" w:ascii="宋体" w:hAnsi="宋体" w:eastAsia="宋体" w:cs="宋体"/>
                <w:sz w:val="22"/>
                <w:szCs w:val="22"/>
                <w:highlight w:val="none"/>
                <w:lang w:eastAsia="zh-CN"/>
              </w:rPr>
              <w:t>的</w:t>
            </w:r>
            <w:r>
              <w:rPr>
                <w:rFonts w:hint="eastAsia" w:ascii="宋体" w:hAnsi="宋体" w:eastAsia="宋体" w:cs="宋体"/>
                <w:sz w:val="22"/>
                <w:szCs w:val="22"/>
                <w:highlight w:val="none"/>
              </w:rPr>
              <w:t>得</w:t>
            </w:r>
            <w:r>
              <w:rPr>
                <w:rFonts w:hint="eastAsia" w:ascii="宋体" w:hAnsi="宋体" w:eastAsia="宋体" w:cs="宋体"/>
                <w:sz w:val="22"/>
                <w:szCs w:val="22"/>
                <w:highlight w:val="none"/>
                <w:lang w:val="en-US" w:eastAsia="zh-CN"/>
              </w:rPr>
              <w:t>5分</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CN"/>
              </w:rPr>
              <w:t>没有不得分。</w:t>
            </w:r>
            <w:r>
              <w:rPr>
                <w:rFonts w:hint="eastAsia" w:ascii="宋体" w:hAnsi="宋体" w:eastAsia="宋体" w:cs="宋体"/>
                <w:sz w:val="22"/>
                <w:szCs w:val="22"/>
                <w:highlight w:val="none"/>
              </w:rPr>
              <w:t xml:space="preserve"> </w:t>
            </w:r>
          </w:p>
          <w:p w14:paraId="32DDC21B">
            <w:pPr>
              <w:keepNext w:val="0"/>
              <w:keepLines w:val="0"/>
              <w:pageBreakBefore w:val="0"/>
              <w:widowControl/>
              <w:numPr>
                <w:ilvl w:val="0"/>
                <w:numId w:val="32"/>
              </w:numPr>
              <w:kinsoku/>
              <w:wordWrap/>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lang w:eastAsia="zh-CN"/>
              </w:rPr>
              <w:t>评分依据</w:t>
            </w:r>
            <w:r>
              <w:rPr>
                <w:rFonts w:hint="eastAsia" w:ascii="宋体" w:hAnsi="宋体" w:eastAsia="宋体" w:cs="宋体"/>
                <w:b/>
                <w:bCs/>
                <w:sz w:val="22"/>
                <w:szCs w:val="22"/>
                <w:highlight w:val="none"/>
              </w:rPr>
              <w:t>：</w:t>
            </w:r>
          </w:p>
          <w:p w14:paraId="71194EBC">
            <w:pPr>
              <w:keepNext w:val="0"/>
              <w:keepLines w:val="0"/>
              <w:pageBreakBefore w:val="0"/>
              <w:widowControl/>
              <w:numPr>
                <w:ilvl w:val="0"/>
                <w:numId w:val="0"/>
              </w:numPr>
              <w:kinsoku/>
              <w:wordWrap/>
              <w:overflowPunct/>
              <w:topLinePunct w:val="0"/>
              <w:autoSpaceDE/>
              <w:autoSpaceDN/>
              <w:bidi w:val="0"/>
              <w:adjustRightInd w:val="0"/>
              <w:snapToGrid w:val="0"/>
              <w:spacing w:line="360" w:lineRule="exact"/>
              <w:ind w:left="0" w:leftChars="0" w:firstLine="0" w:firstLineChars="0"/>
              <w:jc w:val="both"/>
              <w:textAlignment w:val="auto"/>
              <w:rPr>
                <w:rFonts w:hint="eastAsia" w:ascii="宋体" w:hAnsi="宋体" w:eastAsia="宋体" w:cs="宋体"/>
                <w:kern w:val="0"/>
                <w:sz w:val="22"/>
                <w:szCs w:val="22"/>
                <w:highlight w:val="none"/>
              </w:rPr>
            </w:pPr>
            <w:r>
              <w:rPr>
                <w:rFonts w:hint="eastAsia" w:ascii="宋体" w:hAnsi="宋体" w:eastAsia="宋体" w:cs="宋体"/>
                <w:sz w:val="22"/>
                <w:szCs w:val="22"/>
                <w:highlight w:val="none"/>
              </w:rPr>
              <w:t>①若为自有的，投标人提供软件著作权证书（著作权人须是投标人）；②若为</w:t>
            </w:r>
            <w:r>
              <w:rPr>
                <w:rFonts w:hint="eastAsia" w:ascii="宋体" w:hAnsi="宋体" w:eastAsia="宋体" w:cs="宋体"/>
                <w:sz w:val="22"/>
                <w:szCs w:val="22"/>
                <w:highlight w:val="none"/>
                <w:lang w:val="en-US" w:eastAsia="zh-CN"/>
              </w:rPr>
              <w:t>购买</w:t>
            </w:r>
            <w:r>
              <w:rPr>
                <w:rFonts w:hint="eastAsia" w:ascii="宋体" w:hAnsi="宋体" w:eastAsia="宋体" w:cs="宋体"/>
                <w:sz w:val="22"/>
                <w:szCs w:val="22"/>
                <w:highlight w:val="none"/>
              </w:rPr>
              <w:t>的，投标人提供</w:t>
            </w:r>
            <w:r>
              <w:rPr>
                <w:rFonts w:hint="eastAsia" w:ascii="宋体" w:hAnsi="宋体" w:eastAsia="宋体" w:cs="宋体"/>
                <w:sz w:val="22"/>
                <w:szCs w:val="22"/>
                <w:highlight w:val="none"/>
                <w:lang w:val="en-US" w:eastAsia="zh-CN"/>
              </w:rPr>
              <w:t>购买的</w:t>
            </w:r>
            <w:r>
              <w:rPr>
                <w:rFonts w:hint="eastAsia" w:ascii="宋体" w:hAnsi="宋体" w:eastAsia="宋体" w:cs="宋体"/>
                <w:sz w:val="22"/>
                <w:szCs w:val="22"/>
                <w:highlight w:val="none"/>
              </w:rPr>
              <w:t>合同、发票扫描件；未按要求提供或提供不清晰导致专家无法判断的不得分，原件备查。</w:t>
            </w:r>
          </w:p>
        </w:tc>
      </w:tr>
      <w:tr w14:paraId="7BF84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5" w:type="pct"/>
            <w:shd w:val="clear" w:color="auto" w:fill="FFFFFF" w:themeFill="background1"/>
            <w:noWrap w:val="0"/>
            <w:vAlign w:val="center"/>
          </w:tcPr>
          <w:p w14:paraId="655E19CE">
            <w:pPr>
              <w:keepNext w:val="0"/>
              <w:keepLines w:val="0"/>
              <w:pageBreakBefore w:val="0"/>
              <w:widowControl/>
              <w:shd w:val="clear" w:color="auto" w:fill="FFFFFF"/>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w:t>
            </w:r>
          </w:p>
        </w:tc>
        <w:tc>
          <w:tcPr>
            <w:tcW w:w="1000" w:type="pct"/>
            <w:shd w:val="clear" w:color="auto" w:fill="FFFFFF" w:themeFill="background1"/>
            <w:noWrap w:val="0"/>
            <w:vAlign w:val="center"/>
          </w:tcPr>
          <w:p w14:paraId="291025B4">
            <w:pPr>
              <w:keepNext w:val="0"/>
              <w:keepLines w:val="0"/>
              <w:pageBreakBefore w:val="0"/>
              <w:widowControl/>
              <w:shd w:val="clear" w:color="auto" w:fill="FFFFFF"/>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诚信</w:t>
            </w:r>
          </w:p>
        </w:tc>
        <w:tc>
          <w:tcPr>
            <w:tcW w:w="482" w:type="pct"/>
            <w:shd w:val="clear" w:color="auto" w:fill="FFFFFF" w:themeFill="background1"/>
            <w:noWrap w:val="0"/>
            <w:vAlign w:val="center"/>
          </w:tcPr>
          <w:p w14:paraId="2657E799">
            <w:pPr>
              <w:keepNext w:val="0"/>
              <w:keepLines w:val="0"/>
              <w:pageBreakBefore w:val="0"/>
              <w:widowControl/>
              <w:shd w:val="clear" w:color="auto" w:fill="FFFFFF"/>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p>
        </w:tc>
        <w:tc>
          <w:tcPr>
            <w:tcW w:w="694" w:type="pct"/>
            <w:shd w:val="clear" w:color="auto" w:fill="FFFFFF" w:themeFill="background1"/>
            <w:noWrap w:val="0"/>
            <w:vAlign w:val="center"/>
          </w:tcPr>
          <w:p w14:paraId="060C3BD3">
            <w:pPr>
              <w:keepNext w:val="0"/>
              <w:keepLines w:val="0"/>
              <w:pageBreakBefore w:val="0"/>
              <w:widowControl/>
              <w:shd w:val="clear" w:color="auto" w:fill="FFFFFF"/>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专家评分</w:t>
            </w:r>
          </w:p>
        </w:tc>
        <w:tc>
          <w:tcPr>
            <w:tcW w:w="2387" w:type="pct"/>
            <w:shd w:val="clear" w:color="auto" w:fill="FFFFFF" w:themeFill="background1"/>
            <w:noWrap w:val="0"/>
            <w:vAlign w:val="center"/>
          </w:tcPr>
          <w:p w14:paraId="0F9BC2B9">
            <w:pPr>
              <w:keepNext w:val="0"/>
              <w:keepLines w:val="0"/>
              <w:pageBreakBefore w:val="0"/>
              <w:widowControl/>
              <w:shd w:val="clear" w:color="auto" w:fill="FFFFFF"/>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投标人在参与政府采购活动中存在诚信相关问题且在主管部门相关处理措施实施期限内的，本项不得分，否则得满分。投标人无需提供任何证明材料，由工作人员向评审委员会提供相关信息。</w:t>
            </w:r>
          </w:p>
        </w:tc>
      </w:tr>
    </w:tbl>
    <w:p w14:paraId="076AC7A2">
      <w:pPr>
        <w:tabs>
          <w:tab w:val="clear" w:pos="426"/>
        </w:tabs>
        <w:spacing w:line="240" w:lineRule="auto"/>
        <w:rPr>
          <w:rFonts w:hint="eastAsia"/>
          <w:highlight w:val="none"/>
        </w:rPr>
      </w:pPr>
    </w:p>
    <w:p w14:paraId="3B27B78A">
      <w:pPr>
        <w:tabs>
          <w:tab w:val="clear" w:pos="426"/>
        </w:tabs>
        <w:spacing w:line="240" w:lineRule="auto"/>
        <w:rPr>
          <w:highlight w:val="none"/>
        </w:rPr>
      </w:pPr>
      <w:r>
        <w:rPr>
          <w:rFonts w:hint="eastAsia"/>
          <w:highlight w:val="none"/>
        </w:rPr>
        <w:t>备注：</w:t>
      </w:r>
    </w:p>
    <w:p w14:paraId="06B1320B">
      <w:pPr>
        <w:tabs>
          <w:tab w:val="clear" w:pos="426"/>
        </w:tabs>
        <w:spacing w:line="240" w:lineRule="auto"/>
        <w:ind w:firstLine="420" w:firstLineChars="200"/>
        <w:rPr>
          <w:rFonts w:hint="eastAsia"/>
          <w:highlight w:val="none"/>
        </w:rPr>
      </w:pPr>
      <w:r>
        <w:rPr>
          <w:rFonts w:hint="eastAsia"/>
          <w:highlight w:val="none"/>
        </w:rPr>
        <w:t>1.价格、技术、商务部分累加分为100分。</w:t>
      </w:r>
    </w:p>
    <w:p w14:paraId="4149D789">
      <w:pPr>
        <w:tabs>
          <w:tab w:val="clear" w:pos="426"/>
        </w:tabs>
        <w:spacing w:line="240" w:lineRule="auto"/>
        <w:ind w:firstLine="420" w:firstLineChars="200"/>
        <w:rPr>
          <w:bCs/>
          <w:highlight w:val="none"/>
        </w:rPr>
      </w:pPr>
      <w:r>
        <w:rPr>
          <w:rFonts w:hint="eastAsia"/>
          <w:highlight w:val="none"/>
        </w:rPr>
        <w:t>2.各投标人得分精确到小数点后两位。</w:t>
      </w:r>
    </w:p>
    <w:bookmarkEnd w:id="3"/>
    <w:p w14:paraId="123E7B61">
      <w:pPr>
        <w:shd w:val="clear" w:color="auto" w:fill="auto"/>
        <w:tabs>
          <w:tab w:val="clear" w:pos="426"/>
        </w:tabs>
        <w:adjustRightInd/>
        <w:snapToGrid/>
        <w:spacing w:line="240" w:lineRule="auto"/>
        <w:jc w:val="left"/>
        <w:rPr>
          <w:bCs/>
          <w:highlight w:val="none"/>
        </w:rPr>
      </w:pPr>
      <w:r>
        <w:rPr>
          <w:bCs/>
          <w:highlight w:val="none"/>
        </w:rPr>
        <w:br w:type="page"/>
      </w:r>
    </w:p>
    <w:p w14:paraId="2F7FBD2A">
      <w:pPr>
        <w:pStyle w:val="81"/>
        <w:tabs>
          <w:tab w:val="clear" w:pos="426"/>
        </w:tabs>
        <w:rPr>
          <w:rFonts w:hint="eastAsia"/>
          <w:highlight w:val="none"/>
        </w:rPr>
      </w:pPr>
    </w:p>
    <w:p w14:paraId="6A9BE921">
      <w:pPr>
        <w:pStyle w:val="81"/>
        <w:tabs>
          <w:tab w:val="clear" w:pos="426"/>
        </w:tabs>
        <w:rPr>
          <w:highlight w:val="none"/>
        </w:rPr>
      </w:pPr>
      <w:bookmarkStart w:id="5" w:name="_Toc28136"/>
      <w:r>
        <w:rPr>
          <w:rFonts w:hint="eastAsia"/>
          <w:highlight w:val="none"/>
        </w:rPr>
        <w:t>第一册专用条款</w:t>
      </w:r>
      <w:bookmarkEnd w:id="4"/>
      <w:bookmarkEnd w:id="5"/>
    </w:p>
    <w:p w14:paraId="77D58242">
      <w:pPr>
        <w:pStyle w:val="62"/>
        <w:tabs>
          <w:tab w:val="clear" w:pos="426"/>
        </w:tabs>
        <w:rPr>
          <w:rFonts w:hint="eastAsia"/>
          <w:highlight w:val="none"/>
        </w:rPr>
      </w:pPr>
      <w:bookmarkStart w:id="6" w:name="_Toc265483798"/>
      <w:bookmarkStart w:id="7" w:name="_Toc432592813"/>
    </w:p>
    <w:p w14:paraId="3561CFE4">
      <w:pPr>
        <w:pStyle w:val="62"/>
        <w:tabs>
          <w:tab w:val="clear" w:pos="426"/>
        </w:tabs>
        <w:rPr>
          <w:highlight w:val="none"/>
        </w:rPr>
      </w:pPr>
      <w:bookmarkStart w:id="8" w:name="_Toc25666"/>
      <w:r>
        <w:rPr>
          <w:rFonts w:hint="eastAsia"/>
          <w:highlight w:val="none"/>
        </w:rPr>
        <w:t>第一章招标公告</w:t>
      </w:r>
      <w:bookmarkEnd w:id="6"/>
      <w:bookmarkEnd w:id="7"/>
      <w:bookmarkEnd w:id="8"/>
    </w:p>
    <w:p w14:paraId="08A8FB6A">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bookmarkStart w:id="9" w:name="_Toc432592814"/>
      <w:r>
        <w:rPr>
          <w:rFonts w:hint="eastAsia" w:ascii="宋体" w:hAnsi="宋体" w:eastAsia="宋体" w:cs="宋体"/>
          <w:color w:val="auto"/>
          <w:sz w:val="22"/>
          <w:szCs w:val="22"/>
          <w:highlight w:val="none"/>
          <w:lang w:eastAsia="zh-CN"/>
        </w:rPr>
        <w:t>项目概况：</w:t>
      </w:r>
      <w:r>
        <w:rPr>
          <w:rFonts w:hint="eastAsia" w:hAnsi="宋体" w:cs="宋体"/>
          <w:color w:val="auto"/>
          <w:sz w:val="22"/>
          <w:szCs w:val="22"/>
          <w:highlight w:val="none"/>
          <w:lang w:eastAsia="zh-CN"/>
        </w:rPr>
        <w:t>广东省深圳市消防救援支队大亚湾特勤大队2024年食材配送服务采购项目</w:t>
      </w:r>
      <w:r>
        <w:rPr>
          <w:rFonts w:hint="eastAsia" w:ascii="宋体" w:hAnsi="宋体" w:eastAsia="宋体" w:cs="宋体"/>
          <w:color w:val="auto"/>
          <w:sz w:val="22"/>
          <w:szCs w:val="22"/>
          <w:highlight w:val="none"/>
          <w:lang w:eastAsia="zh-CN"/>
        </w:rPr>
        <w:t>的潜在投标人应在深圳市罗湖区太宁路2号百仕达大厦27B获取招标文件，并于2024年</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日</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点</w:t>
      </w:r>
      <w:r>
        <w:rPr>
          <w:rFonts w:hint="eastAsia" w:hAnsi="宋体" w:cs="宋体"/>
          <w:color w:val="auto"/>
          <w:sz w:val="22"/>
          <w:szCs w:val="22"/>
          <w:highlight w:val="none"/>
          <w:lang w:val="en-US" w:eastAsia="zh-CN"/>
        </w:rPr>
        <w:t>30</w:t>
      </w:r>
      <w:r>
        <w:rPr>
          <w:rFonts w:hint="eastAsia" w:ascii="宋体" w:hAnsi="宋体" w:eastAsia="宋体" w:cs="宋体"/>
          <w:color w:val="auto"/>
          <w:sz w:val="22"/>
          <w:szCs w:val="22"/>
          <w:highlight w:val="none"/>
          <w:lang w:eastAsia="zh-CN"/>
        </w:rPr>
        <w:t>分（北京时间）前递交投标文件。</w:t>
      </w:r>
    </w:p>
    <w:p w14:paraId="41BFBA22">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bCs/>
          <w:color w:val="auto"/>
          <w:sz w:val="22"/>
          <w:szCs w:val="22"/>
          <w:highlight w:val="none"/>
        </w:rPr>
      </w:pPr>
      <w:bookmarkStart w:id="10" w:name="_Toc9093"/>
    </w:p>
    <w:p w14:paraId="3A47BC5E">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一、项目基本情况</w:t>
      </w:r>
      <w:bookmarkEnd w:id="10"/>
    </w:p>
    <w:p w14:paraId="1846DA6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1</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项目编号：</w:t>
      </w:r>
      <w:r>
        <w:rPr>
          <w:rFonts w:hint="eastAsia" w:hAnsi="宋体" w:cs="宋体"/>
          <w:color w:val="auto"/>
          <w:sz w:val="22"/>
          <w:szCs w:val="22"/>
          <w:highlight w:val="none"/>
          <w:lang w:eastAsia="zh-CN"/>
        </w:rPr>
        <w:t>3324-DH2430F2337</w:t>
      </w:r>
      <w:r>
        <w:rPr>
          <w:rFonts w:hint="eastAsia" w:ascii="宋体" w:hAnsi="宋体" w:eastAsia="宋体" w:cs="宋体"/>
          <w:color w:val="auto"/>
          <w:sz w:val="22"/>
          <w:szCs w:val="22"/>
          <w:highlight w:val="none"/>
          <w:lang w:eastAsia="zh-CN"/>
        </w:rPr>
        <w:t xml:space="preserve"> </w:t>
      </w:r>
    </w:p>
    <w:p w14:paraId="45E6EED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2</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项目名称：</w:t>
      </w:r>
      <w:r>
        <w:rPr>
          <w:rFonts w:hint="eastAsia" w:hAnsi="宋体" w:cs="宋体"/>
          <w:color w:val="auto"/>
          <w:sz w:val="22"/>
          <w:szCs w:val="22"/>
          <w:highlight w:val="none"/>
          <w:lang w:eastAsia="zh-CN"/>
        </w:rPr>
        <w:t>广东省深圳市消防救援支队大亚湾特勤大队2024年食材配送服务采购项目</w:t>
      </w:r>
      <w:r>
        <w:rPr>
          <w:rFonts w:hint="eastAsia" w:ascii="宋体" w:hAnsi="宋体" w:eastAsia="宋体" w:cs="宋体"/>
          <w:color w:val="auto"/>
          <w:sz w:val="22"/>
          <w:szCs w:val="22"/>
          <w:highlight w:val="none"/>
          <w:lang w:eastAsia="zh-CN"/>
        </w:rPr>
        <w:t xml:space="preserve"> </w:t>
      </w:r>
    </w:p>
    <w:p w14:paraId="42D40D8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3</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预算金额：人民币</w:t>
      </w:r>
      <w:r>
        <w:rPr>
          <w:rFonts w:hint="eastAsia" w:hAnsi="宋体" w:cs="宋体"/>
          <w:color w:val="auto"/>
          <w:sz w:val="22"/>
          <w:szCs w:val="22"/>
          <w:highlight w:val="none"/>
          <w:lang w:eastAsia="zh-CN"/>
        </w:rPr>
        <w:t>3,019,700.00</w:t>
      </w:r>
      <w:r>
        <w:rPr>
          <w:rFonts w:hint="eastAsia" w:ascii="宋体" w:hAnsi="宋体" w:eastAsia="宋体" w:cs="宋体"/>
          <w:color w:val="auto"/>
          <w:sz w:val="22"/>
          <w:szCs w:val="22"/>
          <w:highlight w:val="none"/>
        </w:rPr>
        <w:t>元</w:t>
      </w:r>
    </w:p>
    <w:p w14:paraId="62B7EA3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default" w:ascii="宋体" w:hAnsi="宋体" w:eastAsia="宋体" w:cs="宋体"/>
          <w:snapToGrid w:val="0"/>
          <w:color w:val="auto"/>
          <w:sz w:val="22"/>
          <w:szCs w:val="22"/>
          <w:lang w:val="en-US" w:eastAsia="en-US" w:bidi="ar-SA"/>
        </w:rPr>
        <w:t>4</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最高限价：人民币</w:t>
      </w:r>
      <w:r>
        <w:rPr>
          <w:rFonts w:hint="eastAsia" w:hAnsi="宋体" w:cs="宋体"/>
          <w:color w:val="auto"/>
          <w:sz w:val="22"/>
          <w:szCs w:val="22"/>
          <w:highlight w:val="none"/>
          <w:lang w:eastAsia="zh-CN"/>
        </w:rPr>
        <w:t>3,019,700.00</w:t>
      </w:r>
      <w:r>
        <w:rPr>
          <w:rFonts w:hint="eastAsia" w:ascii="宋体" w:hAnsi="宋体" w:eastAsia="宋体" w:cs="宋体"/>
          <w:color w:val="auto"/>
          <w:sz w:val="22"/>
          <w:szCs w:val="22"/>
          <w:highlight w:val="none"/>
        </w:rPr>
        <w:t>元</w:t>
      </w:r>
    </w:p>
    <w:p w14:paraId="0E31EA3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5</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rPr>
        <w:t>采购需求：确定一家供应商，为采购人提供相关服务。</w:t>
      </w:r>
    </w:p>
    <w:p w14:paraId="75D33DC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6</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合同履行期限：</w:t>
      </w:r>
      <w:r>
        <w:rPr>
          <w:rFonts w:hint="eastAsia" w:hAnsi="宋体" w:cs="宋体"/>
          <w:color w:val="auto"/>
          <w:sz w:val="22"/>
          <w:szCs w:val="22"/>
          <w:highlight w:val="none"/>
          <w:lang w:eastAsia="zh-CN"/>
        </w:rPr>
        <w:t>本次合同签订服务期限为一年</w:t>
      </w:r>
      <w:r>
        <w:rPr>
          <w:rFonts w:hint="eastAsia" w:ascii="宋体" w:hAnsi="宋体" w:eastAsia="宋体" w:cs="宋体"/>
          <w:color w:val="auto"/>
          <w:sz w:val="22"/>
          <w:szCs w:val="22"/>
          <w:highlight w:val="none"/>
          <w:lang w:eastAsia="zh-CN"/>
        </w:rPr>
        <w:t>。</w:t>
      </w:r>
    </w:p>
    <w:p w14:paraId="60C617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default" w:ascii="宋体" w:hAnsi="宋体" w:eastAsia="宋体" w:cs="宋体"/>
          <w:snapToGrid w:val="0"/>
          <w:color w:val="auto"/>
          <w:sz w:val="22"/>
          <w:szCs w:val="22"/>
          <w:lang w:val="en-US" w:eastAsia="zh-CN" w:bidi="ar-SA"/>
        </w:rPr>
        <w:t>7</w:t>
      </w:r>
      <w:r>
        <w:rPr>
          <w:rFonts w:hint="eastAsia" w:ascii="宋体" w:hAnsi="宋体" w:eastAsia="宋体" w:cs="宋体"/>
          <w:snapToGrid w:val="0"/>
          <w:color w:val="auto"/>
          <w:sz w:val="22"/>
          <w:szCs w:val="22"/>
          <w:lang w:val="en-US" w:eastAsia="zh-CN" w:bidi="ar-SA"/>
        </w:rPr>
        <w:t>.</w:t>
      </w:r>
      <w:r>
        <w:rPr>
          <w:rFonts w:hint="eastAsia" w:ascii="宋体" w:hAnsi="宋体" w:eastAsia="宋体" w:cs="宋体"/>
          <w:color w:val="auto"/>
          <w:sz w:val="22"/>
          <w:szCs w:val="22"/>
          <w:highlight w:val="none"/>
          <w:lang w:eastAsia="zh-CN"/>
        </w:rPr>
        <w:t>本项目不接受联合体投标。</w:t>
      </w:r>
    </w:p>
    <w:p w14:paraId="584D028A">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1" w:name="_Toc15417"/>
    </w:p>
    <w:p w14:paraId="08BA121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二、申请人资格要求</w:t>
      </w:r>
      <w:bookmarkEnd w:id="11"/>
    </w:p>
    <w:p w14:paraId="0B1DD51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shd w:val="clear" w:color="auto" w:fill="FFFFFF"/>
          <w:lang w:eastAsia="zh-CN"/>
        </w:rPr>
        <w:t>满足《中华人民共和国政府采购法》第二十二条规定；</w:t>
      </w:r>
    </w:p>
    <w:p w14:paraId="37E3E3A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2.落实政府采购政策需满足的资格要求：</w:t>
      </w:r>
    </w:p>
    <w:p w14:paraId="36F36F8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根据《政府采购促进中小企业发展管理办法》（财库〔2020〕46号）：</w:t>
      </w:r>
    </w:p>
    <w:p w14:paraId="5B05DB1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①若投标人不分包，须自身为</w:t>
      </w:r>
      <w:r>
        <w:rPr>
          <w:rFonts w:hint="eastAsia" w:hAnsi="宋体" w:cs="宋体"/>
          <w:snapToGrid w:val="0"/>
          <w:color w:val="auto"/>
          <w:sz w:val="22"/>
          <w:szCs w:val="22"/>
          <w:highlight w:val="none"/>
          <w:shd w:val="clear" w:color="auto" w:fill="auto"/>
          <w:lang w:val="en-US" w:eastAsia="zh-CN" w:bidi="ar-SA"/>
        </w:rPr>
        <w:t>中</w:t>
      </w:r>
      <w:r>
        <w:rPr>
          <w:rFonts w:hint="eastAsia" w:ascii="宋体" w:hAnsi="宋体" w:eastAsia="宋体" w:cs="宋体"/>
          <w:snapToGrid w:val="0"/>
          <w:color w:val="auto"/>
          <w:sz w:val="22"/>
          <w:szCs w:val="22"/>
          <w:highlight w:val="none"/>
          <w:shd w:val="clear" w:color="auto" w:fill="auto"/>
          <w:lang w:val="en-US" w:eastAsia="zh-CN" w:bidi="ar-SA"/>
        </w:rPr>
        <w:t>小微企业，提供《中小企业声明函》（详见招标文件格式内容，并加盖投标人公章）。</w:t>
      </w:r>
    </w:p>
    <w:p w14:paraId="56C0C35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shd w:val="clear" w:color="auto" w:fill="auto"/>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②若投标人自身为大型企业，须将本项目非主体、非关键性服务内容分包，且需满足：本项目预留部分份额专门面向中小微企业采购，要求中小微企业承担的比例不低于合同总额的30%，其中预留给小微企业承担的比例不低于60%。分包承担主体不多于3家，且分包承担主体不得再次分包，须提供《分包意向协议》（格式仅供参考，需加盖投标人与各分包承担主体的公章，并在协议中明确各方的合同金额比例，要求由中小微企业承担的合同金额比例符合预留份额的比例要求），且须提供《中小企业声明函》（详见招标文件格式内容，并加盖投标人公章）。</w:t>
      </w:r>
    </w:p>
    <w:p w14:paraId="4AA5784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shd w:val="clear" w:color="auto" w:fill="auto"/>
          <w:lang w:val="en-US" w:eastAsia="zh-CN" w:bidi="ar-SA"/>
        </w:rPr>
        <w:t>注：接受分包合同的中小企业与分包企业之间不得存在直接控股、管理关系，且在同一项目中不得接受两个或以上包组中标企业的分包。残疾人福利性单位或监狱企业视同小型、微型企业，提供《残疾人福利性单位声明函》或由省级以上监狱管理局、戒毒管理局(含新疆生产建设兵团)出具的监狱企业证明文件，未提供声明函或声明函内容不符合中小企业声明函“填写指引”要求的做资格审查不通过处理。</w:t>
      </w:r>
    </w:p>
    <w:p w14:paraId="1BBFFBE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3．</w:t>
      </w:r>
      <w:r>
        <w:rPr>
          <w:rFonts w:hint="eastAsia" w:ascii="宋体" w:hAnsi="宋体" w:eastAsia="宋体" w:cs="宋体"/>
          <w:color w:val="auto"/>
          <w:sz w:val="22"/>
          <w:szCs w:val="22"/>
          <w:highlight w:val="none"/>
          <w:shd w:val="clear" w:color="auto" w:fill="FFFFFF"/>
          <w:lang w:eastAsia="zh-CN"/>
        </w:rPr>
        <w:t>本项目的特定资格要求：</w:t>
      </w:r>
    </w:p>
    <w:p w14:paraId="712C44AE">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shd w:val="clear" w:color="auto" w:fill="FFFFFF"/>
        </w:rPr>
        <w:t>须提供具有独立承担民事责任能力的法人或其他组织的营业执照或法人证书等证明材料复印件或扫描件以及《政府采购投标及履约承诺函》加盖投标人公章，总公司或者分公司只允许一家投标，不允许同时参与本项目投标，以分公司名义参与投标的，须提供总公司或具有独立法人资格的上一级公司出具的愿为其参与本项目投标以及履约等行为承担民事责任的加盖总公司公章的授权函，并提供总公司及分公司的营业执照复印件或扫描件加盖投标人公章，原件备查；</w:t>
      </w:r>
    </w:p>
    <w:p w14:paraId="33BB0936">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(2)</w:t>
      </w:r>
      <w:r>
        <w:rPr>
          <w:rFonts w:hint="eastAsia" w:ascii="宋体" w:hAnsi="宋体" w:eastAsia="宋体" w:cs="宋体"/>
          <w:color w:val="auto"/>
          <w:sz w:val="22"/>
          <w:szCs w:val="22"/>
          <w:highlight w:val="none"/>
          <w:shd w:val="clear" w:color="auto" w:fill="FFFFFF"/>
        </w:rPr>
        <w:t>参与本项目投标前三年内，在经营活动中没有重大违法记录（须按本项目投标文件格式要求提供《政府采购投标及履约承诺函》加盖投标人公章）；</w:t>
      </w:r>
    </w:p>
    <w:p w14:paraId="5EECA433">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(3)参与本项目政府采购活动时不存在被有关部门禁止参与政府采购活动且在有效期内的情况（须按本项目投标文件格式要求提供《政府采购投标及履约承诺函》加盖投标人公章）；</w:t>
      </w:r>
    </w:p>
    <w:p w14:paraId="7086C97D">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(4)单位负责人为同一人或者存在直接控股、管理关系的不同供应商，不得参加同一合同项下的政府采购活动（须按本项目投标文件格式要求提供《政府采购投标及履约承诺函》加盖投标人公章）；</w:t>
      </w:r>
    </w:p>
    <w:p w14:paraId="447600DF">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(5)</w:t>
      </w:r>
      <w:r>
        <w:rPr>
          <w:rFonts w:hint="eastAsia" w:ascii="宋体" w:hAnsi="宋体" w:eastAsia="宋体" w:cs="宋体"/>
          <w:color w:val="auto"/>
          <w:sz w:val="22"/>
          <w:szCs w:val="22"/>
          <w:highlight w:val="none"/>
          <w:shd w:val="clear" w:color="auto" w:fill="FFFFFF"/>
        </w:rPr>
        <w:t>除单一来源采购项目外，为采购项目提供整体设计、规范编制或者项目管理、监理、检测等服务的供应商，不得再参加该采购项目的其他采购活动（须按本项目投标文件格式要求提供《政府采购投标及履约承诺函》加盖投标人公章）；</w:t>
      </w:r>
    </w:p>
    <w:p w14:paraId="1D817221">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(6)</w:t>
      </w:r>
      <w:r>
        <w:rPr>
          <w:rFonts w:hint="eastAsia" w:ascii="宋体" w:hAnsi="宋体" w:eastAsia="宋体" w:cs="宋体"/>
          <w:color w:val="auto"/>
          <w:sz w:val="22"/>
          <w:szCs w:val="22"/>
          <w:highlight w:val="none"/>
          <w:shd w:val="clear" w:color="auto" w:fill="FFFFFF"/>
        </w:rPr>
        <w:t>投标人未被列入失信被执行人、重大税收违法案件当事人名单及政府采购严重违法失信行为记录名单（须按本项目投标文件格式要求提供《政府采购投标及履约承诺函》加盖投标人公章）；【注：采购代理机构将通过“信用中国”中“信用服务”栏的“重大税收违法失信主体”“失信被执行人”、“中国政府采购网”中的“政府采购严重违法失信行为记录名单”、“深圳信用网”以及“深圳市政府采购监管网”查询供应商的信用信息，相关信息以开标当日的查询结果为准。信用信息查询记录将作为项目档案材料一并保存。】；</w:t>
      </w:r>
    </w:p>
    <w:p w14:paraId="3CF45D1D">
      <w:pPr>
        <w:pStyle w:val="78"/>
        <w:keepNext w:val="0"/>
        <w:keepLines w:val="0"/>
        <w:pageBreakBefore w:val="0"/>
        <w:widowControl/>
        <w:numPr>
          <w:ilvl w:val="0"/>
          <w:numId w:val="0"/>
        </w:numPr>
        <w:shd w:val="clear" w:color="auto" w:fill="FFFFFF"/>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zh-CN" w:bidi="ar-SA"/>
        </w:rPr>
        <w:t>(7)</w:t>
      </w:r>
      <w:r>
        <w:rPr>
          <w:rFonts w:hint="eastAsia" w:ascii="宋体" w:hAnsi="宋体" w:eastAsia="宋体" w:cs="宋体"/>
          <w:color w:val="auto"/>
          <w:sz w:val="22"/>
          <w:szCs w:val="22"/>
          <w:highlight w:val="none"/>
          <w:shd w:val="clear" w:color="auto" w:fill="FFFFFF"/>
        </w:rPr>
        <w:t>本项目不接受联合体投标；</w:t>
      </w:r>
    </w:p>
    <w:p w14:paraId="4DEED3C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360" w:lineRule="exact"/>
        <w:ind w:left="0" w:leftChars="0" w:firstLine="440" w:firstLineChars="200"/>
        <w:jc w:val="lef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(8)投标人具有有效期内的《食品经营许可证》或仅销售预包装食品单位备案证明（提供证书复印件加盖投标人公章，原件备查）。</w:t>
      </w:r>
    </w:p>
    <w:p w14:paraId="38DBC8CD">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rPr>
      </w:pPr>
      <w:bookmarkStart w:id="12" w:name="_Toc30290"/>
      <w:bookmarkStart w:id="152" w:name="_GoBack"/>
      <w:bookmarkEnd w:id="152"/>
    </w:p>
    <w:p w14:paraId="798F51EF">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三、获取招标文件</w:t>
      </w:r>
      <w:bookmarkEnd w:id="12"/>
    </w:p>
    <w:p w14:paraId="57E119F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1.</w:t>
      </w:r>
      <w:r>
        <w:rPr>
          <w:rFonts w:hint="eastAsia" w:ascii="宋体" w:hAnsi="宋体" w:eastAsia="宋体" w:cs="宋体"/>
          <w:color w:val="auto"/>
          <w:sz w:val="22"/>
          <w:szCs w:val="22"/>
          <w:highlight w:val="none"/>
          <w:lang w:eastAsia="zh-CN"/>
        </w:rPr>
        <w:t>时间：2024年</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日至2024年</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月</w:t>
      </w:r>
      <w:r>
        <w:rPr>
          <w:rFonts w:hint="eastAsia" w:hAnsi="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日，每天上午9:00至12:00，下午14:30至17:30（北京时间，法定节假日除外）</w:t>
      </w:r>
    </w:p>
    <w:p w14:paraId="527DDD5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2.</w:t>
      </w:r>
      <w:r>
        <w:rPr>
          <w:rFonts w:hint="eastAsia" w:ascii="宋体" w:hAnsi="宋体" w:eastAsia="宋体" w:cs="宋体"/>
          <w:color w:val="auto"/>
          <w:sz w:val="22"/>
          <w:szCs w:val="22"/>
          <w:highlight w:val="none"/>
          <w:lang w:eastAsia="zh-CN"/>
        </w:rPr>
        <w:t>地点：深圳市罗湖区太宁路2号百仕达大厦27B</w:t>
      </w:r>
    </w:p>
    <w:p w14:paraId="0C7A8A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3.方式：现场投标报名或网上投标报名（报名资料均需加盖单位公章）</w:t>
      </w:r>
    </w:p>
    <w:p w14:paraId="7E93B97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1）现场投标报名：提供以下资料：1）营业执照（或事业法人登记证等证明文件）复印件；2）法定代表人证明书及授权委托书，附上法定代表人身份证复印件及授权代表身份证复印件；3）《洽购文件登记表》；4）资格要求中其他资质证明文件。注：以上资料均需加盖公章。</w:t>
      </w:r>
    </w:p>
    <w:p w14:paraId="50E4D96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（2）网上投标报名：发送报名资料至我司邮箱进行报名登记及获取招标文件，邮箱地址：dh@szdhit.com。报名邮件需附以下资料: 1）营业执照（或事业法人登记证等证明文件）复印件；2）法定代表人证明书及授权委托书，附上法定代表人身份证复印件及授权代表身份证复印件；3）《洽购文件登记表》；4）资格要求中其他资质证明文件；5）购买标书费用银行转账凭证。注：以上资料均需加盖公章。报名时间以邮件收到时间为准，工作人员将在第二个工作日与报名资料完整的投标人联系。</w:t>
      </w:r>
    </w:p>
    <w:p w14:paraId="3537CCD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（3）供应商可到采购代理机构网站（www.szdhit.com）下载中心免费下载《洽购文件登记表》及《法定代表人证明书及授权委托书》。</w:t>
      </w:r>
    </w:p>
    <w:p w14:paraId="5C6FAE1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（4）标书发售联系人及联系方式：葛小姐，0755-86959378转8001</w:t>
      </w:r>
    </w:p>
    <w:p w14:paraId="1BD746B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4.售价：500.00元（售后不退）</w:t>
      </w:r>
    </w:p>
    <w:p w14:paraId="633030E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（1）开户行名称及账号</w:t>
      </w:r>
    </w:p>
    <w:p w14:paraId="068BF15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开户行：中国农业银行股份有限公司深圳东湖支行</w:t>
      </w:r>
    </w:p>
    <w:p w14:paraId="381A1D5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账户名称：深圳市东海国际招标有限公司</w:t>
      </w:r>
    </w:p>
    <w:p w14:paraId="534B152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snapToGrid w:val="0"/>
          <w:color w:val="auto"/>
          <w:sz w:val="22"/>
          <w:szCs w:val="22"/>
          <w:highlight w:val="none"/>
          <w:lang w:val="en-US" w:eastAsia="zh-CN" w:bidi="ar-SA"/>
        </w:rPr>
      </w:pPr>
      <w:r>
        <w:rPr>
          <w:rFonts w:hint="eastAsia" w:ascii="宋体" w:hAnsi="宋体" w:eastAsia="宋体" w:cs="宋体"/>
          <w:snapToGrid w:val="0"/>
          <w:color w:val="auto"/>
          <w:sz w:val="22"/>
          <w:szCs w:val="22"/>
          <w:highlight w:val="none"/>
          <w:lang w:val="en-US" w:eastAsia="zh-CN" w:bidi="ar-SA"/>
        </w:rPr>
        <w:t>账号：4100 1800 0400 2656 1</w:t>
      </w:r>
    </w:p>
    <w:p w14:paraId="2C3CC2C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snapToGrid w:val="0"/>
          <w:color w:val="auto"/>
          <w:sz w:val="22"/>
          <w:szCs w:val="22"/>
          <w:highlight w:val="none"/>
          <w:lang w:val="en-US" w:eastAsia="zh-CN" w:bidi="ar-SA"/>
        </w:rPr>
        <w:t>付款时请备注公司名称+付款原因（购买招标文件或中标服务费付款）</w:t>
      </w:r>
    </w:p>
    <w:p w14:paraId="64324EE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3" w:name="_Toc25687"/>
    </w:p>
    <w:p w14:paraId="0DC54B81">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四、提交投标文件截止时间、开标时间和地点</w:t>
      </w:r>
      <w:bookmarkEnd w:id="13"/>
    </w:p>
    <w:p w14:paraId="6B494A03">
      <w:pPr>
        <w:keepNext w:val="0"/>
        <w:keepLines w:val="0"/>
        <w:pageBreakBefore w:val="0"/>
        <w:widowControl/>
        <w:numPr>
          <w:ilvl w:val="0"/>
          <w:numId w:val="33"/>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eastAsia="zh-CN"/>
        </w:rPr>
        <w:t>提交投标文件截止时间：2024年</w:t>
      </w:r>
      <w:r>
        <w:rPr>
          <w:rFonts w:hint="eastAsia" w:hAnsi="宋体" w:cs="宋体"/>
          <w:bCs/>
          <w:color w:val="auto"/>
          <w:sz w:val="22"/>
          <w:szCs w:val="22"/>
          <w:highlight w:val="none"/>
          <w:lang w:val="en-US" w:eastAsia="zh-CN"/>
        </w:rPr>
        <w:t>*</w:t>
      </w:r>
      <w:r>
        <w:rPr>
          <w:rFonts w:hint="eastAsia" w:ascii="宋体" w:hAnsi="宋体" w:eastAsia="宋体" w:cs="宋体"/>
          <w:bCs/>
          <w:color w:val="auto"/>
          <w:sz w:val="22"/>
          <w:szCs w:val="22"/>
          <w:highlight w:val="none"/>
          <w:lang w:eastAsia="zh-CN"/>
        </w:rPr>
        <w:t>月</w:t>
      </w:r>
      <w:r>
        <w:rPr>
          <w:rFonts w:hint="eastAsia" w:hAnsi="宋体" w:cs="宋体"/>
          <w:bCs/>
          <w:color w:val="auto"/>
          <w:sz w:val="22"/>
          <w:szCs w:val="22"/>
          <w:highlight w:val="none"/>
          <w:lang w:val="en-US" w:eastAsia="zh-CN"/>
        </w:rPr>
        <w:t>*</w:t>
      </w:r>
      <w:r>
        <w:rPr>
          <w:rFonts w:hint="eastAsia" w:ascii="宋体" w:hAnsi="宋体" w:eastAsia="宋体" w:cs="宋体"/>
          <w:bCs/>
          <w:color w:val="auto"/>
          <w:sz w:val="22"/>
          <w:szCs w:val="22"/>
          <w:highlight w:val="none"/>
          <w:lang w:eastAsia="zh-CN"/>
        </w:rPr>
        <w:t>日</w:t>
      </w:r>
      <w:r>
        <w:rPr>
          <w:rFonts w:hint="eastAsia" w:hAnsi="宋体" w:cs="宋体"/>
          <w:bCs/>
          <w:color w:val="auto"/>
          <w:sz w:val="22"/>
          <w:szCs w:val="22"/>
          <w:highlight w:val="none"/>
          <w:lang w:val="en-US" w:eastAsia="zh-CN"/>
        </w:rPr>
        <w:t>15</w:t>
      </w:r>
      <w:r>
        <w:rPr>
          <w:rFonts w:hint="eastAsia" w:ascii="宋体" w:hAnsi="宋体" w:eastAsia="宋体" w:cs="宋体"/>
          <w:bCs/>
          <w:color w:val="auto"/>
          <w:sz w:val="22"/>
          <w:szCs w:val="22"/>
          <w:highlight w:val="none"/>
          <w:lang w:eastAsia="zh-CN"/>
        </w:rPr>
        <w:t>点</w:t>
      </w:r>
      <w:r>
        <w:rPr>
          <w:rFonts w:hint="eastAsia" w:hAnsi="宋体" w:cs="宋体"/>
          <w:bCs/>
          <w:color w:val="auto"/>
          <w:sz w:val="22"/>
          <w:szCs w:val="22"/>
          <w:highlight w:val="none"/>
          <w:lang w:val="en-US" w:eastAsia="zh-CN"/>
        </w:rPr>
        <w:t>30</w:t>
      </w:r>
      <w:r>
        <w:rPr>
          <w:rFonts w:hint="eastAsia" w:ascii="宋体" w:hAnsi="宋体" w:eastAsia="宋体" w:cs="宋体"/>
          <w:bCs/>
          <w:color w:val="auto"/>
          <w:sz w:val="22"/>
          <w:szCs w:val="22"/>
          <w:highlight w:val="none"/>
          <w:lang w:eastAsia="zh-CN"/>
        </w:rPr>
        <w:t>分（北京时间）</w:t>
      </w:r>
    </w:p>
    <w:p w14:paraId="1360CE4E">
      <w:pPr>
        <w:keepNext w:val="0"/>
        <w:keepLines w:val="0"/>
        <w:pageBreakBefore w:val="0"/>
        <w:widowControl/>
        <w:numPr>
          <w:ilvl w:val="0"/>
          <w:numId w:val="33"/>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lang w:eastAsia="zh-CN"/>
        </w:rPr>
      </w:pPr>
      <w:r>
        <w:rPr>
          <w:rFonts w:hint="eastAsia" w:ascii="宋体" w:hAnsi="宋体" w:eastAsia="宋体" w:cs="宋体"/>
          <w:bCs/>
          <w:color w:val="auto"/>
          <w:sz w:val="22"/>
          <w:szCs w:val="22"/>
          <w:highlight w:val="none"/>
          <w:lang w:eastAsia="zh-CN"/>
        </w:rPr>
        <w:t>开标时间：2024年</w:t>
      </w:r>
      <w:r>
        <w:rPr>
          <w:rFonts w:hint="eastAsia" w:hAnsi="宋体" w:cs="宋体"/>
          <w:bCs/>
          <w:color w:val="auto"/>
          <w:sz w:val="22"/>
          <w:szCs w:val="22"/>
          <w:highlight w:val="none"/>
          <w:lang w:val="en-US" w:eastAsia="zh-CN"/>
        </w:rPr>
        <w:t>*</w:t>
      </w:r>
      <w:r>
        <w:rPr>
          <w:rFonts w:hint="eastAsia" w:ascii="宋体" w:hAnsi="宋体" w:eastAsia="宋体" w:cs="宋体"/>
          <w:bCs/>
          <w:color w:val="auto"/>
          <w:sz w:val="22"/>
          <w:szCs w:val="22"/>
          <w:highlight w:val="none"/>
          <w:lang w:eastAsia="zh-CN"/>
        </w:rPr>
        <w:t>月</w:t>
      </w:r>
      <w:r>
        <w:rPr>
          <w:rFonts w:hint="eastAsia" w:hAnsi="宋体" w:cs="宋体"/>
          <w:bCs/>
          <w:color w:val="auto"/>
          <w:sz w:val="22"/>
          <w:szCs w:val="22"/>
          <w:highlight w:val="none"/>
          <w:lang w:val="en-US" w:eastAsia="zh-CN"/>
        </w:rPr>
        <w:t>*</w:t>
      </w:r>
      <w:r>
        <w:rPr>
          <w:rFonts w:hint="eastAsia" w:ascii="宋体" w:hAnsi="宋体" w:eastAsia="宋体" w:cs="宋体"/>
          <w:bCs/>
          <w:color w:val="auto"/>
          <w:sz w:val="22"/>
          <w:szCs w:val="22"/>
          <w:highlight w:val="none"/>
          <w:lang w:eastAsia="zh-CN"/>
        </w:rPr>
        <w:t>日</w:t>
      </w:r>
      <w:r>
        <w:rPr>
          <w:rFonts w:hint="eastAsia" w:hAnsi="宋体" w:cs="宋体"/>
          <w:bCs/>
          <w:color w:val="auto"/>
          <w:sz w:val="22"/>
          <w:szCs w:val="22"/>
          <w:highlight w:val="none"/>
          <w:lang w:val="en-US" w:eastAsia="zh-CN"/>
        </w:rPr>
        <w:t>15</w:t>
      </w:r>
      <w:r>
        <w:rPr>
          <w:rFonts w:hint="eastAsia" w:ascii="宋体" w:hAnsi="宋体" w:eastAsia="宋体" w:cs="宋体"/>
          <w:bCs/>
          <w:color w:val="auto"/>
          <w:sz w:val="22"/>
          <w:szCs w:val="22"/>
          <w:highlight w:val="none"/>
          <w:lang w:eastAsia="zh-CN"/>
        </w:rPr>
        <w:t>点</w:t>
      </w:r>
      <w:r>
        <w:rPr>
          <w:rFonts w:hint="eastAsia" w:hAnsi="宋体" w:cs="宋体"/>
          <w:bCs/>
          <w:color w:val="auto"/>
          <w:sz w:val="22"/>
          <w:szCs w:val="22"/>
          <w:highlight w:val="none"/>
          <w:lang w:val="en-US" w:eastAsia="zh-CN"/>
        </w:rPr>
        <w:t>30</w:t>
      </w:r>
      <w:r>
        <w:rPr>
          <w:rFonts w:hint="eastAsia" w:ascii="宋体" w:hAnsi="宋体" w:eastAsia="宋体" w:cs="宋体"/>
          <w:bCs/>
          <w:color w:val="auto"/>
          <w:sz w:val="22"/>
          <w:szCs w:val="22"/>
          <w:highlight w:val="none"/>
          <w:lang w:eastAsia="zh-CN"/>
        </w:rPr>
        <w:t>分（北京时间）</w:t>
      </w:r>
    </w:p>
    <w:p w14:paraId="6D140648">
      <w:pPr>
        <w:keepNext w:val="0"/>
        <w:keepLines w:val="0"/>
        <w:pageBreakBefore w:val="0"/>
        <w:widowControl/>
        <w:numPr>
          <w:ilvl w:val="0"/>
          <w:numId w:val="33"/>
        </w:numPr>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bCs/>
          <w:color w:val="auto"/>
          <w:sz w:val="22"/>
          <w:szCs w:val="22"/>
          <w:highlight w:val="none"/>
          <w:u w:val="single"/>
          <w:lang w:eastAsia="zh-CN"/>
        </w:rPr>
      </w:pPr>
      <w:r>
        <w:rPr>
          <w:rFonts w:hint="eastAsia" w:ascii="宋体" w:hAnsi="宋体" w:eastAsia="宋体" w:cs="宋体"/>
          <w:bCs/>
          <w:color w:val="auto"/>
          <w:sz w:val="22"/>
          <w:szCs w:val="22"/>
          <w:highlight w:val="none"/>
          <w:lang w:eastAsia="zh-CN"/>
        </w:rPr>
        <w:t>地点：深圳市罗湖区太宁路2号百仕达大厦27B深圳市东海国际招标有限公司开标室</w:t>
      </w:r>
    </w:p>
    <w:p w14:paraId="612EA112">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4" w:name="_Toc2697"/>
    </w:p>
    <w:p w14:paraId="6BC196EE">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五、公告期限</w:t>
      </w:r>
      <w:bookmarkEnd w:id="14"/>
    </w:p>
    <w:p w14:paraId="6A0AF187">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自本公告发布之日起5个工作日。</w:t>
      </w:r>
    </w:p>
    <w:p w14:paraId="78914006">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5" w:name="_Toc14239"/>
    </w:p>
    <w:p w14:paraId="40CFF6C0">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六、其他补充事宜</w:t>
      </w:r>
      <w:bookmarkEnd w:id="15"/>
    </w:p>
    <w:p w14:paraId="10C4339F">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1.公示网站：</w:t>
      </w:r>
    </w:p>
    <w:p w14:paraId="50BDDC5C">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中国政府采购网：www.ccgp.gov.cn</w:t>
      </w:r>
    </w:p>
    <w:p w14:paraId="6DC77879">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 xml:space="preserve">深圳市东海国际招标有限公司网：www.szdhit.com </w:t>
      </w:r>
    </w:p>
    <w:p w14:paraId="54610190">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2.其他事项：</w:t>
      </w:r>
    </w:p>
    <w:p w14:paraId="6A34EC79">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本项目投标人可通过“顺丰速运”的邮寄方式（不接受其他邮寄方式或顺丰同城、闪送、美团跑腿等同城服务递交），按照规定的提交投标文件截止时间前将投标文件邮寄至我司，送达时间以我司工作人员签收时间为准。快递箱封面需用A4纸清晰标注项目名称、项目编号和投标人名称，投标人自行承担因寄错地址、逾期送达、未按照招标文件要求密封或者邮寄过程中出现包装密封破损等可能导致投标无效情形的责任与后果。投标人未参加开标会的，视同认可开标结果。</w:t>
      </w:r>
    </w:p>
    <w:p w14:paraId="6CFF34AC">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邮寄地址：深圳市罗湖区太宁路2号百仕达大厦27B深圳市东海国际招标有限公司，收件人：葛小姐，联系电话：0755-86959378转8001。</w:t>
      </w:r>
    </w:p>
    <w:p w14:paraId="7E529209">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bookmarkStart w:id="16" w:name="_Toc16395"/>
    </w:p>
    <w:p w14:paraId="0DE5CB58">
      <w:pPr>
        <w:keepNext w:val="0"/>
        <w:keepLines w:val="0"/>
        <w:pageBreakBefore w:val="0"/>
        <w:widowControl/>
        <w:kinsoku w:val="0"/>
        <w:wordWrap/>
        <w:overflowPunct/>
        <w:topLinePunct w:val="0"/>
        <w:autoSpaceDE w:val="0"/>
        <w:autoSpaceDN w:val="0"/>
        <w:bidi w:val="0"/>
        <w:adjustRightInd w:val="0"/>
        <w:snapToGrid w:val="0"/>
        <w:spacing w:line="360" w:lineRule="exact"/>
        <w:ind w:firstLine="442" w:firstLineChars="200"/>
        <w:textAlignment w:val="baseline"/>
        <w:outlineLvl w:val="1"/>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eastAsia="zh-CN"/>
        </w:rPr>
        <w:t>七、对本次招标提出询问，请按以下方式联系</w:t>
      </w:r>
      <w:bookmarkEnd w:id="16"/>
    </w:p>
    <w:p w14:paraId="590B746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exact"/>
        <w:ind w:left="0" w:leftChars="0" w:firstLine="440" w:firstLineChars="200"/>
        <w:textAlignment w:val="baseline"/>
        <w:rPr>
          <w:rFonts w:hint="eastAsia" w:ascii="宋体" w:hAnsi="宋体" w:eastAsia="宋体" w:cs="宋体"/>
          <w:color w:val="auto"/>
          <w:sz w:val="22"/>
          <w:szCs w:val="22"/>
          <w:highlight w:val="none"/>
        </w:rPr>
      </w:pPr>
      <w:r>
        <w:rPr>
          <w:rFonts w:hint="eastAsia" w:ascii="宋体" w:hAnsi="宋体" w:eastAsia="宋体" w:cs="宋体"/>
          <w:snapToGrid w:val="0"/>
          <w:color w:val="auto"/>
          <w:sz w:val="22"/>
          <w:szCs w:val="22"/>
          <w:highlight w:val="none"/>
          <w:lang w:val="en-US" w:eastAsia="en-US" w:bidi="ar-SA"/>
        </w:rPr>
        <w:t>1</w:t>
      </w:r>
      <w:r>
        <w:rPr>
          <w:rFonts w:hint="eastAsia" w:ascii="宋体" w:hAnsi="宋体" w:eastAsia="宋体" w:cs="宋体"/>
          <w:snapToGrid w:val="0"/>
          <w:color w:val="auto"/>
          <w:sz w:val="22"/>
          <w:szCs w:val="22"/>
          <w:highlight w:val="none"/>
          <w:lang w:val="en-US" w:eastAsia="zh-CN" w:bidi="ar-SA"/>
        </w:rPr>
        <w:t>.</w:t>
      </w:r>
      <w:r>
        <w:rPr>
          <w:rFonts w:hint="eastAsia" w:ascii="宋体" w:hAnsi="宋体" w:eastAsia="宋体" w:cs="宋体"/>
          <w:color w:val="auto"/>
          <w:sz w:val="22"/>
          <w:szCs w:val="22"/>
          <w:highlight w:val="none"/>
        </w:rPr>
        <w:t>采购人信息</w:t>
      </w:r>
    </w:p>
    <w:p w14:paraId="47801372">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名</w:t>
      </w:r>
      <w:r>
        <w:rPr>
          <w:rFonts w:hint="eastAsia" w:ascii="宋体" w:hAnsi="宋体" w:eastAsia="宋体" w:cs="宋体"/>
          <w:snapToGrid w:val="0"/>
          <w:color w:val="auto"/>
          <w:sz w:val="22"/>
          <w:szCs w:val="22"/>
          <w:highlight w:val="none"/>
          <w:lang w:val="en-US" w:eastAsia="en-US" w:bidi="ar-SA"/>
        </w:rPr>
        <w:t>　</w:t>
      </w:r>
      <w:r>
        <w:rPr>
          <w:rFonts w:hint="eastAsia" w:ascii="宋体" w:hAnsi="宋体" w:eastAsia="宋体" w:cs="宋体"/>
          <w:color w:val="auto"/>
          <w:sz w:val="22"/>
          <w:szCs w:val="22"/>
          <w:highlight w:val="none"/>
          <w:lang w:eastAsia="zh-CN"/>
        </w:rPr>
        <w:t>称：</w:t>
      </w:r>
      <w:r>
        <w:rPr>
          <w:rFonts w:hint="eastAsia" w:hAnsi="宋体" w:cs="宋体"/>
          <w:color w:val="auto"/>
          <w:sz w:val="22"/>
          <w:szCs w:val="22"/>
          <w:highlight w:val="none"/>
          <w:lang w:eastAsia="zh-CN"/>
        </w:rPr>
        <w:t>深圳市消防救援支队大亚湾特勤大队</w:t>
      </w:r>
    </w:p>
    <w:p w14:paraId="52EE1175">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地</w:t>
      </w:r>
      <w:r>
        <w:rPr>
          <w:rFonts w:hint="eastAsia" w:ascii="宋体" w:hAnsi="宋体" w:eastAsia="宋体" w:cs="宋体"/>
          <w:snapToGrid w:val="0"/>
          <w:color w:val="auto"/>
          <w:sz w:val="22"/>
          <w:szCs w:val="22"/>
          <w:highlight w:val="none"/>
          <w:lang w:val="en-US" w:eastAsia="en-US" w:bidi="ar-SA"/>
        </w:rPr>
        <w:t>　</w:t>
      </w:r>
      <w:r>
        <w:rPr>
          <w:rFonts w:hint="eastAsia" w:ascii="宋体" w:hAnsi="宋体" w:eastAsia="宋体" w:cs="宋体"/>
          <w:color w:val="auto"/>
          <w:sz w:val="22"/>
          <w:szCs w:val="22"/>
          <w:highlight w:val="none"/>
          <w:lang w:eastAsia="zh-CN"/>
        </w:rPr>
        <w:t>址：广东省深圳市大鹏新区葵鹏路38号</w:t>
      </w:r>
    </w:p>
    <w:p w14:paraId="070B1827">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联系方式：</w:t>
      </w:r>
      <w:r>
        <w:rPr>
          <w:rFonts w:hint="eastAsia"/>
          <w:lang w:val="en-US" w:eastAsia="zh-CN"/>
        </w:rPr>
        <w:t>曹工</w:t>
      </w:r>
      <w:r>
        <w:rPr>
          <w:rFonts w:hint="eastAsia"/>
        </w:rPr>
        <w:t>13560278324</w:t>
      </w:r>
    </w:p>
    <w:p w14:paraId="69F0E4A4">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2.采购代理机构信息</w:t>
      </w:r>
    </w:p>
    <w:p w14:paraId="69BF9433">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名　称：深圳市东海国际招标有限公司</w:t>
      </w:r>
    </w:p>
    <w:p w14:paraId="7311948B">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地　址：深圳市罗湖区太宁路2号百仕达大厦27B</w:t>
      </w:r>
    </w:p>
    <w:p w14:paraId="247E1014">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联系方式：0755-86959378</w:t>
      </w:r>
    </w:p>
    <w:p w14:paraId="5AD791E3">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3.项目联系方式</w:t>
      </w:r>
    </w:p>
    <w:p w14:paraId="3AB9D3C1">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项目联系人：吴先生、佟先生、袁小姐</w:t>
      </w:r>
    </w:p>
    <w:p w14:paraId="2518792F">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电　话：0755-86959378或86959778转8002/8024</w:t>
      </w:r>
    </w:p>
    <w:p w14:paraId="44638E7A">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4.采购代理监督电话：邹先生13510343601</w:t>
      </w:r>
    </w:p>
    <w:p w14:paraId="10C762B2">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5.消防救援队伍政府采购项目投诉受理单位：</w:t>
      </w:r>
    </w:p>
    <w:p w14:paraId="1CB1953D">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联系人：财政部政府采购监督裁决处</w:t>
      </w:r>
    </w:p>
    <w:p w14:paraId="1E23935D">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电　话：010-68513070、010-68519967</w:t>
      </w:r>
    </w:p>
    <w:p w14:paraId="67C323F6">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snapToGrid w:val="0"/>
          <w:color w:val="auto"/>
          <w:sz w:val="22"/>
          <w:szCs w:val="22"/>
          <w:highlight w:val="none"/>
          <w:lang w:val="en-US" w:eastAsia="en-US" w:bidi="ar-SA"/>
        </w:rPr>
      </w:pPr>
      <w:r>
        <w:rPr>
          <w:rFonts w:hint="eastAsia" w:ascii="宋体" w:hAnsi="宋体" w:eastAsia="宋体" w:cs="宋体"/>
          <w:snapToGrid w:val="0"/>
          <w:color w:val="auto"/>
          <w:sz w:val="22"/>
          <w:szCs w:val="22"/>
          <w:highlight w:val="none"/>
          <w:lang w:val="en-US" w:eastAsia="en-US" w:bidi="ar-SA"/>
        </w:rPr>
        <w:t>地　址：北京市西城区月坛北小街13号中船宾馆北楼四层8401室、8403室</w:t>
      </w:r>
    </w:p>
    <w:p w14:paraId="0D78D38F">
      <w:pPr>
        <w:pStyle w:val="8"/>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textAlignment w:val="baseline"/>
        <w:rPr>
          <w:rFonts w:hint="eastAsia" w:ascii="宋体" w:hAnsi="宋体" w:eastAsia="宋体" w:cs="宋体"/>
          <w:color w:val="auto"/>
          <w:sz w:val="22"/>
          <w:szCs w:val="22"/>
          <w:highlight w:val="none"/>
          <w:lang w:eastAsia="zh-CN"/>
        </w:rPr>
      </w:pPr>
    </w:p>
    <w:p w14:paraId="3AF782A5">
      <w:pPr>
        <w:keepNext w:val="0"/>
        <w:keepLines w:val="0"/>
        <w:pageBreakBefore w:val="0"/>
        <w:widowControl/>
        <w:kinsoku w:val="0"/>
        <w:wordWrap/>
        <w:overflowPunct/>
        <w:topLinePunct w:val="0"/>
        <w:autoSpaceDE w:val="0"/>
        <w:autoSpaceDN w:val="0"/>
        <w:bidi w:val="0"/>
        <w:adjustRightInd w:val="0"/>
        <w:snapToGrid w:val="0"/>
        <w:spacing w:line="360" w:lineRule="exact"/>
        <w:ind w:firstLine="440" w:firstLineChars="200"/>
        <w:jc w:val="right"/>
        <w:textAlignment w:val="baseline"/>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深圳市东海国际招标有限公司</w:t>
      </w:r>
    </w:p>
    <w:p w14:paraId="5570D507">
      <w:pPr>
        <w:pStyle w:val="587"/>
        <w:keepNext w:val="0"/>
        <w:keepLines w:val="0"/>
        <w:pageBreakBefore w:val="0"/>
        <w:widowControl/>
        <w:kinsoku w:val="0"/>
        <w:wordWrap/>
        <w:overflowPunct/>
        <w:topLinePunct w:val="0"/>
        <w:autoSpaceDE w:val="0"/>
        <w:autoSpaceDN w:val="0"/>
        <w:bidi w:val="0"/>
        <w:adjustRightInd w:val="0"/>
        <w:snapToGrid w:val="0"/>
        <w:spacing w:line="360" w:lineRule="exact"/>
        <w:ind w:left="0" w:firstLine="440" w:firstLineChars="200"/>
        <w:jc w:val="right"/>
        <w:textAlignment w:val="baseline"/>
        <w:outlineLvl w:val="9"/>
        <w:rPr>
          <w:rFonts w:hint="eastAsia" w:ascii="宋体" w:hAnsi="宋体" w:eastAsia="宋体" w:cs="宋体"/>
          <w:color w:val="FF0000"/>
          <w:sz w:val="22"/>
          <w:szCs w:val="22"/>
          <w:highlight w:val="none"/>
          <w:lang w:eastAsia="zh-CN"/>
        </w:rPr>
      </w:pPr>
      <w:r>
        <w:rPr>
          <w:rFonts w:hint="eastAsia" w:ascii="宋体" w:hAnsi="宋体" w:eastAsia="宋体" w:cs="宋体"/>
          <w:b w:val="0"/>
          <w:bCs w:val="0"/>
          <w:color w:val="auto"/>
          <w:sz w:val="22"/>
          <w:szCs w:val="22"/>
          <w:highlight w:val="none"/>
          <w:lang w:eastAsia="zh-CN"/>
        </w:rPr>
        <w:t>2024年</w:t>
      </w:r>
      <w:r>
        <w:rPr>
          <w:rFonts w:hint="eastAsia" w:ascii="宋体" w:hAnsi="宋体" w:eastAsia="宋体" w:cs="宋体"/>
          <w:b w:val="0"/>
          <w:bCs w:val="0"/>
          <w:color w:val="auto"/>
          <w:sz w:val="22"/>
          <w:szCs w:val="22"/>
          <w:highlight w:val="none"/>
          <w:lang w:val="en-US" w:eastAsia="zh-CN"/>
        </w:rPr>
        <w:t>*</w:t>
      </w:r>
      <w:r>
        <w:rPr>
          <w:rFonts w:hint="eastAsia" w:ascii="宋体" w:hAnsi="宋体" w:eastAsia="宋体" w:cs="宋体"/>
          <w:b w:val="0"/>
          <w:bCs w:val="0"/>
          <w:color w:val="auto"/>
          <w:sz w:val="22"/>
          <w:szCs w:val="22"/>
          <w:highlight w:val="none"/>
          <w:lang w:eastAsia="zh-CN"/>
        </w:rPr>
        <w:t>月</w:t>
      </w:r>
      <w:r>
        <w:rPr>
          <w:rFonts w:hint="eastAsia" w:ascii="宋体" w:hAnsi="宋体" w:eastAsia="宋体" w:cs="宋体"/>
          <w:b w:val="0"/>
          <w:bCs w:val="0"/>
          <w:color w:val="auto"/>
          <w:sz w:val="22"/>
          <w:szCs w:val="22"/>
          <w:highlight w:val="none"/>
          <w:lang w:val="en-US" w:eastAsia="zh-CN"/>
        </w:rPr>
        <w:t>*</w:t>
      </w:r>
      <w:r>
        <w:rPr>
          <w:rFonts w:hint="eastAsia" w:ascii="宋体" w:hAnsi="宋体" w:eastAsia="宋体" w:cs="宋体"/>
          <w:b w:val="0"/>
          <w:bCs w:val="0"/>
          <w:color w:val="auto"/>
          <w:sz w:val="22"/>
          <w:szCs w:val="22"/>
          <w:highlight w:val="none"/>
          <w:lang w:eastAsia="zh-CN"/>
        </w:rPr>
        <w:t>日</w:t>
      </w:r>
    </w:p>
    <w:p w14:paraId="53EB1B30">
      <w:pPr>
        <w:rPr>
          <w:rFonts w:hint="eastAsia"/>
          <w:highlight w:val="none"/>
        </w:rPr>
      </w:pPr>
      <w:r>
        <w:rPr>
          <w:rFonts w:hint="eastAsia"/>
          <w:highlight w:val="none"/>
        </w:rPr>
        <w:br w:type="page"/>
      </w:r>
    </w:p>
    <w:p w14:paraId="2DB318AB">
      <w:pPr>
        <w:rPr>
          <w:rFonts w:hint="eastAsia"/>
        </w:rPr>
      </w:pPr>
    </w:p>
    <w:p w14:paraId="590B82F3">
      <w:pPr>
        <w:pStyle w:val="62"/>
        <w:shd w:val="clear" w:color="auto" w:fill="FFFFFF"/>
        <w:tabs>
          <w:tab w:val="clear" w:pos="426"/>
        </w:tabs>
        <w:rPr>
          <w:rFonts w:hint="eastAsia" w:eastAsia="宋体" w:cs="Times New Roman"/>
          <w:highlight w:val="none"/>
        </w:rPr>
      </w:pPr>
      <w:bookmarkStart w:id="17" w:name="_Toc27568"/>
      <w:r>
        <w:rPr>
          <w:rFonts w:hint="eastAsia" w:eastAsia="宋体" w:cs="Times New Roman"/>
          <w:highlight w:val="none"/>
        </w:rPr>
        <w:t>第二章</w:t>
      </w:r>
      <w:bookmarkEnd w:id="9"/>
      <w:r>
        <w:rPr>
          <w:rFonts w:hint="eastAsia" w:eastAsia="宋体" w:cs="Times New Roman"/>
          <w:highlight w:val="none"/>
        </w:rPr>
        <w:t>投标须知前附表</w:t>
      </w:r>
      <w:bookmarkEnd w:id="17"/>
    </w:p>
    <w:p w14:paraId="3D57AA35">
      <w:pPr>
        <w:rPr>
          <w:rFonts w:hint="eastAsia"/>
        </w:rPr>
      </w:pPr>
    </w:p>
    <w:p w14:paraId="78714CF3">
      <w:pPr>
        <w:tabs>
          <w:tab w:val="clear" w:pos="426"/>
        </w:tabs>
        <w:spacing w:line="240" w:lineRule="auto"/>
        <w:ind w:right="-174" w:rightChars="-83"/>
        <w:rPr>
          <w:rFonts w:hint="eastAsia"/>
          <w:highlight w:val="none"/>
        </w:rPr>
      </w:pPr>
      <w:r>
        <w:rPr>
          <w:rFonts w:hint="eastAsia"/>
          <w:highlight w:val="none"/>
        </w:rPr>
        <w:t>说明：本表是对通用条款《投标供应商须知》条款的补充、修改和完善，如果有矛盾，应以本表为准。</w:t>
      </w:r>
    </w:p>
    <w:p w14:paraId="050C46CD">
      <w:pPr>
        <w:pStyle w:val="8"/>
      </w:pPr>
    </w:p>
    <w:tbl>
      <w:tblPr>
        <w:tblStyle w:val="85"/>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889"/>
        <w:gridCol w:w="6931"/>
      </w:tblGrid>
      <w:tr w14:paraId="49F97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39B2834D">
            <w:pPr>
              <w:tabs>
                <w:tab w:val="clear" w:pos="426"/>
              </w:tabs>
              <w:adjustRightInd/>
              <w:snapToGrid/>
              <w:spacing w:line="320" w:lineRule="exact"/>
              <w:jc w:val="center"/>
              <w:rPr>
                <w:highlight w:val="none"/>
              </w:rPr>
            </w:pPr>
            <w:r>
              <w:rPr>
                <w:rFonts w:hint="eastAsia"/>
                <w:highlight w:val="none"/>
              </w:rPr>
              <w:t>序号</w:t>
            </w:r>
          </w:p>
        </w:tc>
        <w:tc>
          <w:tcPr>
            <w:tcW w:w="1889" w:type="dxa"/>
            <w:tcBorders>
              <w:tl2br w:val="nil"/>
              <w:tr2bl w:val="nil"/>
            </w:tcBorders>
            <w:vAlign w:val="center"/>
          </w:tcPr>
          <w:p w14:paraId="786A252B">
            <w:pPr>
              <w:tabs>
                <w:tab w:val="clear" w:pos="426"/>
              </w:tabs>
              <w:adjustRightInd/>
              <w:snapToGrid/>
              <w:spacing w:line="320" w:lineRule="exact"/>
              <w:jc w:val="center"/>
              <w:rPr>
                <w:highlight w:val="none"/>
              </w:rPr>
            </w:pPr>
            <w:r>
              <w:rPr>
                <w:rFonts w:hint="eastAsia"/>
                <w:highlight w:val="none"/>
              </w:rPr>
              <w:t>内容</w:t>
            </w:r>
          </w:p>
        </w:tc>
        <w:tc>
          <w:tcPr>
            <w:tcW w:w="6931" w:type="dxa"/>
            <w:tcBorders>
              <w:tl2br w:val="nil"/>
              <w:tr2bl w:val="nil"/>
            </w:tcBorders>
            <w:vAlign w:val="center"/>
          </w:tcPr>
          <w:p w14:paraId="19AE5440">
            <w:pPr>
              <w:tabs>
                <w:tab w:val="clear" w:pos="426"/>
              </w:tabs>
              <w:adjustRightInd/>
              <w:snapToGrid/>
              <w:spacing w:line="320" w:lineRule="exact"/>
              <w:jc w:val="center"/>
              <w:rPr>
                <w:highlight w:val="none"/>
              </w:rPr>
            </w:pPr>
            <w:r>
              <w:rPr>
                <w:rFonts w:hint="eastAsia"/>
                <w:highlight w:val="none"/>
              </w:rPr>
              <w:t>规定</w:t>
            </w:r>
          </w:p>
        </w:tc>
      </w:tr>
      <w:tr w14:paraId="5ADF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065FB1FB">
            <w:pPr>
              <w:tabs>
                <w:tab w:val="clear" w:pos="426"/>
              </w:tabs>
              <w:adjustRightInd/>
              <w:snapToGrid/>
              <w:spacing w:line="320" w:lineRule="exact"/>
              <w:jc w:val="center"/>
              <w:rPr>
                <w:highlight w:val="none"/>
              </w:rPr>
            </w:pPr>
            <w:r>
              <w:rPr>
                <w:highlight w:val="none"/>
              </w:rPr>
              <w:t>1</w:t>
            </w:r>
          </w:p>
        </w:tc>
        <w:tc>
          <w:tcPr>
            <w:tcW w:w="1889" w:type="dxa"/>
            <w:tcBorders>
              <w:tl2br w:val="nil"/>
              <w:tr2bl w:val="nil"/>
            </w:tcBorders>
            <w:vAlign w:val="center"/>
          </w:tcPr>
          <w:p w14:paraId="51B0478A">
            <w:pPr>
              <w:tabs>
                <w:tab w:val="clear" w:pos="426"/>
              </w:tabs>
              <w:adjustRightInd/>
              <w:snapToGrid/>
              <w:spacing w:line="320" w:lineRule="exact"/>
              <w:rPr>
                <w:highlight w:val="none"/>
              </w:rPr>
            </w:pPr>
            <w:r>
              <w:rPr>
                <w:rFonts w:hint="eastAsia"/>
                <w:highlight w:val="none"/>
              </w:rPr>
              <w:t>联合体投标</w:t>
            </w:r>
          </w:p>
        </w:tc>
        <w:tc>
          <w:tcPr>
            <w:tcW w:w="6931" w:type="dxa"/>
            <w:tcBorders>
              <w:tl2br w:val="nil"/>
              <w:tr2bl w:val="nil"/>
            </w:tcBorders>
            <w:vAlign w:val="center"/>
          </w:tcPr>
          <w:p w14:paraId="7D4E8A0A">
            <w:pPr>
              <w:tabs>
                <w:tab w:val="clear" w:pos="426"/>
              </w:tabs>
              <w:adjustRightInd/>
              <w:snapToGrid/>
              <w:spacing w:line="320" w:lineRule="exact"/>
              <w:rPr>
                <w:highlight w:val="none"/>
              </w:rPr>
            </w:pPr>
            <w:r>
              <w:rPr>
                <w:rFonts w:hint="eastAsia"/>
                <w:highlight w:val="none"/>
              </w:rPr>
              <w:t>■不接受（招标文件中相关联合体规定均不适用）□接受</w:t>
            </w:r>
          </w:p>
        </w:tc>
      </w:tr>
      <w:tr w14:paraId="1B692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6E287A9">
            <w:pPr>
              <w:tabs>
                <w:tab w:val="clear" w:pos="426"/>
              </w:tabs>
              <w:adjustRightInd/>
              <w:snapToGrid/>
              <w:spacing w:line="320" w:lineRule="exact"/>
              <w:jc w:val="center"/>
              <w:rPr>
                <w:highlight w:val="none"/>
              </w:rPr>
            </w:pPr>
            <w:r>
              <w:rPr>
                <w:highlight w:val="none"/>
              </w:rPr>
              <w:t>2</w:t>
            </w:r>
          </w:p>
        </w:tc>
        <w:tc>
          <w:tcPr>
            <w:tcW w:w="1889" w:type="dxa"/>
            <w:tcBorders>
              <w:tl2br w:val="nil"/>
              <w:tr2bl w:val="nil"/>
            </w:tcBorders>
            <w:vAlign w:val="center"/>
          </w:tcPr>
          <w:p w14:paraId="64D22BCB">
            <w:pPr>
              <w:tabs>
                <w:tab w:val="clear" w:pos="426"/>
              </w:tabs>
              <w:adjustRightInd/>
              <w:snapToGrid/>
              <w:spacing w:line="320" w:lineRule="exact"/>
              <w:rPr>
                <w:highlight w:val="none"/>
              </w:rPr>
            </w:pPr>
            <w:r>
              <w:rPr>
                <w:rFonts w:hint="eastAsia"/>
                <w:highlight w:val="none"/>
              </w:rPr>
              <w:t>踏勘现场</w:t>
            </w:r>
          </w:p>
        </w:tc>
        <w:tc>
          <w:tcPr>
            <w:tcW w:w="6931" w:type="dxa"/>
            <w:tcBorders>
              <w:tl2br w:val="nil"/>
              <w:tr2bl w:val="nil"/>
            </w:tcBorders>
            <w:vAlign w:val="center"/>
          </w:tcPr>
          <w:p w14:paraId="5E178671">
            <w:pPr>
              <w:tabs>
                <w:tab w:val="clear" w:pos="426"/>
              </w:tabs>
              <w:adjustRightInd/>
              <w:snapToGrid/>
              <w:spacing w:line="320" w:lineRule="exact"/>
              <w:rPr>
                <w:highlight w:val="none"/>
              </w:rPr>
            </w:pPr>
            <w:r>
              <w:rPr>
                <w:rFonts w:hint="eastAsia"/>
                <w:highlight w:val="none"/>
              </w:rPr>
              <w:t>■不组织。</w:t>
            </w:r>
          </w:p>
          <w:p w14:paraId="03F11DF7">
            <w:pPr>
              <w:tabs>
                <w:tab w:val="clear" w:pos="426"/>
              </w:tabs>
              <w:adjustRightInd/>
              <w:snapToGrid/>
              <w:spacing w:line="320" w:lineRule="exact"/>
              <w:rPr>
                <w:highlight w:val="none"/>
              </w:rPr>
            </w:pPr>
            <w:r>
              <w:rPr>
                <w:rFonts w:hint="eastAsia"/>
                <w:highlight w:val="none"/>
              </w:rPr>
              <w:t>□组织。踏勘时间：</w:t>
            </w:r>
            <w:r>
              <w:rPr>
                <w:highlight w:val="none"/>
                <w:u w:val="single"/>
              </w:rPr>
              <w:t>______</w:t>
            </w:r>
            <w:r>
              <w:rPr>
                <w:rFonts w:hint="eastAsia"/>
                <w:highlight w:val="none"/>
                <w:u w:val="single"/>
              </w:rPr>
              <w:t>年</w:t>
            </w:r>
            <w:r>
              <w:rPr>
                <w:highlight w:val="none"/>
                <w:u w:val="single"/>
              </w:rPr>
              <w:t>____</w:t>
            </w:r>
            <w:r>
              <w:rPr>
                <w:rFonts w:hint="eastAsia"/>
                <w:highlight w:val="none"/>
                <w:u w:val="single"/>
              </w:rPr>
              <w:t>月</w:t>
            </w:r>
            <w:r>
              <w:rPr>
                <w:highlight w:val="none"/>
                <w:u w:val="single"/>
              </w:rPr>
              <w:t>___</w:t>
            </w:r>
            <w:r>
              <w:rPr>
                <w:rFonts w:hint="eastAsia"/>
                <w:highlight w:val="none"/>
                <w:u w:val="single"/>
              </w:rPr>
              <w:t>日</w:t>
            </w:r>
            <w:r>
              <w:rPr>
                <w:highlight w:val="none"/>
                <w:u w:val="single"/>
              </w:rPr>
              <w:t>____</w:t>
            </w:r>
            <w:r>
              <w:rPr>
                <w:rFonts w:hint="eastAsia"/>
                <w:highlight w:val="none"/>
                <w:u w:val="single"/>
              </w:rPr>
              <w:t>时</w:t>
            </w:r>
            <w:r>
              <w:rPr>
                <w:highlight w:val="none"/>
                <w:u w:val="single"/>
              </w:rPr>
              <w:t>____</w:t>
            </w:r>
            <w:r>
              <w:rPr>
                <w:rFonts w:hint="eastAsia"/>
                <w:highlight w:val="none"/>
                <w:u w:val="single"/>
              </w:rPr>
              <w:t>分</w:t>
            </w:r>
          </w:p>
          <w:p w14:paraId="08622ACA">
            <w:pPr>
              <w:tabs>
                <w:tab w:val="clear" w:pos="426"/>
              </w:tabs>
              <w:adjustRightInd/>
              <w:snapToGrid/>
              <w:spacing w:line="320" w:lineRule="exact"/>
              <w:rPr>
                <w:highlight w:val="none"/>
              </w:rPr>
            </w:pPr>
            <w:r>
              <w:rPr>
                <w:rFonts w:hint="eastAsia"/>
                <w:highlight w:val="none"/>
              </w:rPr>
              <w:t>集合地点：</w:t>
            </w:r>
          </w:p>
        </w:tc>
      </w:tr>
      <w:tr w14:paraId="6E84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5BF9B54">
            <w:pPr>
              <w:tabs>
                <w:tab w:val="clear" w:pos="426"/>
              </w:tabs>
              <w:adjustRightInd/>
              <w:snapToGrid/>
              <w:spacing w:line="320" w:lineRule="exact"/>
              <w:jc w:val="center"/>
              <w:rPr>
                <w:highlight w:val="none"/>
              </w:rPr>
            </w:pPr>
            <w:r>
              <w:rPr>
                <w:highlight w:val="none"/>
              </w:rPr>
              <w:t>3</w:t>
            </w:r>
          </w:p>
        </w:tc>
        <w:tc>
          <w:tcPr>
            <w:tcW w:w="1889" w:type="dxa"/>
            <w:tcBorders>
              <w:tl2br w:val="nil"/>
              <w:tr2bl w:val="nil"/>
            </w:tcBorders>
            <w:vAlign w:val="center"/>
          </w:tcPr>
          <w:p w14:paraId="2905C421">
            <w:pPr>
              <w:tabs>
                <w:tab w:val="clear" w:pos="426"/>
              </w:tabs>
              <w:adjustRightInd/>
              <w:snapToGrid/>
              <w:spacing w:line="320" w:lineRule="exact"/>
              <w:rPr>
                <w:highlight w:val="none"/>
              </w:rPr>
            </w:pPr>
            <w:r>
              <w:rPr>
                <w:rFonts w:hint="eastAsia"/>
                <w:highlight w:val="none"/>
              </w:rPr>
              <w:t>投标供应商提出疑问截止时间</w:t>
            </w:r>
          </w:p>
        </w:tc>
        <w:tc>
          <w:tcPr>
            <w:tcW w:w="6931" w:type="dxa"/>
            <w:tcBorders>
              <w:tl2br w:val="nil"/>
              <w:tr2bl w:val="nil"/>
            </w:tcBorders>
            <w:vAlign w:val="center"/>
          </w:tcPr>
          <w:p w14:paraId="65B275FA">
            <w:pPr>
              <w:tabs>
                <w:tab w:val="clear" w:pos="426"/>
              </w:tabs>
              <w:adjustRightInd/>
              <w:snapToGrid/>
              <w:spacing w:line="320" w:lineRule="exact"/>
              <w:rPr>
                <w:highlight w:val="none"/>
              </w:rPr>
            </w:pPr>
            <w:r>
              <w:rPr>
                <w:rFonts w:hint="eastAsia"/>
                <w:highlight w:val="none"/>
              </w:rPr>
              <w:t>在获取采购文件或者采购文件公告期限届满之日起</w:t>
            </w:r>
            <w:r>
              <w:rPr>
                <w:highlight w:val="none"/>
              </w:rPr>
              <w:t>7</w:t>
            </w:r>
            <w:r>
              <w:rPr>
                <w:rFonts w:hint="eastAsia"/>
                <w:highlight w:val="none"/>
              </w:rPr>
              <w:t>个工作日内对采购文件提出质疑。</w:t>
            </w:r>
          </w:p>
        </w:tc>
      </w:tr>
      <w:tr w14:paraId="7A714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397A1640">
            <w:pPr>
              <w:tabs>
                <w:tab w:val="clear" w:pos="426"/>
              </w:tabs>
              <w:adjustRightInd/>
              <w:snapToGrid/>
              <w:spacing w:line="320" w:lineRule="exact"/>
              <w:jc w:val="center"/>
              <w:rPr>
                <w:highlight w:val="none"/>
              </w:rPr>
            </w:pPr>
            <w:r>
              <w:rPr>
                <w:highlight w:val="none"/>
              </w:rPr>
              <w:t>4</w:t>
            </w:r>
          </w:p>
        </w:tc>
        <w:tc>
          <w:tcPr>
            <w:tcW w:w="1889" w:type="dxa"/>
            <w:tcBorders>
              <w:tl2br w:val="nil"/>
              <w:tr2bl w:val="nil"/>
            </w:tcBorders>
            <w:vAlign w:val="center"/>
          </w:tcPr>
          <w:p w14:paraId="0F919AB7">
            <w:pPr>
              <w:tabs>
                <w:tab w:val="clear" w:pos="426"/>
              </w:tabs>
              <w:adjustRightInd/>
              <w:snapToGrid/>
              <w:spacing w:line="320" w:lineRule="exact"/>
              <w:rPr>
                <w:highlight w:val="none"/>
              </w:rPr>
            </w:pPr>
            <w:r>
              <w:rPr>
                <w:rFonts w:hint="eastAsia"/>
                <w:highlight w:val="none"/>
              </w:rPr>
              <w:t>澄清或修补、答疑的期限</w:t>
            </w:r>
          </w:p>
        </w:tc>
        <w:tc>
          <w:tcPr>
            <w:tcW w:w="6931" w:type="dxa"/>
            <w:tcBorders>
              <w:tl2br w:val="nil"/>
              <w:tr2bl w:val="nil"/>
            </w:tcBorders>
            <w:vAlign w:val="center"/>
          </w:tcPr>
          <w:p w14:paraId="2231B717">
            <w:pPr>
              <w:tabs>
                <w:tab w:val="clear" w:pos="426"/>
              </w:tabs>
              <w:adjustRightInd/>
              <w:snapToGrid/>
              <w:spacing w:line="320" w:lineRule="exact"/>
              <w:rPr>
                <w:highlight w:val="none"/>
              </w:rPr>
            </w:pPr>
            <w:r>
              <w:rPr>
                <w:rFonts w:hint="eastAsia"/>
                <w:highlight w:val="none"/>
              </w:rPr>
              <w:t>截标之日（当日不计）</w:t>
            </w:r>
            <w:r>
              <w:rPr>
                <w:highlight w:val="none"/>
              </w:rPr>
              <w:t>15</w:t>
            </w:r>
            <w:r>
              <w:rPr>
                <w:rFonts w:hint="eastAsia"/>
                <w:highlight w:val="none"/>
              </w:rPr>
              <w:t>日前</w:t>
            </w:r>
            <w:r>
              <w:rPr>
                <w:highlight w:val="none"/>
                <w:u w:val="single"/>
              </w:rPr>
              <w:t>17</w:t>
            </w:r>
            <w:r>
              <w:rPr>
                <w:rFonts w:hint="eastAsia"/>
                <w:highlight w:val="none"/>
                <w:u w:val="single"/>
              </w:rPr>
              <w:t>：</w:t>
            </w:r>
            <w:r>
              <w:rPr>
                <w:highlight w:val="none"/>
                <w:u w:val="single"/>
              </w:rPr>
              <w:t>30</w:t>
            </w:r>
            <w:r>
              <w:rPr>
                <w:rFonts w:hint="eastAsia"/>
                <w:highlight w:val="none"/>
              </w:rPr>
              <w:t>点前</w:t>
            </w:r>
          </w:p>
        </w:tc>
      </w:tr>
      <w:tr w14:paraId="6A77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0976EF3">
            <w:pPr>
              <w:tabs>
                <w:tab w:val="clear" w:pos="426"/>
              </w:tabs>
              <w:adjustRightInd/>
              <w:snapToGrid/>
              <w:spacing w:line="320" w:lineRule="exact"/>
              <w:jc w:val="center"/>
              <w:rPr>
                <w:highlight w:val="none"/>
              </w:rPr>
            </w:pPr>
            <w:r>
              <w:rPr>
                <w:highlight w:val="none"/>
              </w:rPr>
              <w:t>5</w:t>
            </w:r>
          </w:p>
        </w:tc>
        <w:tc>
          <w:tcPr>
            <w:tcW w:w="1889" w:type="dxa"/>
            <w:tcBorders>
              <w:tl2br w:val="nil"/>
              <w:tr2bl w:val="nil"/>
            </w:tcBorders>
            <w:vAlign w:val="center"/>
          </w:tcPr>
          <w:p w14:paraId="68D46844">
            <w:pPr>
              <w:tabs>
                <w:tab w:val="clear" w:pos="426"/>
              </w:tabs>
              <w:adjustRightInd/>
              <w:snapToGrid/>
              <w:spacing w:line="320" w:lineRule="exact"/>
              <w:rPr>
                <w:highlight w:val="none"/>
              </w:rPr>
            </w:pPr>
            <w:r>
              <w:rPr>
                <w:rFonts w:hint="eastAsia"/>
                <w:highlight w:val="none"/>
              </w:rPr>
              <w:t>招标代理服务费</w:t>
            </w:r>
          </w:p>
        </w:tc>
        <w:tc>
          <w:tcPr>
            <w:tcW w:w="6931" w:type="dxa"/>
            <w:tcBorders>
              <w:tl2br w:val="nil"/>
              <w:tr2bl w:val="nil"/>
            </w:tcBorders>
            <w:vAlign w:val="center"/>
          </w:tcPr>
          <w:p w14:paraId="503EDE72">
            <w:pPr>
              <w:tabs>
                <w:tab w:val="clear" w:pos="426"/>
              </w:tabs>
              <w:adjustRightInd/>
              <w:snapToGrid/>
              <w:spacing w:line="320" w:lineRule="exact"/>
              <w:rPr>
                <w:rFonts w:hint="eastAsia"/>
                <w:highlight w:val="none"/>
              </w:rPr>
            </w:pPr>
            <w:r>
              <w:rPr>
                <w:rFonts w:hint="eastAsia"/>
                <w:highlight w:val="none"/>
              </w:rPr>
              <w:t>1.采购项目招标代理服务费由中标方在领取《中标通知书》的同时向招标代理机构缴纳。</w:t>
            </w:r>
          </w:p>
          <w:p w14:paraId="4B33C689">
            <w:pPr>
              <w:tabs>
                <w:tab w:val="clear" w:pos="426"/>
              </w:tabs>
              <w:adjustRightInd/>
              <w:snapToGrid/>
              <w:spacing w:line="320" w:lineRule="exact"/>
              <w:rPr>
                <w:kern w:val="2"/>
                <w:highlight w:val="none"/>
              </w:rPr>
            </w:pPr>
            <w:r>
              <w:rPr>
                <w:rFonts w:hint="eastAsia"/>
                <w:highlight w:val="none"/>
              </w:rPr>
              <w:t>2.招标代理服务费依据计价格[2002]1980号</w:t>
            </w:r>
            <w:r>
              <w:rPr>
                <w:rFonts w:hint="eastAsia"/>
                <w:highlight w:val="none"/>
                <w:lang w:eastAsia="zh-CN"/>
              </w:rPr>
              <w:t>、发改价格[2011]534号</w:t>
            </w:r>
            <w:r>
              <w:rPr>
                <w:rFonts w:hint="eastAsia"/>
                <w:highlight w:val="none"/>
              </w:rPr>
              <w:t>及相关规定*0.9收费。</w:t>
            </w:r>
          </w:p>
        </w:tc>
      </w:tr>
      <w:tr w14:paraId="5B87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8267BEF">
            <w:pPr>
              <w:tabs>
                <w:tab w:val="clear" w:pos="426"/>
              </w:tabs>
              <w:adjustRightInd/>
              <w:snapToGrid/>
              <w:spacing w:line="320" w:lineRule="exact"/>
              <w:jc w:val="center"/>
              <w:rPr>
                <w:highlight w:val="none"/>
              </w:rPr>
            </w:pPr>
            <w:r>
              <w:rPr>
                <w:highlight w:val="none"/>
              </w:rPr>
              <w:t>6</w:t>
            </w:r>
          </w:p>
        </w:tc>
        <w:tc>
          <w:tcPr>
            <w:tcW w:w="1889" w:type="dxa"/>
            <w:tcBorders>
              <w:tl2br w:val="nil"/>
              <w:tr2bl w:val="nil"/>
            </w:tcBorders>
            <w:vAlign w:val="center"/>
          </w:tcPr>
          <w:p w14:paraId="6C2945EC">
            <w:pPr>
              <w:tabs>
                <w:tab w:val="clear" w:pos="426"/>
              </w:tabs>
              <w:adjustRightInd/>
              <w:snapToGrid/>
              <w:spacing w:line="320" w:lineRule="exact"/>
              <w:rPr>
                <w:highlight w:val="none"/>
              </w:rPr>
            </w:pPr>
            <w:r>
              <w:rPr>
                <w:rFonts w:hint="eastAsia"/>
                <w:highlight w:val="none"/>
              </w:rPr>
              <w:t>投标担保</w:t>
            </w:r>
          </w:p>
        </w:tc>
        <w:tc>
          <w:tcPr>
            <w:tcW w:w="6931" w:type="dxa"/>
            <w:tcBorders>
              <w:tl2br w:val="nil"/>
              <w:tr2bl w:val="nil"/>
            </w:tcBorders>
            <w:vAlign w:val="center"/>
          </w:tcPr>
          <w:p w14:paraId="342FF9E8">
            <w:pPr>
              <w:tabs>
                <w:tab w:val="clear" w:pos="426"/>
              </w:tabs>
              <w:adjustRightInd/>
              <w:snapToGrid/>
              <w:spacing w:line="320" w:lineRule="exact"/>
              <w:rPr>
                <w:highlight w:val="none"/>
              </w:rPr>
            </w:pPr>
            <w:r>
              <w:rPr>
                <w:rFonts w:hint="eastAsia"/>
                <w:highlight w:val="none"/>
              </w:rPr>
              <w:t xml:space="preserve">■不提交 </w:t>
            </w:r>
            <w:r>
              <w:rPr>
                <w:highlight w:val="none"/>
              </w:rPr>
              <w:t xml:space="preserve">      </w:t>
            </w:r>
            <w:r>
              <w:rPr>
                <w:rFonts w:hint="eastAsia"/>
                <w:highlight w:val="none"/>
              </w:rPr>
              <w:t>□提交</w:t>
            </w:r>
          </w:p>
        </w:tc>
      </w:tr>
      <w:tr w14:paraId="0AC8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ECAFC07">
            <w:pPr>
              <w:tabs>
                <w:tab w:val="clear" w:pos="426"/>
              </w:tabs>
              <w:adjustRightInd/>
              <w:snapToGrid/>
              <w:spacing w:line="320" w:lineRule="exact"/>
              <w:jc w:val="center"/>
              <w:rPr>
                <w:highlight w:val="none"/>
              </w:rPr>
            </w:pPr>
            <w:r>
              <w:rPr>
                <w:highlight w:val="none"/>
              </w:rPr>
              <w:t>7</w:t>
            </w:r>
          </w:p>
        </w:tc>
        <w:tc>
          <w:tcPr>
            <w:tcW w:w="1889" w:type="dxa"/>
            <w:tcBorders>
              <w:tl2br w:val="nil"/>
              <w:tr2bl w:val="nil"/>
            </w:tcBorders>
            <w:vAlign w:val="center"/>
          </w:tcPr>
          <w:p w14:paraId="2DCC2AEF">
            <w:pPr>
              <w:tabs>
                <w:tab w:val="clear" w:pos="426"/>
              </w:tabs>
              <w:adjustRightInd/>
              <w:snapToGrid/>
              <w:spacing w:line="320" w:lineRule="exact"/>
              <w:rPr>
                <w:highlight w:val="none"/>
              </w:rPr>
            </w:pPr>
            <w:r>
              <w:rPr>
                <w:rFonts w:hint="eastAsia"/>
                <w:highlight w:val="none"/>
              </w:rPr>
              <w:t>投标有效期</w:t>
            </w:r>
          </w:p>
        </w:tc>
        <w:tc>
          <w:tcPr>
            <w:tcW w:w="6931" w:type="dxa"/>
            <w:tcBorders>
              <w:tl2br w:val="nil"/>
              <w:tr2bl w:val="nil"/>
            </w:tcBorders>
            <w:vAlign w:val="center"/>
          </w:tcPr>
          <w:p w14:paraId="33A1540C">
            <w:pPr>
              <w:tabs>
                <w:tab w:val="clear" w:pos="426"/>
              </w:tabs>
              <w:adjustRightInd/>
              <w:snapToGrid/>
              <w:spacing w:line="320" w:lineRule="exact"/>
              <w:rPr>
                <w:highlight w:val="none"/>
              </w:rPr>
            </w:pPr>
            <w:r>
              <w:rPr>
                <w:highlight w:val="none"/>
              </w:rPr>
              <w:t>120</w:t>
            </w:r>
            <w:r>
              <w:rPr>
                <w:rFonts w:hint="eastAsia"/>
                <w:highlight w:val="none"/>
              </w:rPr>
              <w:t>日历天（从投标截止之日算起）</w:t>
            </w:r>
          </w:p>
        </w:tc>
      </w:tr>
      <w:tr w14:paraId="4BFB9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FAE25D5">
            <w:pPr>
              <w:tabs>
                <w:tab w:val="clear" w:pos="426"/>
              </w:tabs>
              <w:adjustRightInd/>
              <w:snapToGrid/>
              <w:spacing w:line="320" w:lineRule="exact"/>
              <w:jc w:val="center"/>
              <w:rPr>
                <w:highlight w:val="none"/>
              </w:rPr>
            </w:pPr>
            <w:r>
              <w:rPr>
                <w:highlight w:val="none"/>
              </w:rPr>
              <w:t>8</w:t>
            </w:r>
          </w:p>
        </w:tc>
        <w:tc>
          <w:tcPr>
            <w:tcW w:w="1889" w:type="dxa"/>
            <w:tcBorders>
              <w:tl2br w:val="nil"/>
              <w:tr2bl w:val="nil"/>
            </w:tcBorders>
            <w:vAlign w:val="center"/>
          </w:tcPr>
          <w:p w14:paraId="45AE87C4">
            <w:pPr>
              <w:tabs>
                <w:tab w:val="clear" w:pos="426"/>
              </w:tabs>
              <w:adjustRightInd/>
              <w:snapToGrid/>
              <w:spacing w:line="320" w:lineRule="exact"/>
              <w:rPr>
                <w:highlight w:val="none"/>
              </w:rPr>
            </w:pPr>
            <w:r>
              <w:rPr>
                <w:rFonts w:hint="eastAsia"/>
                <w:highlight w:val="none"/>
              </w:rPr>
              <w:t>替代方案</w:t>
            </w:r>
          </w:p>
        </w:tc>
        <w:tc>
          <w:tcPr>
            <w:tcW w:w="6931" w:type="dxa"/>
            <w:tcBorders>
              <w:tl2br w:val="nil"/>
              <w:tr2bl w:val="nil"/>
            </w:tcBorders>
            <w:vAlign w:val="center"/>
          </w:tcPr>
          <w:p w14:paraId="1CE2AAAB">
            <w:pPr>
              <w:tabs>
                <w:tab w:val="clear" w:pos="426"/>
              </w:tabs>
              <w:adjustRightInd/>
              <w:snapToGrid/>
              <w:spacing w:line="320" w:lineRule="exact"/>
              <w:rPr>
                <w:highlight w:val="none"/>
              </w:rPr>
            </w:pPr>
            <w:r>
              <w:rPr>
                <w:rFonts w:hint="eastAsia"/>
                <w:highlight w:val="none"/>
              </w:rPr>
              <w:t xml:space="preserve">■不允许 </w:t>
            </w:r>
            <w:r>
              <w:rPr>
                <w:highlight w:val="none"/>
              </w:rPr>
              <w:t xml:space="preserve">      </w:t>
            </w:r>
            <w:r>
              <w:rPr>
                <w:rFonts w:hint="eastAsia"/>
                <w:highlight w:val="none"/>
              </w:rPr>
              <w:t>□允许</w:t>
            </w:r>
          </w:p>
        </w:tc>
      </w:tr>
      <w:tr w14:paraId="4073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3FB5345">
            <w:pPr>
              <w:tabs>
                <w:tab w:val="clear" w:pos="426"/>
              </w:tabs>
              <w:adjustRightInd/>
              <w:snapToGrid/>
              <w:spacing w:line="320" w:lineRule="exact"/>
              <w:jc w:val="center"/>
              <w:rPr>
                <w:highlight w:val="none"/>
              </w:rPr>
            </w:pPr>
            <w:r>
              <w:rPr>
                <w:highlight w:val="none"/>
              </w:rPr>
              <w:t>9</w:t>
            </w:r>
          </w:p>
        </w:tc>
        <w:tc>
          <w:tcPr>
            <w:tcW w:w="1889" w:type="dxa"/>
            <w:tcBorders>
              <w:tl2br w:val="nil"/>
              <w:tr2bl w:val="nil"/>
            </w:tcBorders>
            <w:vAlign w:val="center"/>
          </w:tcPr>
          <w:p w14:paraId="4CB7D247">
            <w:pPr>
              <w:tabs>
                <w:tab w:val="clear" w:pos="426"/>
              </w:tabs>
              <w:adjustRightInd/>
              <w:snapToGrid/>
              <w:spacing w:line="320" w:lineRule="exact"/>
              <w:rPr>
                <w:highlight w:val="none"/>
              </w:rPr>
            </w:pPr>
            <w:r>
              <w:rPr>
                <w:rFonts w:hint="eastAsia"/>
                <w:highlight w:val="none"/>
              </w:rPr>
              <w:t>评定分离</w:t>
            </w:r>
          </w:p>
        </w:tc>
        <w:tc>
          <w:tcPr>
            <w:tcW w:w="6931" w:type="dxa"/>
            <w:tcBorders>
              <w:tl2br w:val="nil"/>
              <w:tr2bl w:val="nil"/>
            </w:tcBorders>
            <w:vAlign w:val="center"/>
          </w:tcPr>
          <w:p w14:paraId="60A4759F">
            <w:pPr>
              <w:tabs>
                <w:tab w:val="clear" w:pos="426"/>
              </w:tabs>
              <w:adjustRightInd/>
              <w:snapToGrid/>
              <w:spacing w:line="320" w:lineRule="exact"/>
              <w:rPr>
                <w:highlight w:val="none"/>
              </w:rPr>
            </w:pPr>
            <w:r>
              <w:rPr>
                <w:rFonts w:hint="eastAsia"/>
                <w:highlight w:val="none"/>
              </w:rPr>
              <w:t xml:space="preserve">□是 </w:t>
            </w:r>
            <w:r>
              <w:rPr>
                <w:highlight w:val="none"/>
              </w:rPr>
              <w:t xml:space="preserve">          </w:t>
            </w:r>
            <w:r>
              <w:rPr>
                <w:rFonts w:hint="eastAsia"/>
                <w:highlight w:val="none"/>
              </w:rPr>
              <w:t>■否</w:t>
            </w:r>
          </w:p>
        </w:tc>
      </w:tr>
      <w:tr w14:paraId="32E0D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793D2FCC">
            <w:pPr>
              <w:tabs>
                <w:tab w:val="clear" w:pos="426"/>
              </w:tabs>
              <w:adjustRightInd/>
              <w:snapToGrid/>
              <w:spacing w:line="320" w:lineRule="exact"/>
              <w:jc w:val="center"/>
              <w:rPr>
                <w:highlight w:val="none"/>
              </w:rPr>
            </w:pPr>
            <w:r>
              <w:rPr>
                <w:highlight w:val="none"/>
              </w:rPr>
              <w:t>10</w:t>
            </w:r>
          </w:p>
        </w:tc>
        <w:tc>
          <w:tcPr>
            <w:tcW w:w="1889" w:type="dxa"/>
            <w:tcBorders>
              <w:tl2br w:val="nil"/>
              <w:tr2bl w:val="nil"/>
            </w:tcBorders>
            <w:vAlign w:val="center"/>
          </w:tcPr>
          <w:p w14:paraId="48D48646">
            <w:pPr>
              <w:tabs>
                <w:tab w:val="clear" w:pos="426"/>
              </w:tabs>
              <w:adjustRightInd/>
              <w:snapToGrid/>
              <w:spacing w:line="320" w:lineRule="exact"/>
              <w:rPr>
                <w:highlight w:val="none"/>
              </w:rPr>
            </w:pPr>
            <w:r>
              <w:rPr>
                <w:rFonts w:hint="eastAsia"/>
                <w:highlight w:val="none"/>
              </w:rPr>
              <w:t>评标方法</w:t>
            </w:r>
          </w:p>
        </w:tc>
        <w:tc>
          <w:tcPr>
            <w:tcW w:w="6931" w:type="dxa"/>
            <w:tcBorders>
              <w:tl2br w:val="nil"/>
              <w:tr2bl w:val="nil"/>
            </w:tcBorders>
            <w:vAlign w:val="center"/>
          </w:tcPr>
          <w:p w14:paraId="3D5FEDF4">
            <w:pPr>
              <w:tabs>
                <w:tab w:val="clear" w:pos="426"/>
              </w:tabs>
              <w:adjustRightInd/>
              <w:snapToGrid/>
              <w:spacing w:line="320" w:lineRule="exact"/>
              <w:rPr>
                <w:szCs w:val="21"/>
                <w:highlight w:val="none"/>
              </w:rPr>
            </w:pPr>
            <w:r>
              <w:rPr>
                <w:rFonts w:hint="eastAsia"/>
                <w:highlight w:val="none"/>
              </w:rPr>
              <w:t>■</w:t>
            </w:r>
            <w:r>
              <w:rPr>
                <w:rFonts w:hint="eastAsia"/>
                <w:szCs w:val="21"/>
                <w:highlight w:val="none"/>
              </w:rPr>
              <w:t xml:space="preserve">综合评分法 </w:t>
            </w:r>
            <w:r>
              <w:rPr>
                <w:szCs w:val="21"/>
                <w:highlight w:val="none"/>
              </w:rPr>
              <w:t xml:space="preserve">   </w:t>
            </w:r>
            <w:r>
              <w:rPr>
                <w:rFonts w:hint="eastAsia"/>
                <w:highlight w:val="none"/>
              </w:rPr>
              <w:t>□</w:t>
            </w:r>
            <w:r>
              <w:rPr>
                <w:rFonts w:hint="eastAsia"/>
                <w:szCs w:val="21"/>
                <w:highlight w:val="none"/>
              </w:rPr>
              <w:t xml:space="preserve">定性评审法 </w:t>
            </w:r>
            <w:r>
              <w:rPr>
                <w:szCs w:val="21"/>
                <w:highlight w:val="none"/>
              </w:rPr>
              <w:t xml:space="preserve">    </w:t>
            </w:r>
            <w:r>
              <w:rPr>
                <w:rFonts w:hint="eastAsia"/>
                <w:highlight w:val="none"/>
              </w:rPr>
              <w:t>□</w:t>
            </w:r>
            <w:r>
              <w:rPr>
                <w:rFonts w:hint="eastAsia"/>
                <w:szCs w:val="21"/>
                <w:highlight w:val="none"/>
              </w:rPr>
              <w:t>最低价法</w:t>
            </w:r>
          </w:p>
        </w:tc>
      </w:tr>
      <w:tr w14:paraId="36AD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539C5DC2">
            <w:pPr>
              <w:tabs>
                <w:tab w:val="clear" w:pos="426"/>
              </w:tabs>
              <w:adjustRightInd/>
              <w:snapToGrid/>
              <w:spacing w:line="320" w:lineRule="exact"/>
              <w:jc w:val="center"/>
              <w:rPr>
                <w:highlight w:val="none"/>
              </w:rPr>
            </w:pPr>
            <w:r>
              <w:rPr>
                <w:highlight w:val="none"/>
              </w:rPr>
              <w:t>11</w:t>
            </w:r>
          </w:p>
        </w:tc>
        <w:tc>
          <w:tcPr>
            <w:tcW w:w="1889" w:type="dxa"/>
            <w:tcBorders>
              <w:tl2br w:val="nil"/>
              <w:tr2bl w:val="nil"/>
            </w:tcBorders>
            <w:vAlign w:val="center"/>
          </w:tcPr>
          <w:p w14:paraId="7A4B6E6A">
            <w:pPr>
              <w:tabs>
                <w:tab w:val="clear" w:pos="426"/>
              </w:tabs>
              <w:adjustRightInd/>
              <w:snapToGrid/>
              <w:spacing w:line="320" w:lineRule="exact"/>
              <w:rPr>
                <w:highlight w:val="none"/>
              </w:rPr>
            </w:pPr>
            <w:r>
              <w:rPr>
                <w:rFonts w:hint="eastAsia"/>
                <w:highlight w:val="none"/>
              </w:rPr>
              <w:t>定标方法</w:t>
            </w:r>
          </w:p>
        </w:tc>
        <w:tc>
          <w:tcPr>
            <w:tcW w:w="6931" w:type="dxa"/>
            <w:tcBorders>
              <w:tl2br w:val="nil"/>
              <w:tr2bl w:val="nil"/>
            </w:tcBorders>
            <w:vAlign w:val="center"/>
          </w:tcPr>
          <w:p w14:paraId="55240983">
            <w:pPr>
              <w:tabs>
                <w:tab w:val="clear" w:pos="426"/>
              </w:tabs>
              <w:adjustRightInd/>
              <w:snapToGrid/>
              <w:spacing w:line="320" w:lineRule="exact"/>
              <w:rPr>
                <w:szCs w:val="21"/>
                <w:highlight w:val="none"/>
              </w:rPr>
            </w:pPr>
            <w:r>
              <w:rPr>
                <w:rFonts w:hint="eastAsia"/>
                <w:highlight w:val="none"/>
              </w:rPr>
              <w:t>□</w:t>
            </w:r>
            <w:r>
              <w:rPr>
                <w:rFonts w:hint="eastAsia"/>
                <w:szCs w:val="21"/>
                <w:highlight w:val="none"/>
              </w:rPr>
              <w:t>自定法</w:t>
            </w:r>
          </w:p>
        </w:tc>
      </w:tr>
      <w:tr w14:paraId="2EB8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1F9481A">
            <w:pPr>
              <w:tabs>
                <w:tab w:val="clear" w:pos="426"/>
              </w:tabs>
              <w:adjustRightInd/>
              <w:snapToGrid/>
              <w:spacing w:line="320" w:lineRule="exact"/>
              <w:jc w:val="center"/>
              <w:rPr>
                <w:highlight w:val="none"/>
              </w:rPr>
            </w:pPr>
            <w:r>
              <w:rPr>
                <w:highlight w:val="none"/>
              </w:rPr>
              <w:t>12</w:t>
            </w:r>
          </w:p>
        </w:tc>
        <w:tc>
          <w:tcPr>
            <w:tcW w:w="1889" w:type="dxa"/>
            <w:tcBorders>
              <w:tl2br w:val="nil"/>
              <w:tr2bl w:val="nil"/>
            </w:tcBorders>
            <w:vAlign w:val="center"/>
          </w:tcPr>
          <w:p w14:paraId="3EC78555">
            <w:pPr>
              <w:tabs>
                <w:tab w:val="clear" w:pos="426"/>
              </w:tabs>
              <w:adjustRightInd/>
              <w:snapToGrid/>
              <w:spacing w:line="320" w:lineRule="exact"/>
              <w:rPr>
                <w:highlight w:val="none"/>
              </w:rPr>
            </w:pPr>
            <w:r>
              <w:rPr>
                <w:rFonts w:hint="eastAsia"/>
                <w:highlight w:val="none"/>
              </w:rPr>
              <w:t>履约保证金</w:t>
            </w:r>
          </w:p>
        </w:tc>
        <w:tc>
          <w:tcPr>
            <w:tcW w:w="6931" w:type="dxa"/>
            <w:tcBorders>
              <w:tl2br w:val="nil"/>
              <w:tr2bl w:val="nil"/>
            </w:tcBorders>
            <w:vAlign w:val="center"/>
          </w:tcPr>
          <w:p w14:paraId="53153A9C">
            <w:pPr>
              <w:tabs>
                <w:tab w:val="clear" w:pos="426"/>
              </w:tabs>
              <w:adjustRightInd/>
              <w:snapToGrid/>
              <w:spacing w:line="240" w:lineRule="auto"/>
              <w:rPr>
                <w:highlight w:val="none"/>
              </w:rPr>
            </w:pPr>
            <w:r>
              <w:rPr>
                <w:rFonts w:hint="eastAsia"/>
                <w:highlight w:val="none"/>
              </w:rPr>
              <w:t>■不提交</w:t>
            </w:r>
          </w:p>
        </w:tc>
      </w:tr>
      <w:tr w14:paraId="14EF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2D40797F">
            <w:pPr>
              <w:tabs>
                <w:tab w:val="clear" w:pos="426"/>
              </w:tabs>
              <w:adjustRightInd/>
              <w:snapToGrid/>
              <w:spacing w:line="320" w:lineRule="exact"/>
              <w:jc w:val="center"/>
              <w:rPr>
                <w:highlight w:val="none"/>
              </w:rPr>
            </w:pPr>
            <w:r>
              <w:rPr>
                <w:highlight w:val="none"/>
              </w:rPr>
              <w:t>13</w:t>
            </w:r>
          </w:p>
        </w:tc>
        <w:tc>
          <w:tcPr>
            <w:tcW w:w="1889" w:type="dxa"/>
            <w:tcBorders>
              <w:tl2br w:val="nil"/>
              <w:tr2bl w:val="nil"/>
            </w:tcBorders>
            <w:vAlign w:val="center"/>
          </w:tcPr>
          <w:p w14:paraId="427CDF61">
            <w:pPr>
              <w:tabs>
                <w:tab w:val="clear" w:pos="426"/>
              </w:tabs>
              <w:adjustRightInd/>
              <w:snapToGrid/>
              <w:spacing w:line="320" w:lineRule="exact"/>
              <w:rPr>
                <w:highlight w:val="none"/>
              </w:rPr>
            </w:pPr>
            <w:r>
              <w:rPr>
                <w:rFonts w:hint="eastAsia"/>
                <w:highlight w:val="none"/>
              </w:rPr>
              <w:t>投标文件份数</w:t>
            </w:r>
          </w:p>
        </w:tc>
        <w:tc>
          <w:tcPr>
            <w:tcW w:w="6931" w:type="dxa"/>
            <w:tcBorders>
              <w:tl2br w:val="nil"/>
              <w:tr2bl w:val="nil"/>
            </w:tcBorders>
            <w:vAlign w:val="center"/>
          </w:tcPr>
          <w:p w14:paraId="12D666B7">
            <w:pPr>
              <w:tabs>
                <w:tab w:val="clear" w:pos="426"/>
              </w:tabs>
              <w:adjustRightInd/>
              <w:snapToGrid/>
              <w:spacing w:line="320" w:lineRule="exact"/>
              <w:rPr>
                <w:highlight w:val="none"/>
              </w:rPr>
            </w:pPr>
            <w:r>
              <w:rPr>
                <w:rFonts w:hint="eastAsia"/>
                <w:highlight w:val="none"/>
              </w:rPr>
              <w:t>（</w:t>
            </w:r>
            <w:r>
              <w:rPr>
                <w:highlight w:val="none"/>
              </w:rPr>
              <w:t>1</w:t>
            </w:r>
            <w:r>
              <w:rPr>
                <w:rFonts w:hint="eastAsia"/>
                <w:highlight w:val="none"/>
              </w:rPr>
              <w:t>）开标信封一份；</w:t>
            </w:r>
          </w:p>
          <w:p w14:paraId="799EA7BB">
            <w:pPr>
              <w:tabs>
                <w:tab w:val="clear" w:pos="426"/>
              </w:tabs>
              <w:adjustRightInd/>
              <w:snapToGrid/>
              <w:spacing w:line="320" w:lineRule="exact"/>
              <w:rPr>
                <w:highlight w:val="none"/>
              </w:rPr>
            </w:pPr>
            <w:r>
              <w:rPr>
                <w:rFonts w:hint="eastAsia"/>
                <w:highlight w:val="none"/>
              </w:rPr>
              <w:t>（</w:t>
            </w:r>
            <w:r>
              <w:rPr>
                <w:highlight w:val="none"/>
              </w:rPr>
              <w:t>2</w:t>
            </w:r>
            <w:r>
              <w:rPr>
                <w:rFonts w:hint="eastAsia"/>
                <w:highlight w:val="none"/>
              </w:rPr>
              <w:t>）纸质投标文件</w:t>
            </w:r>
            <w:r>
              <w:rPr>
                <w:rFonts w:hint="eastAsia"/>
                <w:highlight w:val="none"/>
                <w:u w:val="single"/>
              </w:rPr>
              <w:t>一</w:t>
            </w:r>
            <w:r>
              <w:rPr>
                <w:rFonts w:hint="eastAsia"/>
                <w:highlight w:val="none"/>
              </w:rPr>
              <w:t>正本，</w:t>
            </w:r>
            <w:r>
              <w:rPr>
                <w:rFonts w:hint="eastAsia"/>
                <w:highlight w:val="none"/>
                <w:u w:val="single"/>
                <w:lang w:val="en-US" w:eastAsia="zh-CN"/>
              </w:rPr>
              <w:t>五</w:t>
            </w:r>
            <w:r>
              <w:rPr>
                <w:rFonts w:hint="eastAsia"/>
                <w:highlight w:val="none"/>
              </w:rPr>
              <w:t>副本，建议胶装，统一密封在一个外密封包里。</w:t>
            </w:r>
          </w:p>
        </w:tc>
      </w:tr>
      <w:tr w14:paraId="1D36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750" w:type="dxa"/>
            <w:tcBorders>
              <w:tl2br w:val="nil"/>
              <w:tr2bl w:val="nil"/>
            </w:tcBorders>
            <w:vAlign w:val="center"/>
          </w:tcPr>
          <w:p w14:paraId="62B47511">
            <w:pPr>
              <w:tabs>
                <w:tab w:val="clear" w:pos="426"/>
              </w:tabs>
              <w:adjustRightInd/>
              <w:snapToGrid/>
              <w:spacing w:line="320" w:lineRule="exact"/>
              <w:jc w:val="center"/>
              <w:rPr>
                <w:highlight w:val="none"/>
              </w:rPr>
            </w:pPr>
            <w:r>
              <w:rPr>
                <w:highlight w:val="none"/>
              </w:rPr>
              <w:t>14</w:t>
            </w:r>
          </w:p>
        </w:tc>
        <w:tc>
          <w:tcPr>
            <w:tcW w:w="1889" w:type="dxa"/>
            <w:tcBorders>
              <w:tl2br w:val="nil"/>
              <w:tr2bl w:val="nil"/>
            </w:tcBorders>
            <w:vAlign w:val="center"/>
          </w:tcPr>
          <w:p w14:paraId="39D3B3A8">
            <w:pPr>
              <w:tabs>
                <w:tab w:val="clear" w:pos="426"/>
              </w:tabs>
              <w:adjustRightInd/>
              <w:snapToGrid/>
              <w:spacing w:line="320" w:lineRule="exact"/>
              <w:rPr>
                <w:highlight w:val="none"/>
              </w:rPr>
            </w:pPr>
            <w:r>
              <w:rPr>
                <w:rFonts w:hint="eastAsia"/>
                <w:highlight w:val="none"/>
              </w:rPr>
              <w:t>投标文件电子版</w:t>
            </w:r>
          </w:p>
        </w:tc>
        <w:tc>
          <w:tcPr>
            <w:tcW w:w="6931" w:type="dxa"/>
            <w:tcBorders>
              <w:tl2br w:val="nil"/>
              <w:tr2bl w:val="nil"/>
            </w:tcBorders>
            <w:vAlign w:val="center"/>
          </w:tcPr>
          <w:p w14:paraId="2B983503">
            <w:pPr>
              <w:tabs>
                <w:tab w:val="clear" w:pos="426"/>
              </w:tabs>
              <w:adjustRightInd/>
              <w:snapToGrid/>
              <w:spacing w:line="320" w:lineRule="exact"/>
              <w:rPr>
                <w:highlight w:val="none"/>
              </w:rPr>
            </w:pPr>
            <w:r>
              <w:rPr>
                <w:rFonts w:hint="eastAsia"/>
                <w:highlight w:val="none"/>
              </w:rPr>
              <w:t>U盘一个（</w:t>
            </w:r>
            <w:r>
              <w:rPr>
                <w:highlight w:val="none"/>
              </w:rPr>
              <w:t>WORD</w:t>
            </w:r>
            <w:r>
              <w:rPr>
                <w:rFonts w:hint="eastAsia"/>
                <w:highlight w:val="none"/>
              </w:rPr>
              <w:t>及投标文件正本盖章后的彩色扫描件，</w:t>
            </w:r>
            <w:r>
              <w:rPr>
                <w:highlight w:val="none"/>
              </w:rPr>
              <w:t>PDF</w:t>
            </w:r>
            <w:r>
              <w:rPr>
                <w:rFonts w:hint="eastAsia"/>
                <w:highlight w:val="none"/>
              </w:rPr>
              <w:t>格式）</w:t>
            </w:r>
          </w:p>
        </w:tc>
      </w:tr>
      <w:tr w14:paraId="2F39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659A3625">
            <w:pPr>
              <w:tabs>
                <w:tab w:val="clear" w:pos="426"/>
              </w:tabs>
              <w:adjustRightInd/>
              <w:snapToGrid/>
              <w:spacing w:line="320" w:lineRule="exact"/>
              <w:jc w:val="center"/>
              <w:rPr>
                <w:highlight w:val="none"/>
              </w:rPr>
            </w:pPr>
            <w:r>
              <w:rPr>
                <w:highlight w:val="none"/>
              </w:rPr>
              <w:t>15</w:t>
            </w:r>
          </w:p>
        </w:tc>
        <w:tc>
          <w:tcPr>
            <w:tcW w:w="1889" w:type="dxa"/>
            <w:tcBorders>
              <w:tl2br w:val="nil"/>
              <w:tr2bl w:val="nil"/>
            </w:tcBorders>
            <w:vAlign w:val="center"/>
          </w:tcPr>
          <w:p w14:paraId="15CA898A">
            <w:pPr>
              <w:tabs>
                <w:tab w:val="clear" w:pos="426"/>
              </w:tabs>
              <w:adjustRightInd/>
              <w:snapToGrid/>
              <w:spacing w:line="320" w:lineRule="exact"/>
              <w:rPr>
                <w:highlight w:val="none"/>
              </w:rPr>
            </w:pPr>
            <w:r>
              <w:rPr>
                <w:rFonts w:hint="eastAsia"/>
                <w:highlight w:val="none"/>
              </w:rPr>
              <w:t>财政预算金额</w:t>
            </w:r>
          </w:p>
        </w:tc>
        <w:tc>
          <w:tcPr>
            <w:tcW w:w="6931" w:type="dxa"/>
            <w:tcBorders>
              <w:tl2br w:val="nil"/>
              <w:tr2bl w:val="nil"/>
            </w:tcBorders>
            <w:vAlign w:val="center"/>
          </w:tcPr>
          <w:p w14:paraId="78FF8E9D">
            <w:pPr>
              <w:tabs>
                <w:tab w:val="clear" w:pos="426"/>
              </w:tabs>
              <w:adjustRightInd/>
              <w:snapToGrid/>
              <w:spacing w:line="240" w:lineRule="auto"/>
              <w:rPr>
                <w:highlight w:val="none"/>
              </w:rPr>
            </w:pPr>
            <w:r>
              <w:rPr>
                <w:rFonts w:hint="eastAsia"/>
                <w:highlight w:val="none"/>
              </w:rPr>
              <w:t>¥</w:t>
            </w:r>
            <w:r>
              <w:rPr>
                <w:rFonts w:hint="eastAsia"/>
                <w:szCs w:val="21"/>
                <w:highlight w:val="none"/>
                <w:lang w:val="en-US" w:eastAsia="zh-CN"/>
              </w:rPr>
              <w:t>3,019,700.00</w:t>
            </w:r>
            <w:r>
              <w:rPr>
                <w:rFonts w:hint="eastAsia"/>
                <w:szCs w:val="21"/>
                <w:highlight w:val="none"/>
              </w:rPr>
              <w:t>（人民币</w:t>
            </w:r>
            <w:r>
              <w:rPr>
                <w:rFonts w:hint="eastAsia"/>
                <w:szCs w:val="21"/>
                <w:highlight w:val="none"/>
                <w:lang w:val="en-US" w:eastAsia="zh-CN"/>
              </w:rPr>
              <w:t>叁佰零壹万玖仟柒佰</w:t>
            </w:r>
            <w:r>
              <w:rPr>
                <w:rFonts w:hint="eastAsia"/>
                <w:szCs w:val="21"/>
                <w:highlight w:val="none"/>
              </w:rPr>
              <w:t>元整）。</w:t>
            </w:r>
          </w:p>
        </w:tc>
      </w:tr>
      <w:tr w14:paraId="63AF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50" w:type="dxa"/>
            <w:tcBorders>
              <w:tl2br w:val="nil"/>
              <w:tr2bl w:val="nil"/>
            </w:tcBorders>
            <w:vAlign w:val="center"/>
          </w:tcPr>
          <w:p w14:paraId="1A695883">
            <w:pPr>
              <w:tabs>
                <w:tab w:val="clear" w:pos="426"/>
              </w:tabs>
              <w:adjustRightInd/>
              <w:snapToGrid/>
              <w:spacing w:line="320" w:lineRule="exact"/>
              <w:jc w:val="center"/>
              <w:rPr>
                <w:highlight w:val="none"/>
              </w:rPr>
            </w:pPr>
            <w:r>
              <w:rPr>
                <w:rFonts w:hint="eastAsia"/>
                <w:highlight w:val="none"/>
              </w:rPr>
              <w:t>1</w:t>
            </w:r>
            <w:r>
              <w:rPr>
                <w:highlight w:val="none"/>
              </w:rPr>
              <w:t>6</w:t>
            </w:r>
          </w:p>
        </w:tc>
        <w:tc>
          <w:tcPr>
            <w:tcW w:w="1889" w:type="dxa"/>
            <w:tcBorders>
              <w:tl2br w:val="nil"/>
              <w:tr2bl w:val="nil"/>
            </w:tcBorders>
            <w:vAlign w:val="center"/>
          </w:tcPr>
          <w:p w14:paraId="327EB7B5">
            <w:pPr>
              <w:tabs>
                <w:tab w:val="clear" w:pos="426"/>
              </w:tabs>
              <w:adjustRightInd/>
              <w:snapToGrid/>
              <w:spacing w:line="320" w:lineRule="exact"/>
              <w:rPr>
                <w:highlight w:val="none"/>
              </w:rPr>
            </w:pPr>
            <w:r>
              <w:rPr>
                <w:rFonts w:hint="eastAsia"/>
                <w:highlight w:val="none"/>
              </w:rPr>
              <w:t>财政预算限额</w:t>
            </w:r>
          </w:p>
        </w:tc>
        <w:tc>
          <w:tcPr>
            <w:tcW w:w="6931" w:type="dxa"/>
            <w:tcBorders>
              <w:tl2br w:val="nil"/>
              <w:tr2bl w:val="nil"/>
            </w:tcBorders>
            <w:vAlign w:val="center"/>
          </w:tcPr>
          <w:p w14:paraId="70E041B8">
            <w:pPr>
              <w:tabs>
                <w:tab w:val="clear" w:pos="426"/>
              </w:tabs>
              <w:adjustRightInd/>
              <w:snapToGrid/>
              <w:spacing w:line="240" w:lineRule="auto"/>
              <w:rPr>
                <w:highlight w:val="none"/>
              </w:rPr>
            </w:pPr>
            <w:r>
              <w:rPr>
                <w:rFonts w:hint="eastAsia"/>
                <w:highlight w:val="none"/>
              </w:rPr>
              <w:t>¥</w:t>
            </w:r>
            <w:r>
              <w:rPr>
                <w:rFonts w:hint="eastAsia"/>
                <w:highlight w:val="none"/>
                <w:lang w:eastAsia="zh-CN"/>
              </w:rPr>
              <w:t>3,019,700.00</w:t>
            </w:r>
            <w:r>
              <w:rPr>
                <w:rFonts w:hint="eastAsia"/>
                <w:szCs w:val="21"/>
                <w:highlight w:val="none"/>
              </w:rPr>
              <w:t>（人民币</w:t>
            </w:r>
            <w:r>
              <w:rPr>
                <w:rFonts w:hint="eastAsia"/>
                <w:szCs w:val="21"/>
                <w:highlight w:val="none"/>
                <w:lang w:val="en-US" w:eastAsia="zh-CN"/>
              </w:rPr>
              <w:t>叁佰零壹万玖仟柒佰</w:t>
            </w:r>
            <w:r>
              <w:rPr>
                <w:rFonts w:hint="eastAsia"/>
                <w:szCs w:val="21"/>
                <w:highlight w:val="none"/>
              </w:rPr>
              <w:t>元整）；不符合报价要求的投标文件将做无效处理</w:t>
            </w:r>
            <w:r>
              <w:rPr>
                <w:rFonts w:hint="eastAsia"/>
                <w:highlight w:val="none"/>
              </w:rPr>
              <w:t>。</w:t>
            </w:r>
          </w:p>
        </w:tc>
      </w:tr>
    </w:tbl>
    <w:p w14:paraId="2318A6CA">
      <w:pPr>
        <w:pStyle w:val="62"/>
        <w:tabs>
          <w:tab w:val="left" w:pos="3445"/>
          <w:tab w:val="clear" w:pos="426"/>
        </w:tabs>
        <w:rPr>
          <w:highlight w:val="none"/>
        </w:rPr>
      </w:pPr>
      <w:r>
        <w:rPr>
          <w:highlight w:val="none"/>
        </w:rPr>
        <w:br w:type="page"/>
      </w:r>
      <w:bookmarkStart w:id="18" w:name="_Toc32304"/>
      <w:bookmarkStart w:id="19" w:name="_Toc398220525"/>
      <w:bookmarkStart w:id="20" w:name="_Toc432592816"/>
      <w:r>
        <w:rPr>
          <w:rFonts w:hint="eastAsia"/>
          <w:highlight w:val="none"/>
        </w:rPr>
        <w:t>第三章项目需求</w:t>
      </w:r>
      <w:bookmarkEnd w:id="18"/>
    </w:p>
    <w:p w14:paraId="52C7B072">
      <w:pPr>
        <w:pStyle w:val="5"/>
        <w:numPr>
          <w:ilvl w:val="0"/>
          <w:numId w:val="0"/>
        </w:numPr>
        <w:jc w:val="center"/>
        <w:rPr>
          <w:sz w:val="24"/>
          <w:highlight w:val="none"/>
        </w:rPr>
      </w:pPr>
      <w:bookmarkStart w:id="21" w:name="_Toc152759230"/>
      <w:bookmarkStart w:id="22" w:name="_Toc6615"/>
      <w:bookmarkStart w:id="23" w:name="_Toc145666462"/>
      <w:bookmarkStart w:id="24" w:name="_Toc120892142"/>
      <w:r>
        <w:rPr>
          <w:rFonts w:hint="eastAsia"/>
          <w:sz w:val="24"/>
          <w:highlight w:val="none"/>
        </w:rPr>
        <w:t>一、项目清单</w:t>
      </w:r>
      <w:bookmarkEnd w:id="21"/>
      <w:bookmarkEnd w:id="22"/>
      <w:bookmarkEnd w:id="23"/>
      <w:bookmarkEnd w:id="24"/>
      <w:bookmarkStart w:id="25" w:name="_Toc152759231"/>
      <w:bookmarkStart w:id="26" w:name="_Toc145666463"/>
      <w:bookmarkStart w:id="27" w:name="_Toc120892143"/>
      <w:bookmarkStart w:id="28" w:name="_Toc518464359"/>
      <w:bookmarkStart w:id="29" w:name="_Toc528170797"/>
      <w:bookmarkStart w:id="30" w:name="_Toc528675169"/>
    </w:p>
    <w:tbl>
      <w:tblPr>
        <w:tblStyle w:val="8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4791"/>
        <w:gridCol w:w="809"/>
        <w:gridCol w:w="819"/>
        <w:gridCol w:w="1886"/>
      </w:tblGrid>
      <w:tr w14:paraId="0F00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7" w:type="pct"/>
            <w:tcBorders>
              <w:top w:val="single" w:color="auto" w:sz="4" w:space="0"/>
              <w:left w:val="single" w:color="auto" w:sz="4" w:space="0"/>
              <w:bottom w:val="single" w:color="auto" w:sz="4" w:space="0"/>
              <w:right w:val="single" w:color="auto" w:sz="4" w:space="0"/>
            </w:tcBorders>
            <w:shd w:val="clear" w:color="auto" w:fill="auto"/>
            <w:vAlign w:val="center"/>
          </w:tcPr>
          <w:p w14:paraId="63A2B7CD">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序号</w:t>
            </w:r>
          </w:p>
        </w:tc>
        <w:tc>
          <w:tcPr>
            <w:tcW w:w="2637" w:type="pct"/>
            <w:tcBorders>
              <w:top w:val="single" w:color="auto" w:sz="4" w:space="0"/>
              <w:left w:val="single" w:color="auto" w:sz="4" w:space="0"/>
              <w:bottom w:val="single" w:color="auto" w:sz="4" w:space="0"/>
              <w:right w:val="single" w:color="auto" w:sz="4" w:space="0"/>
            </w:tcBorders>
            <w:shd w:val="clear" w:color="auto" w:fill="auto"/>
            <w:vAlign w:val="center"/>
          </w:tcPr>
          <w:p w14:paraId="7B9680ED">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服务名称</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68290167">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数量</w:t>
            </w:r>
          </w:p>
        </w:tc>
        <w:tc>
          <w:tcPr>
            <w:tcW w:w="451" w:type="pct"/>
            <w:tcBorders>
              <w:top w:val="single" w:color="auto" w:sz="4" w:space="0"/>
              <w:left w:val="single" w:color="auto" w:sz="4" w:space="0"/>
              <w:bottom w:val="single" w:color="auto" w:sz="4" w:space="0"/>
              <w:right w:val="single" w:color="auto" w:sz="4" w:space="0"/>
            </w:tcBorders>
            <w:shd w:val="clear" w:color="auto" w:fill="auto"/>
            <w:vAlign w:val="center"/>
          </w:tcPr>
          <w:p w14:paraId="3493099F">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单位</w:t>
            </w:r>
          </w:p>
        </w:tc>
        <w:tc>
          <w:tcPr>
            <w:tcW w:w="1038" w:type="pct"/>
            <w:tcBorders>
              <w:top w:val="single" w:color="auto" w:sz="4" w:space="0"/>
              <w:left w:val="single" w:color="auto" w:sz="4" w:space="0"/>
              <w:bottom w:val="single" w:color="auto" w:sz="4" w:space="0"/>
              <w:right w:val="single" w:color="auto" w:sz="4" w:space="0"/>
            </w:tcBorders>
            <w:shd w:val="clear" w:color="auto" w:fill="auto"/>
            <w:vAlign w:val="center"/>
          </w:tcPr>
          <w:p w14:paraId="213CE41C">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预算金额(元)</w:t>
            </w:r>
          </w:p>
        </w:tc>
      </w:tr>
      <w:tr w14:paraId="3548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427" w:type="pct"/>
            <w:tcBorders>
              <w:top w:val="single" w:color="auto" w:sz="4" w:space="0"/>
              <w:left w:val="single" w:color="auto" w:sz="4" w:space="0"/>
              <w:bottom w:val="single" w:color="auto" w:sz="4" w:space="0"/>
              <w:right w:val="single" w:color="auto" w:sz="4" w:space="0"/>
            </w:tcBorders>
            <w:vAlign w:val="center"/>
          </w:tcPr>
          <w:p w14:paraId="77BC7FBC">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1</w:t>
            </w:r>
          </w:p>
        </w:tc>
        <w:tc>
          <w:tcPr>
            <w:tcW w:w="2637" w:type="pct"/>
            <w:tcBorders>
              <w:top w:val="single" w:color="auto" w:sz="4" w:space="0"/>
              <w:left w:val="single" w:color="auto" w:sz="4" w:space="0"/>
              <w:bottom w:val="single" w:color="auto" w:sz="4" w:space="0"/>
              <w:right w:val="single" w:color="auto" w:sz="4" w:space="0"/>
            </w:tcBorders>
            <w:vAlign w:val="center"/>
          </w:tcPr>
          <w:p w14:paraId="6673A3D3">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lang w:eastAsia="zh-CN"/>
              </w:rPr>
            </w:pPr>
            <w:r>
              <w:rPr>
                <w:rFonts w:hint="eastAsia" w:hAnsi="宋体" w:cs="宋体"/>
                <w:bCs/>
                <w:sz w:val="22"/>
                <w:szCs w:val="22"/>
                <w:highlight w:val="none"/>
                <w:lang w:eastAsia="zh-CN"/>
              </w:rPr>
              <w:t>广东省深圳市消防救援支队大亚湾特勤大队2024年食材配送服务采购项目</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4410179B">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1</w:t>
            </w:r>
          </w:p>
        </w:tc>
        <w:tc>
          <w:tcPr>
            <w:tcW w:w="451" w:type="pct"/>
            <w:tcBorders>
              <w:top w:val="single" w:color="auto" w:sz="4" w:space="0"/>
              <w:left w:val="single" w:color="auto" w:sz="4" w:space="0"/>
              <w:bottom w:val="single" w:color="auto" w:sz="4" w:space="0"/>
              <w:right w:val="single" w:color="auto" w:sz="4" w:space="0"/>
            </w:tcBorders>
            <w:shd w:val="clear" w:color="auto" w:fill="auto"/>
            <w:vAlign w:val="center"/>
          </w:tcPr>
          <w:p w14:paraId="049A244B">
            <w:pPr>
              <w:keepNext w:val="0"/>
              <w:keepLines w:val="0"/>
              <w:pageBreakBefore w:val="0"/>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w:t>
            </w:r>
          </w:p>
        </w:tc>
        <w:tc>
          <w:tcPr>
            <w:tcW w:w="1038" w:type="pct"/>
            <w:tcBorders>
              <w:top w:val="single" w:color="auto" w:sz="4" w:space="0"/>
              <w:left w:val="single" w:color="auto" w:sz="4" w:space="0"/>
              <w:bottom w:val="single" w:color="auto" w:sz="4" w:space="0"/>
              <w:right w:val="single" w:color="auto" w:sz="4" w:space="0"/>
            </w:tcBorders>
            <w:vAlign w:val="center"/>
          </w:tcPr>
          <w:p w14:paraId="6BD00A8F">
            <w:pPr>
              <w:keepNext w:val="0"/>
              <w:keepLines w:val="0"/>
              <w:pageBreakBefore w:val="0"/>
              <w:widowControl w:val="0"/>
              <w:shd w:val="clear" w:color="auto" w:fill="auto"/>
              <w:kinsoku/>
              <w:wordWrap w:val="0"/>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highlight w:val="none"/>
                <w:lang w:eastAsia="zh-CN"/>
              </w:rPr>
            </w:pPr>
            <w:r>
              <w:rPr>
                <w:rFonts w:hint="eastAsia" w:hAnsi="宋体" w:cs="宋体"/>
                <w:sz w:val="22"/>
                <w:szCs w:val="22"/>
                <w:highlight w:val="none"/>
                <w:lang w:eastAsia="zh-CN"/>
              </w:rPr>
              <w:t>3,019,700.00</w:t>
            </w:r>
          </w:p>
        </w:tc>
      </w:tr>
      <w:bookmarkEnd w:id="25"/>
    </w:tbl>
    <w:p w14:paraId="10062393">
      <w:pPr>
        <w:pStyle w:val="5"/>
        <w:numPr>
          <w:ilvl w:val="0"/>
          <w:numId w:val="0"/>
        </w:numPr>
        <w:jc w:val="center"/>
        <w:rPr>
          <w:sz w:val="24"/>
          <w:highlight w:val="none"/>
        </w:rPr>
      </w:pPr>
      <w:bookmarkStart w:id="31" w:name="_Toc21279"/>
      <w:bookmarkStart w:id="32" w:name="_Toc152759232"/>
      <w:r>
        <w:rPr>
          <w:rFonts w:hint="eastAsia"/>
          <w:sz w:val="24"/>
          <w:highlight w:val="none"/>
        </w:rPr>
        <w:t>二、实质性响应条款</w:t>
      </w:r>
      <w:bookmarkEnd w:id="26"/>
      <w:bookmarkEnd w:id="27"/>
      <w:bookmarkEnd w:id="31"/>
      <w:bookmarkEnd w:id="32"/>
    </w:p>
    <w:bookmarkEnd w:id="28"/>
    <w:bookmarkEnd w:id="29"/>
    <w:bookmarkEnd w:id="30"/>
    <w:tbl>
      <w:tblPr>
        <w:tblStyle w:val="8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8303"/>
      </w:tblGrid>
      <w:tr w14:paraId="0BB17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0" w:type="pct"/>
            <w:noWrap w:val="0"/>
            <w:vAlign w:val="center"/>
          </w:tcPr>
          <w:p w14:paraId="165407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bookmarkStart w:id="33" w:name="_Toc530152519"/>
            <w:r>
              <w:rPr>
                <w:rFonts w:hint="eastAsia" w:ascii="宋体" w:hAnsi="宋体" w:eastAsia="宋体" w:cs="宋体"/>
                <w:b w:val="0"/>
                <w:bCs w:val="0"/>
                <w:sz w:val="22"/>
                <w:szCs w:val="22"/>
              </w:rPr>
              <w:t>序号</w:t>
            </w:r>
          </w:p>
        </w:tc>
        <w:tc>
          <w:tcPr>
            <w:tcW w:w="4569" w:type="pct"/>
            <w:noWrap w:val="0"/>
            <w:vAlign w:val="center"/>
          </w:tcPr>
          <w:p w14:paraId="263AAAF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r>
              <w:rPr>
                <w:rFonts w:hint="eastAsia" w:ascii="宋体" w:hAnsi="宋体" w:eastAsia="宋体" w:cs="宋体"/>
                <w:b w:val="0"/>
                <w:bCs w:val="0"/>
                <w:sz w:val="22"/>
                <w:szCs w:val="22"/>
              </w:rPr>
              <w:t>具体内容</w:t>
            </w:r>
          </w:p>
        </w:tc>
      </w:tr>
      <w:tr w14:paraId="280BE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254DDF5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rPr>
            </w:pPr>
            <w:r>
              <w:rPr>
                <w:rFonts w:hint="eastAsia" w:ascii="宋体" w:hAnsi="宋体" w:eastAsia="宋体" w:cs="宋体"/>
                <w:b w:val="0"/>
                <w:bCs w:val="0"/>
                <w:sz w:val="22"/>
                <w:szCs w:val="22"/>
              </w:rPr>
              <w:t>1</w:t>
            </w:r>
          </w:p>
        </w:tc>
        <w:tc>
          <w:tcPr>
            <w:tcW w:w="4569" w:type="pct"/>
            <w:noWrap w:val="0"/>
            <w:vAlign w:val="center"/>
          </w:tcPr>
          <w:p w14:paraId="394FBDE1">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val="0"/>
                <w:bCs w:val="0"/>
                <w:sz w:val="22"/>
                <w:szCs w:val="22"/>
                <w:lang w:eastAsia="zh-CN"/>
              </w:rPr>
            </w:pPr>
            <w:r>
              <w:rPr>
                <w:rFonts w:hint="eastAsia" w:ascii="宋体" w:hAnsi="宋体" w:eastAsia="宋体" w:cs="宋体"/>
                <w:b w:val="0"/>
                <w:bCs w:val="0"/>
                <w:sz w:val="22"/>
                <w:szCs w:val="22"/>
              </w:rPr>
              <w:t>本项目服务期限：</w:t>
            </w:r>
            <w:r>
              <w:rPr>
                <w:rFonts w:hint="eastAsia" w:hAnsi="宋体" w:cs="宋体"/>
                <w:b w:val="0"/>
                <w:bCs w:val="0"/>
                <w:sz w:val="22"/>
                <w:szCs w:val="22"/>
                <w:lang w:eastAsia="zh-CN"/>
              </w:rPr>
              <w:t>本次合同签订服务期限为一年</w:t>
            </w:r>
            <w:r>
              <w:rPr>
                <w:rFonts w:hint="eastAsia" w:ascii="宋体" w:hAnsi="宋体" w:eastAsia="宋体" w:cs="宋体"/>
                <w:b w:val="0"/>
                <w:bCs w:val="0"/>
                <w:sz w:val="22"/>
                <w:szCs w:val="22"/>
                <w:lang w:eastAsia="zh-CN"/>
              </w:rPr>
              <w:t>。</w:t>
            </w:r>
          </w:p>
        </w:tc>
      </w:tr>
      <w:tr w14:paraId="454B0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2BBDE7E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2</w:t>
            </w:r>
          </w:p>
        </w:tc>
        <w:tc>
          <w:tcPr>
            <w:tcW w:w="4569" w:type="pct"/>
            <w:noWrap w:val="0"/>
            <w:vAlign w:val="center"/>
          </w:tcPr>
          <w:p w14:paraId="049DA4DF">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val="0"/>
                <w:bCs w:val="0"/>
                <w:sz w:val="22"/>
                <w:szCs w:val="22"/>
                <w:lang w:eastAsia="zh-CN"/>
              </w:rPr>
            </w:pPr>
            <w:r>
              <w:rPr>
                <w:rFonts w:hint="eastAsia" w:ascii="宋体" w:hAnsi="宋体" w:eastAsia="宋体" w:cs="宋体"/>
                <w:color w:val="000000"/>
                <w:sz w:val="22"/>
                <w:szCs w:val="22"/>
              </w:rPr>
              <w:t>完全满足本项目的</w:t>
            </w:r>
            <w:r>
              <w:rPr>
                <w:rFonts w:hint="eastAsia" w:ascii="宋体" w:hAnsi="宋体" w:eastAsia="宋体" w:cs="宋体"/>
                <w:sz w:val="22"/>
                <w:szCs w:val="22"/>
              </w:rPr>
              <w:t>技术要求</w:t>
            </w:r>
            <w:r>
              <w:rPr>
                <w:rFonts w:hint="eastAsia" w:ascii="宋体" w:hAnsi="宋体" w:eastAsia="宋体" w:cs="宋体"/>
                <w:sz w:val="22"/>
                <w:szCs w:val="22"/>
                <w:lang w:val="en-US" w:eastAsia="zh-CN"/>
              </w:rPr>
              <w:t>和</w:t>
            </w:r>
            <w:r>
              <w:rPr>
                <w:rFonts w:hint="eastAsia" w:ascii="宋体" w:hAnsi="宋体" w:eastAsia="宋体" w:cs="宋体"/>
                <w:sz w:val="22"/>
                <w:szCs w:val="22"/>
              </w:rPr>
              <w:t>商务要求</w:t>
            </w:r>
            <w:r>
              <w:rPr>
                <w:rFonts w:hint="eastAsia" w:ascii="宋体" w:hAnsi="宋体" w:eastAsia="宋体" w:cs="宋体"/>
                <w:sz w:val="22"/>
                <w:szCs w:val="22"/>
                <w:lang w:eastAsia="zh-CN"/>
              </w:rPr>
              <w:t>。</w:t>
            </w:r>
          </w:p>
        </w:tc>
      </w:tr>
      <w:tr w14:paraId="41719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430" w:type="pct"/>
            <w:noWrap w:val="0"/>
            <w:vAlign w:val="center"/>
          </w:tcPr>
          <w:p w14:paraId="3A4694B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3</w:t>
            </w:r>
          </w:p>
        </w:tc>
        <w:tc>
          <w:tcPr>
            <w:tcW w:w="4569" w:type="pct"/>
            <w:noWrap w:val="0"/>
            <w:vAlign w:val="center"/>
          </w:tcPr>
          <w:p w14:paraId="6DCAF821">
            <w:pPr>
              <w:keepNext w:val="0"/>
              <w:keepLines w:val="0"/>
              <w:pageBreakBefore w:val="0"/>
              <w:widowControl/>
              <w:kinsoku/>
              <w:wordWrap/>
              <w:overflowPunct/>
              <w:topLinePunct w:val="0"/>
              <w:autoSpaceDE/>
              <w:autoSpaceDN/>
              <w:bidi w:val="0"/>
              <w:adjustRightInd/>
              <w:snapToGrid/>
              <w:spacing w:line="360" w:lineRule="exact"/>
              <w:textAlignment w:val="auto"/>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完全满足本项目★标记条款的要求。</w:t>
            </w:r>
          </w:p>
        </w:tc>
      </w:tr>
    </w:tbl>
    <w:p w14:paraId="5D9D3A5A">
      <w:pPr>
        <w:ind w:firstLine="440" w:firstLineChars="200"/>
        <w:rPr>
          <w:rFonts w:hint="eastAsia" w:ascii="宋体" w:hAnsi="宋体" w:eastAsia="宋体" w:cs="宋体"/>
          <w:b w:val="0"/>
          <w:sz w:val="22"/>
          <w:szCs w:val="22"/>
        </w:rPr>
      </w:pPr>
    </w:p>
    <w:p w14:paraId="40BDFC51">
      <w:pPr>
        <w:ind w:firstLine="440" w:firstLineChars="200"/>
        <w:rPr>
          <w:b/>
          <w:highlight w:val="none"/>
        </w:rPr>
      </w:pPr>
      <w:r>
        <w:rPr>
          <w:rFonts w:hint="eastAsia" w:ascii="宋体" w:hAnsi="宋体" w:eastAsia="宋体" w:cs="宋体"/>
          <w:b w:val="0"/>
          <w:sz w:val="22"/>
          <w:szCs w:val="22"/>
        </w:rPr>
        <w:t>注：上表所列内容为不可负偏离条款</w:t>
      </w:r>
      <w:r>
        <w:rPr>
          <w:rFonts w:hint="eastAsia" w:ascii="宋体" w:hAnsi="宋体" w:eastAsia="宋体" w:cs="宋体"/>
          <w:b w:val="0"/>
          <w:sz w:val="22"/>
          <w:szCs w:val="22"/>
          <w:lang w:eastAsia="zh-CN"/>
        </w:rPr>
        <w:t>。</w:t>
      </w:r>
    </w:p>
    <w:p w14:paraId="392545D2">
      <w:pPr>
        <w:pStyle w:val="5"/>
        <w:numPr>
          <w:ilvl w:val="0"/>
          <w:numId w:val="0"/>
        </w:numPr>
        <w:jc w:val="center"/>
        <w:rPr>
          <w:rFonts w:hint="eastAsia"/>
          <w:sz w:val="24"/>
          <w:highlight w:val="none"/>
        </w:rPr>
      </w:pPr>
      <w:bookmarkStart w:id="34" w:name="_Toc12666"/>
      <w:r>
        <w:rPr>
          <w:rFonts w:hint="eastAsia"/>
          <w:sz w:val="24"/>
          <w:highlight w:val="none"/>
        </w:rPr>
        <w:t>三、项目概况</w:t>
      </w:r>
      <w:bookmarkEnd w:id="34"/>
    </w:p>
    <w:p w14:paraId="20F9368A">
      <w:pPr>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为切实加强大队食堂的规范化管理，严防食源性公共卫生事故发生，进一步保障全体指战员伙食质量，我大队拟通过公开招标方式选取配送公司承担食材相关物资的配送服务。</w:t>
      </w:r>
    </w:p>
    <w:p w14:paraId="2768DA57">
      <w:pPr>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1.配送地点：大亚湾特勤一站食堂、大亚湾特勤二站食堂。</w:t>
      </w:r>
    </w:p>
    <w:p w14:paraId="4C09DB2C">
      <w:pPr>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2.配送标准：现人数总计146人；其中指战员编制96人，按74元/人/天的标准执行；机械队50人，按49元/人/天的标准执行。</w:t>
      </w:r>
    </w:p>
    <w:p w14:paraId="51B8A0F9">
      <w:pPr>
        <w:keepNext w:val="0"/>
        <w:keepLines w:val="0"/>
        <w:pageBreakBefore w:val="0"/>
        <w:widowControl/>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highlight w:val="none"/>
          <w:lang w:val="en-US" w:eastAsia="zh-CN"/>
        </w:rPr>
        <w:t>3.配送时间：中标人应派遣配送人员于每日早上六点前将采购物资配送至采购人指定配送地点。</w:t>
      </w:r>
    </w:p>
    <w:p w14:paraId="01C50C3F">
      <w:pPr>
        <w:pStyle w:val="5"/>
        <w:numPr>
          <w:ilvl w:val="0"/>
          <w:numId w:val="0"/>
        </w:numPr>
        <w:shd w:val="clear" w:color="auto" w:fill="auto"/>
        <w:jc w:val="center"/>
        <w:rPr>
          <w:rFonts w:hint="eastAsia" w:cs="Times New Roman"/>
          <w:sz w:val="24"/>
          <w:highlight w:val="none"/>
        </w:rPr>
      </w:pPr>
      <w:bookmarkStart w:id="35" w:name="_Toc11008"/>
      <w:bookmarkStart w:id="36" w:name="_Toc152759233"/>
      <w:bookmarkStart w:id="37" w:name="_Toc145666464"/>
      <w:bookmarkStart w:id="38" w:name="_Toc120892144"/>
      <w:r>
        <w:rPr>
          <w:rFonts w:hint="eastAsia" w:cs="Times New Roman"/>
          <w:sz w:val="24"/>
          <w:highlight w:val="none"/>
        </w:rPr>
        <w:t>四、技术</w:t>
      </w:r>
      <w:bookmarkEnd w:id="35"/>
      <w:bookmarkEnd w:id="36"/>
      <w:bookmarkEnd w:id="37"/>
      <w:bookmarkEnd w:id="38"/>
      <w:r>
        <w:rPr>
          <w:rFonts w:hint="eastAsia" w:cs="Times New Roman"/>
          <w:sz w:val="24"/>
          <w:highlight w:val="none"/>
        </w:rPr>
        <w:t>要求</w:t>
      </w:r>
    </w:p>
    <w:p w14:paraId="763824DD">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sz w:val="22"/>
          <w:szCs w:val="22"/>
          <w:highlight w:val="none"/>
          <w:lang w:val="en-US" w:eastAsia="zh-CN"/>
        </w:rPr>
        <w:t>（一）</w:t>
      </w:r>
      <w:r>
        <w:rPr>
          <w:rFonts w:hint="eastAsia" w:ascii="宋体" w:hAnsi="宋体" w:eastAsia="宋体" w:cs="宋体"/>
          <w:b/>
          <w:color w:val="auto"/>
          <w:sz w:val="22"/>
          <w:szCs w:val="22"/>
          <w:highlight w:val="none"/>
        </w:rPr>
        <w:t>服务工作内容</w:t>
      </w:r>
    </w:p>
    <w:p w14:paraId="790B9315">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①中标人从未出现配送食品安全事故，并出具相关承诺书，所配送食品应经过国家规定的职能部门检测并有检测报告，安全可靠。</w:t>
      </w:r>
    </w:p>
    <w:p w14:paraId="572E8E36">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②试供期：采购人选定中标人并签订合同后正式进入试供期。试供期为配送的第一个月，主要考察中标人的食品质量、服务、信誉等方面。试供期满且经采购人综合考察认为合格的，合同继续执行；若试供期间出现质量、服务等难以磨合等问题的，经双方协商同意后，可终止合同，采购人有权选择其它备选单位进行替补。</w:t>
      </w:r>
    </w:p>
    <w:p w14:paraId="4C737E54">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③质量要求：所供食品均符合《国家食品卫生标准》、《食品卫生法》和《动物检疫法》等相关规定，保证卫生安全，应当无毒、无害，具有相应的色、香、味等感官性状。蔬菜水果类应属于无公害绿色食品，且保持较好的色泽和新鲜度，不得有黄叶、腐烂、泥沙等现象；冷冻类及干货应在保质期范围内，并保持较好的外观和等级；鲜肉类全部来源于国家认可的正规肉厂，为当日新鲜商品，并经政府相关检测合格；海鲜、河鲜产品必须鲜活；粮油、副食、调料等由大型正规厂供货，相关证书齐全；禽蛋类须是无公害禽蛋，并提供相关证明；干杂类须是正规厂家并具有合格证书且无任何添加剂的优质产品。配送的蔬菜肉类需具有追踪溯源体系，并可追踪溯源。严禁配送假冒、变质过期的产品，不得弄虚作假或以次充好，对于不符合质量的品种采购人有权要求退货或换货。因供应的物资质量达不到国家有关食品安全标准而造成食物中毒或其它后果，经公安机关或卫生防疫部门鉴定属于中标人责任的，中标人承担一切的法律和经济责任。</w:t>
      </w:r>
    </w:p>
    <w:p w14:paraId="71B03C06">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④数量及验收要求：中标人应保证所供物资品种、数量和重量的准确性，采购人和中标人应分别建立采购和供应台账，确定专人（不少于两人）负责验收和配送，以采购人的验货数量为准。中标人每次随货送上壹式贰份的配送清单，供采购人验货后签字确认，双方各持一份，作为配送凭证和结算凭证。对于出现质量、数量不符合要求等现象，采购人有权要求中标人及时退换，并按合同约定作出相应处罚，中标人必须无条件退换，并保证员工正常用餐。</w:t>
      </w:r>
    </w:p>
    <w:p w14:paraId="34107F92">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⑤配送时间要求：采购人应根据实际需要提前一日向中标人以传真或电子文件等书面方式提交采购清单，明确采购品种、数量及其它配送事项，中标人应依照采购清单内容，派遣配送人员于每日早上六点前将采购物资配送至采购人指定配送地点。极个别产品因质量太差或没有货源时应及时反馈到采购人并协商调整。如若迟到，须承担相关违约责任，于双方签订具体合同时约定违约处罚条款。</w:t>
      </w:r>
    </w:p>
    <w:p w14:paraId="7489A12D">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⑥如配送的物资不符合要求，中标人应及时退换补足。第一次发生时，采购人可提出口头警告并要求中标人做出书面保证，二次扣当日货款百分之五，第三次扣当日货款百分之十。不符合要求超过三次的，采购人有权单方解除合同，由其它备选单位接替。</w:t>
      </w:r>
    </w:p>
    <w:p w14:paraId="7247590A">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⑦临时加货处理：对于采购人临时有客餐任务或临时增加员工用餐时，中标人需在接到采购人口头或书面通知一小时内将物资送到采购人的指定地点，派专人负责跟踪服务，保证用餐正常。</w:t>
      </w:r>
    </w:p>
    <w:p w14:paraId="046224AE">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⑧在供货过程中，采购人对所供物资有任何意见，可随时向中标人反映，中标人应及时改进，如若多次反映无果，采购人有权中断与中标人的合作，一方终止合同须提前五个工作日通知对方。</w:t>
      </w:r>
    </w:p>
    <w:p w14:paraId="4E0E7FD7">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⑨因配送运输中出现人身安全事故，由中标人独自承担一切刑事、民事责任，与采购人无关。</w:t>
      </w:r>
    </w:p>
    <w:p w14:paraId="32511298">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⑩中标人应提供各类物资清晰准确的原产地以及检测报告。</w:t>
      </w:r>
    </w:p>
    <w:p w14:paraId="34DC664F">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⑪中标人应该按照采购人的要求，建立完整的各类物资追踪溯源体系，应当建立专门台账，按深圳市《食品进货索证和台账登记本》模板，按格式如实记录配送给采购人的各类物资，留存相关检测合格证明、资质证明等有效资料，并可追踪溯源，采购人有权定期检查。</w:t>
      </w:r>
    </w:p>
    <w:p w14:paraId="4B608175">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⑫采购人须对中标人配送的物资进行每日抽检（样本数不超过10%），并查验其相关的合格证书、检测报告，若检测不合格或合格证书、检测报告不符合相关规定，采购人予以书面警告，并对该批物资予以没收销毁，防止二次流通至社会市场；书面警告后再出现同样情况，视情况严重性，采购人有权扣除中标人当日货款的百分之十或直接单方解除合同，并不用对中标人做任何赔偿。</w:t>
      </w:r>
    </w:p>
    <w:p w14:paraId="2B96E550">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⑬若采购物资需到现场初加工，采购人应提供初加工操作场地，但中标人应服从采购人的管理，严格遵守国家的有关法律法规。若有违反，首次发现采购人将予以书面警告；书面警告后再出现同类情况，采购人有权扣除供货商方当日货款的百分之十；屡禁不止、情节严重的，采购人有权没收履约保证金且可单方解除合同。</w:t>
      </w:r>
    </w:p>
    <w:p w14:paraId="107C3F58">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lang w:eastAsia="zh-CN"/>
        </w:rPr>
        <w:t>（</w:t>
      </w:r>
      <w:r>
        <w:rPr>
          <w:rFonts w:hint="eastAsia" w:ascii="宋体" w:hAnsi="宋体" w:eastAsia="宋体" w:cs="宋体"/>
          <w:b/>
          <w:color w:val="auto"/>
          <w:kern w:val="0"/>
          <w:sz w:val="22"/>
          <w:szCs w:val="22"/>
          <w:highlight w:val="none"/>
          <w:lang w:val="en-US" w:eastAsia="zh-CN"/>
        </w:rPr>
        <w:t>二</w:t>
      </w:r>
      <w:r>
        <w:rPr>
          <w:rFonts w:hint="eastAsia" w:ascii="宋体" w:hAnsi="宋体" w:eastAsia="宋体" w:cs="宋体"/>
          <w:b/>
          <w:color w:val="auto"/>
          <w:kern w:val="0"/>
          <w:sz w:val="22"/>
          <w:szCs w:val="22"/>
          <w:highlight w:val="none"/>
          <w:lang w:eastAsia="zh-CN"/>
        </w:rPr>
        <w:t>）</w:t>
      </w:r>
      <w:r>
        <w:rPr>
          <w:rFonts w:hint="eastAsia" w:ascii="宋体" w:hAnsi="宋体" w:eastAsia="宋体" w:cs="宋体"/>
          <w:b/>
          <w:color w:val="auto"/>
          <w:kern w:val="0"/>
          <w:sz w:val="22"/>
          <w:szCs w:val="22"/>
          <w:highlight w:val="none"/>
        </w:rPr>
        <w:t>工作时间要求</w:t>
      </w:r>
    </w:p>
    <w:p w14:paraId="28FEC991">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snapToGrid w:val="0"/>
          <w:color w:val="auto"/>
          <w:kern w:val="0"/>
          <w:sz w:val="22"/>
          <w:szCs w:val="22"/>
          <w:highlight w:val="none"/>
        </w:rPr>
      </w:pPr>
      <w:r>
        <w:rPr>
          <w:rFonts w:hint="eastAsia" w:ascii="宋体" w:hAnsi="宋体" w:eastAsia="宋体" w:cs="宋体"/>
          <w:i w:val="0"/>
          <w:iCs w:val="0"/>
          <w:color w:val="auto"/>
          <w:kern w:val="2"/>
          <w:sz w:val="22"/>
          <w:szCs w:val="22"/>
          <w:highlight w:val="none"/>
          <w:u w:val="none"/>
          <w:lang w:val="en-US" w:eastAsia="zh-CN" w:bidi="ar-SA"/>
        </w:rPr>
        <w:t>中标人应派遣配送人员于每日早上六点前将采购物资配送至采购人指定配送地点。应急加餐等特殊情况需另外送材料，需于下单后一小时内补送到场。</w:t>
      </w:r>
    </w:p>
    <w:p w14:paraId="5F81DFAB">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lang w:val="en-US" w:eastAsia="zh-CN"/>
        </w:rPr>
        <w:t>（三）</w:t>
      </w:r>
      <w:r>
        <w:rPr>
          <w:rFonts w:hint="eastAsia" w:ascii="宋体" w:hAnsi="宋体" w:eastAsia="宋体" w:cs="宋体"/>
          <w:b/>
          <w:color w:val="auto"/>
          <w:kern w:val="0"/>
          <w:sz w:val="22"/>
          <w:szCs w:val="22"/>
          <w:highlight w:val="none"/>
        </w:rPr>
        <w:t>质量标准</w:t>
      </w:r>
    </w:p>
    <w:p w14:paraId="403703A8">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符合《中华人民共和国食品安全法》、《餐饮业和集体用餐配送单位卫生规范》及所供产品相应国家标准等。</w:t>
      </w:r>
    </w:p>
    <w:p w14:paraId="49BC8CE6">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lang w:val="en-US" w:eastAsia="zh-CN"/>
        </w:rPr>
        <w:t>（四）</w:t>
      </w:r>
      <w:r>
        <w:rPr>
          <w:rFonts w:hint="eastAsia" w:ascii="宋体" w:hAnsi="宋体" w:eastAsia="宋体" w:cs="宋体"/>
          <w:b/>
          <w:color w:val="auto"/>
          <w:kern w:val="0"/>
          <w:sz w:val="22"/>
          <w:szCs w:val="22"/>
          <w:highlight w:val="none"/>
        </w:rPr>
        <w:t>人员要求</w:t>
      </w:r>
    </w:p>
    <w:p w14:paraId="33DAA68F">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①中标人所有员工凭健康证上岗，同时应成立食材配送项目专项服务小组，负责提供相关服务。</w:t>
      </w:r>
    </w:p>
    <w:p w14:paraId="6E9266D7">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②每次配送人员不少于三人，司机一人，共四人。</w:t>
      </w:r>
    </w:p>
    <w:p w14:paraId="7F8BD194">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2"/>
          <w:sz w:val="22"/>
          <w:szCs w:val="22"/>
          <w:highlight w:val="none"/>
          <w:u w:val="none"/>
          <w:lang w:val="en-US" w:eastAsia="zh-CN" w:bidi="ar-SA"/>
        </w:rPr>
        <w:t>③乙方必须为甲方就餐人员达100人（含）以上的配送服务点各专门派一名厨房协助人员，按照甲方要求提供洗菜、杀鱼等帮厨服务。如该厨房协助人员工作态度不认真或收到投诉的，乙方必须更换人员。</w:t>
      </w:r>
    </w:p>
    <w:p w14:paraId="195FA6D6">
      <w:pPr>
        <w:keepNext w:val="0"/>
        <w:keepLines w:val="0"/>
        <w:pageBreakBefore w:val="0"/>
        <w:numPr>
          <w:ilvl w:val="0"/>
          <w:numId w:val="0"/>
        </w:numPr>
        <w:kinsoku/>
        <w:wordWrap/>
        <w:overflowPunct/>
        <w:topLinePunct w:val="0"/>
        <w:autoSpaceDE/>
        <w:autoSpaceDN/>
        <w:bidi w:val="0"/>
        <w:spacing w:line="360" w:lineRule="exact"/>
        <w:ind w:firstLine="442" w:firstLineChars="200"/>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lang w:val="en-US" w:eastAsia="zh-CN"/>
        </w:rPr>
        <w:t>（五）</w:t>
      </w:r>
      <w:r>
        <w:rPr>
          <w:rFonts w:hint="eastAsia" w:ascii="宋体" w:hAnsi="宋体" w:eastAsia="宋体" w:cs="宋体"/>
          <w:b/>
          <w:color w:val="auto"/>
          <w:sz w:val="22"/>
          <w:szCs w:val="22"/>
          <w:highlight w:val="none"/>
        </w:rPr>
        <w:t>设备要求</w:t>
      </w:r>
    </w:p>
    <w:p w14:paraId="59F373DB">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40" w:firstLineChars="200"/>
        <w:textAlignment w:val="auto"/>
        <w:rPr>
          <w:rFonts w:hint="eastAsia" w:ascii="宋体" w:hAnsi="宋体" w:eastAsia="宋体" w:cs="宋体"/>
          <w:sz w:val="22"/>
          <w:szCs w:val="22"/>
          <w:highlight w:val="yellow"/>
          <w:lang w:val="en-US"/>
        </w:rPr>
      </w:pPr>
      <w:r>
        <w:rPr>
          <w:rFonts w:hint="eastAsia" w:ascii="宋体" w:hAnsi="宋体" w:eastAsia="宋体" w:cs="宋体"/>
          <w:i w:val="0"/>
          <w:iCs w:val="0"/>
          <w:color w:val="auto"/>
          <w:kern w:val="2"/>
          <w:sz w:val="22"/>
          <w:szCs w:val="22"/>
          <w:highlight w:val="none"/>
          <w:u w:val="none"/>
          <w:lang w:val="en-US" w:eastAsia="zh-CN" w:bidi="ar-SA"/>
        </w:rPr>
        <w:t>中标人应自有或租赁配送场地、冷库及配送车辆。</w:t>
      </w:r>
    </w:p>
    <w:p w14:paraId="7E76B60C"/>
    <w:p w14:paraId="2F4E4C56">
      <w:pPr>
        <w:pStyle w:val="5"/>
        <w:numPr>
          <w:ilvl w:val="0"/>
          <w:numId w:val="0"/>
        </w:numPr>
        <w:jc w:val="center"/>
        <w:rPr>
          <w:rFonts w:hint="eastAsia"/>
          <w:sz w:val="24"/>
          <w:highlight w:val="none"/>
        </w:rPr>
      </w:pPr>
      <w:bookmarkStart w:id="39" w:name="_Toc120892145"/>
      <w:bookmarkStart w:id="40" w:name="_Toc10011"/>
      <w:bookmarkStart w:id="41" w:name="_Toc152759234"/>
      <w:bookmarkStart w:id="42" w:name="_Toc145666465"/>
      <w:r>
        <w:rPr>
          <w:rFonts w:hint="eastAsia"/>
          <w:sz w:val="24"/>
          <w:highlight w:val="none"/>
        </w:rPr>
        <w:t>五、商务</w:t>
      </w:r>
      <w:bookmarkEnd w:id="39"/>
      <w:bookmarkEnd w:id="40"/>
      <w:bookmarkEnd w:id="41"/>
      <w:bookmarkEnd w:id="42"/>
      <w:r>
        <w:rPr>
          <w:rFonts w:hint="eastAsia"/>
          <w:sz w:val="24"/>
          <w:highlight w:val="none"/>
        </w:rPr>
        <w:t>要求</w:t>
      </w:r>
    </w:p>
    <w:p w14:paraId="7A485036">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color w:val="auto"/>
          <w:sz w:val="22"/>
          <w:szCs w:val="22"/>
          <w:highlight w:val="none"/>
          <w:lang w:eastAsia="zh-CN"/>
        </w:rPr>
      </w:pPr>
      <w:r>
        <w:rPr>
          <w:rFonts w:hint="eastAsia" w:ascii="宋体" w:hAnsi="宋体" w:eastAsia="宋体" w:cs="宋体"/>
          <w:b/>
          <w:color w:val="auto"/>
          <w:sz w:val="22"/>
          <w:szCs w:val="22"/>
          <w:highlight w:val="none"/>
          <w:lang w:val="en-US" w:eastAsia="zh-CN"/>
        </w:rPr>
        <w:t>（一）配送地点</w:t>
      </w:r>
    </w:p>
    <w:tbl>
      <w:tblPr>
        <w:tblStyle w:val="85"/>
        <w:tblW w:w="864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7293"/>
      </w:tblGrid>
      <w:tr w14:paraId="67BCA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56" w:type="dxa"/>
            <w:noWrap w:val="0"/>
            <w:vAlign w:val="center"/>
          </w:tcPr>
          <w:p w14:paraId="3E1C2757">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center"/>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包号</w:t>
            </w:r>
          </w:p>
        </w:tc>
        <w:tc>
          <w:tcPr>
            <w:tcW w:w="7293" w:type="dxa"/>
            <w:noWrap w:val="0"/>
            <w:vAlign w:val="center"/>
          </w:tcPr>
          <w:p w14:paraId="06152011">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center"/>
              <w:textAlignment w:val="auto"/>
              <w:rPr>
                <w:rFonts w:hint="eastAsia"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en-US" w:eastAsia="zh-CN"/>
              </w:rPr>
              <w:t>食材配送</w:t>
            </w:r>
            <w:r>
              <w:rPr>
                <w:rFonts w:hint="eastAsia" w:ascii="宋体" w:hAnsi="宋体" w:eastAsia="宋体" w:cs="宋体"/>
                <w:b/>
                <w:color w:val="auto"/>
                <w:sz w:val="22"/>
                <w:szCs w:val="22"/>
                <w:highlight w:val="none"/>
              </w:rPr>
              <w:t>服务</w:t>
            </w:r>
            <w:r>
              <w:rPr>
                <w:rFonts w:hint="eastAsia" w:ascii="宋体" w:hAnsi="宋体" w:eastAsia="宋体" w:cs="宋体"/>
                <w:b/>
                <w:color w:val="auto"/>
                <w:sz w:val="22"/>
                <w:szCs w:val="22"/>
                <w:highlight w:val="none"/>
                <w:lang w:val="en-US" w:eastAsia="zh-CN"/>
              </w:rPr>
              <w:t>配送地点</w:t>
            </w:r>
          </w:p>
        </w:tc>
      </w:tr>
      <w:tr w14:paraId="6B3E1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356" w:type="dxa"/>
            <w:vMerge w:val="restart"/>
            <w:noWrap w:val="0"/>
            <w:vAlign w:val="center"/>
          </w:tcPr>
          <w:p w14:paraId="6773A216">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center"/>
              <w:textAlignment w:val="auto"/>
              <w:rPr>
                <w:rFonts w:hint="eastAsia" w:ascii="宋体" w:hAnsi="宋体" w:eastAsia="宋体" w:cs="宋体"/>
                <w:b/>
                <w:color w:val="auto"/>
                <w:sz w:val="22"/>
                <w:szCs w:val="22"/>
                <w:highlight w:val="none"/>
                <w:lang w:val="en-US" w:eastAsia="zh-CN"/>
              </w:rPr>
            </w:pPr>
            <w:r>
              <w:rPr>
                <w:rFonts w:hint="eastAsia" w:ascii="宋体" w:hAnsi="宋体" w:eastAsia="宋体" w:cs="宋体"/>
                <w:b w:val="0"/>
                <w:bCs/>
                <w:color w:val="auto"/>
                <w:sz w:val="22"/>
                <w:szCs w:val="22"/>
                <w:highlight w:val="none"/>
              </w:rPr>
              <w:t>包</w:t>
            </w:r>
            <w:r>
              <w:rPr>
                <w:rFonts w:hint="eastAsia" w:ascii="宋体" w:hAnsi="宋体" w:eastAsia="宋体" w:cs="宋体"/>
                <w:b w:val="0"/>
                <w:bCs/>
                <w:color w:val="auto"/>
                <w:sz w:val="22"/>
                <w:szCs w:val="22"/>
                <w:highlight w:val="none"/>
                <w:lang w:val="en-US" w:eastAsia="zh-CN"/>
              </w:rPr>
              <w:t>1</w:t>
            </w:r>
          </w:p>
        </w:tc>
        <w:tc>
          <w:tcPr>
            <w:tcW w:w="7293" w:type="dxa"/>
            <w:noWrap w:val="0"/>
            <w:vAlign w:val="center"/>
          </w:tcPr>
          <w:p w14:paraId="4FDC9BC5">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bCs/>
                <w:sz w:val="22"/>
                <w:szCs w:val="22"/>
                <w:highlight w:val="none"/>
                <w:lang w:val="en-US" w:eastAsia="zh-CN"/>
              </w:rPr>
              <w:t>1.</w:t>
            </w:r>
            <w:r>
              <w:rPr>
                <w:rFonts w:hint="eastAsia" w:ascii="宋体" w:hAnsi="宋体" w:eastAsia="宋体" w:cs="宋体"/>
                <w:bCs/>
                <w:sz w:val="22"/>
                <w:szCs w:val="22"/>
                <w:highlight w:val="none"/>
                <w:lang w:eastAsia="zh-CN"/>
              </w:rPr>
              <w:t>大亚湾特勤</w:t>
            </w:r>
            <w:r>
              <w:rPr>
                <w:rFonts w:hint="eastAsia" w:ascii="宋体" w:hAnsi="宋体" w:eastAsia="宋体" w:cs="宋体"/>
                <w:bCs/>
                <w:sz w:val="22"/>
                <w:szCs w:val="22"/>
                <w:highlight w:val="none"/>
                <w:lang w:val="en-US" w:eastAsia="zh-CN"/>
              </w:rPr>
              <w:t>一站食堂：深圳市大鹏新区葵鹏路38号</w:t>
            </w:r>
          </w:p>
        </w:tc>
      </w:tr>
      <w:tr w14:paraId="76A5E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56" w:type="dxa"/>
            <w:vMerge w:val="continue"/>
            <w:noWrap w:val="0"/>
            <w:vAlign w:val="center"/>
          </w:tcPr>
          <w:p w14:paraId="6F06388E">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center"/>
              <w:textAlignment w:val="auto"/>
              <w:rPr>
                <w:rFonts w:hint="eastAsia" w:ascii="宋体" w:hAnsi="宋体" w:eastAsia="宋体" w:cs="宋体"/>
                <w:b/>
                <w:color w:val="auto"/>
                <w:sz w:val="22"/>
                <w:szCs w:val="22"/>
                <w:highlight w:val="none"/>
              </w:rPr>
            </w:pPr>
          </w:p>
        </w:tc>
        <w:tc>
          <w:tcPr>
            <w:tcW w:w="7293" w:type="dxa"/>
            <w:noWrap w:val="0"/>
            <w:vAlign w:val="center"/>
          </w:tcPr>
          <w:p w14:paraId="7A941979">
            <w:pPr>
              <w:keepNext w:val="0"/>
              <w:keepLines w:val="0"/>
              <w:pageBreakBefore w:val="0"/>
              <w:widowControl/>
              <w:tabs>
                <w:tab w:val="left" w:pos="851"/>
                <w:tab w:val="clear" w:pos="426"/>
              </w:tabs>
              <w:kinsoku/>
              <w:wordWrap/>
              <w:overflowPunct/>
              <w:topLinePunct w:val="0"/>
              <w:autoSpaceDE/>
              <w:autoSpaceDN/>
              <w:bidi w:val="0"/>
              <w:adjustRightInd w:val="0"/>
              <w:snapToGrid w:val="0"/>
              <w:spacing w:line="360" w:lineRule="exact"/>
              <w:ind w:firstLine="0" w:firstLineChars="0"/>
              <w:jc w:val="left"/>
              <w:textAlignment w:val="auto"/>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2.</w:t>
            </w:r>
            <w:r>
              <w:rPr>
                <w:rFonts w:hint="eastAsia" w:ascii="宋体" w:hAnsi="宋体" w:eastAsia="宋体" w:cs="宋体"/>
                <w:bCs/>
                <w:sz w:val="22"/>
                <w:szCs w:val="22"/>
                <w:highlight w:val="none"/>
                <w:lang w:eastAsia="zh-CN"/>
              </w:rPr>
              <w:t>大亚湾特勤</w:t>
            </w:r>
            <w:r>
              <w:rPr>
                <w:rFonts w:hint="eastAsia" w:ascii="宋体" w:hAnsi="宋体" w:eastAsia="宋体" w:cs="宋体"/>
                <w:bCs/>
                <w:sz w:val="22"/>
                <w:szCs w:val="22"/>
                <w:highlight w:val="none"/>
                <w:lang w:val="en-US" w:eastAsia="zh-CN"/>
              </w:rPr>
              <w:t>二站食堂：深圳市坪山区东纵路43号</w:t>
            </w:r>
          </w:p>
        </w:tc>
      </w:tr>
    </w:tbl>
    <w:p w14:paraId="7CF4EC7A">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（二）</w:t>
      </w:r>
      <w:r>
        <w:rPr>
          <w:rFonts w:hint="eastAsia" w:ascii="宋体" w:hAnsi="宋体" w:eastAsia="宋体" w:cs="宋体"/>
          <w:b/>
          <w:bCs/>
          <w:color w:val="auto"/>
          <w:sz w:val="22"/>
          <w:szCs w:val="22"/>
          <w:highlight w:val="none"/>
        </w:rPr>
        <w:t>配送种</w:t>
      </w:r>
      <w:r>
        <w:rPr>
          <w:rFonts w:hint="eastAsia" w:ascii="宋体" w:hAnsi="宋体" w:eastAsia="宋体" w:cs="宋体"/>
          <w:b/>
          <w:bCs/>
          <w:color w:val="auto"/>
          <w:sz w:val="22"/>
          <w:szCs w:val="22"/>
          <w:highlight w:val="none"/>
          <w:lang w:eastAsia="zh-CN"/>
        </w:rPr>
        <w:t>类</w:t>
      </w:r>
      <w:r>
        <w:rPr>
          <w:rFonts w:hint="eastAsia" w:ascii="宋体" w:hAnsi="宋体" w:eastAsia="宋体" w:cs="宋体"/>
          <w:b/>
          <w:bCs/>
          <w:color w:val="auto"/>
          <w:sz w:val="22"/>
          <w:szCs w:val="22"/>
          <w:highlight w:val="none"/>
        </w:rPr>
        <w:t>：</w:t>
      </w:r>
    </w:p>
    <w:p w14:paraId="4D2A66DB">
      <w:pPr>
        <w:keepNext w:val="0"/>
        <w:keepLines w:val="0"/>
        <w:pageBreakBefore w:val="0"/>
        <w:kinsoku/>
        <w:wordWrap/>
        <w:overflowPunct/>
        <w:topLinePunct w:val="0"/>
        <w:autoSpaceDE/>
        <w:autoSpaceDN/>
        <w:bidi w:val="0"/>
        <w:spacing w:line="360" w:lineRule="exact"/>
        <w:ind w:firstLine="440" w:firstLineChars="200"/>
        <w:jc w:val="left"/>
        <w:textAlignment w:val="auto"/>
        <w:rPr>
          <w:rFonts w:hint="eastAsia" w:ascii="宋体" w:hAnsi="宋体" w:eastAsia="宋体" w:cs="宋体"/>
          <w:b/>
          <w:bCs/>
          <w:color w:val="auto"/>
          <w:sz w:val="22"/>
          <w:szCs w:val="22"/>
          <w:highlight w:val="none"/>
          <w:lang w:val="en-US" w:eastAsia="zh-CN"/>
        </w:rPr>
      </w:pPr>
      <w:r>
        <w:rPr>
          <w:rFonts w:hint="eastAsia" w:ascii="宋体" w:hAnsi="宋体" w:eastAsia="宋体" w:cs="宋体"/>
          <w:bCs/>
          <w:color w:val="auto"/>
          <w:sz w:val="22"/>
          <w:szCs w:val="22"/>
          <w:highlight w:val="none"/>
        </w:rPr>
        <w:t>配送食材种类：蔬菜类、鲜肉类、水产类、冻品、水果、米、面、油、副食、干货、杂货、牛奶、糕点、调配料等。</w:t>
      </w:r>
      <w:bookmarkStart w:id="43" w:name="Fivetoubiaobaojia6"/>
      <w:bookmarkEnd w:id="43"/>
    </w:p>
    <w:p w14:paraId="40E332F8">
      <w:pPr>
        <w:keepNext w:val="0"/>
        <w:keepLines w:val="0"/>
        <w:pageBreakBefore w:val="0"/>
        <w:numPr>
          <w:ilvl w:val="0"/>
          <w:numId w:val="0"/>
        </w:numPr>
        <w:kinsoku/>
        <w:wordWrap/>
        <w:overflowPunct/>
        <w:topLinePunct w:val="0"/>
        <w:autoSpaceDE/>
        <w:autoSpaceDN/>
        <w:bidi w:val="0"/>
        <w:spacing w:line="360" w:lineRule="exact"/>
        <w:ind w:firstLine="442" w:firstLine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（三）</w:t>
      </w:r>
      <w:r>
        <w:rPr>
          <w:rFonts w:hint="eastAsia" w:ascii="宋体" w:hAnsi="宋体" w:eastAsia="宋体" w:cs="宋体"/>
          <w:b/>
          <w:bCs/>
          <w:color w:val="auto"/>
          <w:sz w:val="22"/>
          <w:szCs w:val="22"/>
          <w:highlight w:val="none"/>
        </w:rPr>
        <w:t>报价要求</w:t>
      </w:r>
    </w:p>
    <w:p w14:paraId="3A97A591">
      <w:pPr>
        <w:keepNext w:val="0"/>
        <w:keepLines w:val="0"/>
        <w:pageBreakBefore w:val="0"/>
        <w:kinsoku/>
        <w:wordWrap/>
        <w:overflowPunct/>
        <w:topLinePunct w:val="0"/>
        <w:autoSpaceDE/>
        <w:autoSpaceDN/>
        <w:bidi w:val="0"/>
        <w:spacing w:line="360" w:lineRule="exact"/>
        <w:ind w:firstLine="440" w:firstLineChars="200"/>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①本项目年度总预算金额为3,019,700.00元，最终以实际结算为准。</w:t>
      </w:r>
    </w:p>
    <w:p w14:paraId="0FCC9379">
      <w:pPr>
        <w:keepNext w:val="0"/>
        <w:keepLines w:val="0"/>
        <w:pageBreakBefore w:val="0"/>
        <w:kinsoku/>
        <w:wordWrap/>
        <w:overflowPunct/>
        <w:topLinePunct w:val="0"/>
        <w:autoSpaceDE/>
        <w:autoSpaceDN/>
        <w:bidi w:val="0"/>
        <w:spacing w:line="360" w:lineRule="exact"/>
        <w:ind w:firstLine="440" w:firstLineChars="200"/>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②本项目的投标价格为折扣率报价。</w:t>
      </w:r>
    </w:p>
    <w:p w14:paraId="709D6F29">
      <w:pPr>
        <w:keepNext w:val="0"/>
        <w:keepLines w:val="0"/>
        <w:pageBreakBefore w:val="0"/>
        <w:kinsoku/>
        <w:wordWrap/>
        <w:overflowPunct/>
        <w:topLinePunct w:val="0"/>
        <w:autoSpaceDE/>
        <w:autoSpaceDN/>
        <w:bidi w:val="0"/>
        <w:spacing w:line="360" w:lineRule="exact"/>
        <w:ind w:firstLine="440" w:firstLineChars="200"/>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蔬菜、肉类以中农数据食堂采配平台（http://www.chinaap.com）每月5、15、25号精品报价表取三天的平均值（平均值精确到分，即小数点后两位）确定各项物资的基准价，投标人结合企业自己的实力报出折扣率，结算时价格=基准价*折扣率；除蔬菜和肉类，以中农数据网报价的基准价进行结算；中农数据网无价格的产品,则按照经甲方考察的市场价结算(市场价由招标人组织调查小组到大型超市或农贸市场进行考察后确定合理的市场价)。采购人所采购的蔬菜和肉类均按精品进行采购，中标人均应按照相应精品标准进行供货。急加餐等特殊情况需另外配送的材料，中农数据网上有价格的，以中农数据网报价的基准价进行结算，中农数据网没有的，则按甲方考察确定的市场价结算。</w:t>
      </w:r>
    </w:p>
    <w:p w14:paraId="39E47861">
      <w:pPr>
        <w:keepNext w:val="0"/>
        <w:keepLines w:val="0"/>
        <w:pageBreakBefore w:val="0"/>
        <w:kinsoku/>
        <w:wordWrap/>
        <w:overflowPunct/>
        <w:topLinePunct w:val="0"/>
        <w:autoSpaceDE/>
        <w:autoSpaceDN/>
        <w:bidi w:val="0"/>
        <w:spacing w:line="360" w:lineRule="exact"/>
        <w:ind w:firstLine="440" w:firstLineChars="200"/>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③如遇台风、暴雨等不可预见的原因造成个别品种及价格需临时做调整的，中标供应商应事先通知采购单位，在采购单位确认后方可调整，否则以原定价结算。</w:t>
      </w:r>
    </w:p>
    <w:p w14:paraId="4B15C2FC">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rPr>
      </w:pPr>
      <w:r>
        <w:rPr>
          <w:rFonts w:hint="eastAsia" w:ascii="宋体" w:hAnsi="宋体" w:eastAsia="宋体" w:cs="仿宋"/>
          <w:b/>
          <w:bCs/>
          <w:sz w:val="20"/>
          <w:szCs w:val="20"/>
          <w:lang w:val="en-US" w:eastAsia="zh-CN"/>
        </w:rPr>
        <w:t>【</w:t>
      </w:r>
      <w:r>
        <w:rPr>
          <w:rFonts w:hint="eastAsia" w:ascii="宋体" w:hAnsi="宋体" w:eastAsia="宋体" w:cs="仿宋"/>
          <w:b/>
          <w:bCs/>
          <w:sz w:val="20"/>
          <w:szCs w:val="20"/>
        </w:rPr>
        <w:t>注：</w:t>
      </w:r>
      <w:r>
        <w:rPr>
          <w:rFonts w:hint="eastAsia" w:ascii="宋体" w:hAnsi="宋体" w:eastAsia="宋体" w:cs="仿宋"/>
          <w:b/>
          <w:bCs/>
          <w:sz w:val="20"/>
          <w:szCs w:val="20"/>
          <w:lang w:val="en-US" w:eastAsia="zh-CN"/>
        </w:rPr>
        <w:t>1.</w:t>
      </w:r>
      <w:r>
        <w:rPr>
          <w:rFonts w:hint="eastAsia" w:ascii="宋体" w:hAnsi="宋体" w:eastAsia="宋体" w:cs="仿宋"/>
          <w:b/>
          <w:bCs/>
          <w:sz w:val="20"/>
          <w:szCs w:val="20"/>
        </w:rPr>
        <w:t>本项目投标报价以折扣率报价。报价要求：折扣率大于0且小于等于1，是固定唯一值，填写的折扣率应为小数，且只填报到小数点后最多两位（如折扣率为九折填写0.90，八八折填写0.88）。投标折扣率不满足招标文件报价要求的，将作投标无效处理。</w:t>
      </w:r>
    </w:p>
    <w:p w14:paraId="5899F69B">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2.“折扣率”填写要求：</w:t>
      </w:r>
    </w:p>
    <w:p w14:paraId="776378FB">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1）填写的“折扣率”为小数，如0.90、0.88、0.77（保留小数点后两位）；超过2位的，代理机构将按四舍五入自动修正保留小数点后两位，不作投标无效处理。</w:t>
      </w:r>
    </w:p>
    <w:p w14:paraId="697BBFF2">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2）不得报区间值（如0.88-0.99），否则将作投标无效处理；</w:t>
      </w:r>
    </w:p>
    <w:p w14:paraId="58A5B79D">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3）0＜折扣率≤1。</w:t>
      </w:r>
    </w:p>
    <w:p w14:paraId="442E79A9">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4）投标人参与投标只允许填报唯一1个“折扣率”，不允许填报2个（或以上）的“折扣率”；填报了2个或以上“折扣率”的，其投标将直接作为无效标处理；</w:t>
      </w:r>
    </w:p>
    <w:p w14:paraId="0D9B2AAC">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default" w:ascii="宋体" w:hAnsi="宋体" w:eastAsia="宋体" w:cs="仿宋"/>
          <w:b/>
          <w:bCs/>
          <w:sz w:val="20"/>
          <w:szCs w:val="20"/>
          <w:lang w:val="en-US" w:eastAsia="zh-CN"/>
        </w:rPr>
      </w:pPr>
      <w:r>
        <w:rPr>
          <w:rFonts w:hint="eastAsia" w:ascii="宋体" w:hAnsi="宋体" w:eastAsia="宋体" w:cs="仿宋"/>
          <w:b/>
          <w:bCs/>
          <w:sz w:val="20"/>
          <w:szCs w:val="20"/>
          <w:lang w:val="en-US" w:eastAsia="zh-CN"/>
        </w:rPr>
        <w:t>5）“折扣率”缺填、漏填将直接作无效标处理。】</w:t>
      </w:r>
    </w:p>
    <w:p w14:paraId="2EDFE0EA">
      <w:pPr>
        <w:keepNext w:val="0"/>
        <w:keepLines w:val="0"/>
        <w:pageBreakBefore w:val="0"/>
        <w:kinsoku/>
        <w:wordWrap/>
        <w:overflowPunct/>
        <w:topLinePunct w:val="0"/>
        <w:autoSpaceDE/>
        <w:autoSpaceDN/>
        <w:bidi w:val="0"/>
        <w:spacing w:line="360" w:lineRule="exact"/>
        <w:ind w:firstLine="442" w:firstLineChars="200"/>
        <w:jc w:val="left"/>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（四）</w:t>
      </w:r>
      <w:r>
        <w:rPr>
          <w:rFonts w:hint="eastAsia" w:ascii="宋体" w:hAnsi="宋体" w:eastAsia="宋体" w:cs="宋体"/>
          <w:b/>
          <w:bCs/>
          <w:color w:val="auto"/>
          <w:sz w:val="22"/>
          <w:szCs w:val="22"/>
          <w:highlight w:val="none"/>
        </w:rPr>
        <w:t>服务期限</w:t>
      </w:r>
    </w:p>
    <w:p w14:paraId="4AF66B13">
      <w:pPr>
        <w:keepNext w:val="0"/>
        <w:keepLines w:val="0"/>
        <w:pageBreakBefore w:val="0"/>
        <w:numPr>
          <w:ilvl w:val="0"/>
          <w:numId w:val="0"/>
        </w:numPr>
        <w:kinsoku/>
        <w:wordWrap/>
        <w:overflowPunct/>
        <w:topLinePunct w:val="0"/>
        <w:autoSpaceDE/>
        <w:autoSpaceDN/>
        <w:bidi w:val="0"/>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本次</w:t>
      </w:r>
      <w:r>
        <w:rPr>
          <w:rFonts w:hint="eastAsia" w:ascii="宋体" w:hAnsi="宋体" w:eastAsia="宋体" w:cs="宋体"/>
          <w:color w:val="auto"/>
          <w:sz w:val="22"/>
          <w:szCs w:val="22"/>
          <w:highlight w:val="none"/>
        </w:rPr>
        <w:t>合同签订</w:t>
      </w:r>
      <w:r>
        <w:rPr>
          <w:rFonts w:hint="eastAsia" w:ascii="宋体" w:hAnsi="宋体" w:eastAsia="宋体" w:cs="宋体"/>
          <w:color w:val="auto"/>
          <w:sz w:val="22"/>
          <w:szCs w:val="22"/>
          <w:highlight w:val="none"/>
          <w:lang w:val="en-US" w:eastAsia="zh-CN"/>
        </w:rPr>
        <w:t>服务期限为</w:t>
      </w:r>
      <w:r>
        <w:rPr>
          <w:rFonts w:hint="eastAsia" w:ascii="宋体" w:hAnsi="宋体" w:eastAsia="宋体" w:cs="宋体"/>
          <w:color w:val="auto"/>
          <w:sz w:val="22"/>
          <w:szCs w:val="22"/>
          <w:highlight w:val="none"/>
        </w:rPr>
        <w:t>一年</w:t>
      </w:r>
      <w:r>
        <w:rPr>
          <w:rFonts w:hint="eastAsia" w:ascii="宋体" w:hAnsi="宋体" w:eastAsia="宋体" w:cs="宋体"/>
          <w:color w:val="auto"/>
          <w:sz w:val="22"/>
          <w:szCs w:val="22"/>
          <w:highlight w:val="none"/>
          <w:lang w:eastAsia="zh-CN"/>
        </w:rPr>
        <w:t>。</w:t>
      </w:r>
    </w:p>
    <w:p w14:paraId="3459873A">
      <w:pPr>
        <w:keepNext w:val="0"/>
        <w:keepLines w:val="0"/>
        <w:pageBreakBefore w:val="0"/>
        <w:numPr>
          <w:ilvl w:val="0"/>
          <w:numId w:val="0"/>
        </w:numPr>
        <w:kinsoku/>
        <w:wordWrap/>
        <w:overflowPunct/>
        <w:topLinePunct w:val="0"/>
        <w:autoSpaceDE/>
        <w:autoSpaceDN/>
        <w:bidi w:val="0"/>
        <w:spacing w:line="360" w:lineRule="exact"/>
        <w:ind w:firstLine="442" w:firstLine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（五）</w:t>
      </w:r>
      <w:r>
        <w:rPr>
          <w:rFonts w:hint="eastAsia" w:ascii="宋体" w:hAnsi="宋体" w:eastAsia="宋体" w:cs="宋体"/>
          <w:b/>
          <w:bCs/>
          <w:color w:val="auto"/>
          <w:sz w:val="22"/>
          <w:szCs w:val="22"/>
          <w:highlight w:val="none"/>
        </w:rPr>
        <w:t>付款方式</w:t>
      </w:r>
    </w:p>
    <w:p w14:paraId="65645E8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b w:val="0"/>
          <w:bCs/>
          <w:color w:val="auto"/>
          <w:sz w:val="22"/>
          <w:szCs w:val="22"/>
          <w:highlight w:val="none"/>
          <w:lang w:val="en-US" w:eastAsia="zh-CN"/>
        </w:rPr>
      </w:pPr>
      <w:r>
        <w:rPr>
          <w:rFonts w:hint="eastAsia" w:ascii="宋体" w:hAnsi="宋体" w:eastAsia="宋体" w:cs="宋体"/>
          <w:color w:val="auto"/>
          <w:kern w:val="2"/>
          <w:sz w:val="22"/>
          <w:szCs w:val="22"/>
          <w:highlight w:val="none"/>
          <w:lang w:val="en-US" w:eastAsia="zh-CN" w:bidi="ar-SA"/>
        </w:rPr>
        <w:t>①</w:t>
      </w:r>
      <w:r>
        <w:rPr>
          <w:rFonts w:hint="eastAsia" w:ascii="宋体" w:hAnsi="宋体" w:eastAsia="宋体" w:cs="宋体"/>
          <w:b w:val="0"/>
          <w:bCs/>
          <w:color w:val="auto"/>
          <w:sz w:val="22"/>
          <w:szCs w:val="22"/>
          <w:highlight w:val="none"/>
          <w:lang w:val="en-US" w:eastAsia="zh-CN"/>
        </w:rPr>
        <w:t xml:space="preserve">本项目采取按月据实结算：每月10日前，中标人应向采购人提出付款申请，采购人应于收到请款资料后的20个工作日内完成核验且支付，原则上每月结算金额不得超过项目概算限额的月均金额。 </w:t>
      </w:r>
    </w:p>
    <w:p w14:paraId="048F335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b w:val="0"/>
          <w:bCs/>
          <w:color w:val="auto"/>
          <w:sz w:val="22"/>
          <w:szCs w:val="22"/>
          <w:highlight w:val="none"/>
          <w:lang w:eastAsia="zh-CN"/>
        </w:rPr>
      </w:pPr>
      <w:r>
        <w:rPr>
          <w:rFonts w:hint="eastAsia" w:ascii="宋体" w:hAnsi="宋体" w:eastAsia="宋体" w:cs="宋体"/>
          <w:color w:val="auto"/>
          <w:kern w:val="2"/>
          <w:sz w:val="22"/>
          <w:szCs w:val="22"/>
          <w:highlight w:val="none"/>
          <w:lang w:val="en-US" w:eastAsia="zh-CN" w:bidi="ar-SA"/>
        </w:rPr>
        <w:t>②</w:t>
      </w:r>
      <w:r>
        <w:rPr>
          <w:rFonts w:hint="eastAsia" w:ascii="宋体" w:hAnsi="宋体" w:eastAsia="宋体" w:cs="宋体"/>
          <w:b w:val="0"/>
          <w:bCs/>
          <w:color w:val="auto"/>
          <w:sz w:val="22"/>
          <w:szCs w:val="22"/>
          <w:highlight w:val="none"/>
          <w:lang w:val="en-US" w:eastAsia="zh-CN"/>
        </w:rPr>
        <w:t>中标人</w:t>
      </w:r>
      <w:r>
        <w:rPr>
          <w:rFonts w:hint="eastAsia" w:ascii="宋体" w:hAnsi="宋体" w:eastAsia="宋体" w:cs="宋体"/>
          <w:b w:val="0"/>
          <w:bCs/>
          <w:color w:val="auto"/>
          <w:sz w:val="22"/>
          <w:szCs w:val="22"/>
          <w:highlight w:val="none"/>
          <w:lang w:val="zh-CN" w:eastAsia="zh-TW"/>
        </w:rPr>
        <w:t>请款时，必须提供相关的请款资料（含等额发票</w:t>
      </w:r>
      <w:r>
        <w:rPr>
          <w:rFonts w:hint="eastAsia" w:ascii="宋体" w:hAnsi="宋体" w:eastAsia="宋体" w:cs="宋体"/>
          <w:b w:val="0"/>
          <w:bCs/>
          <w:color w:val="auto"/>
          <w:sz w:val="22"/>
          <w:szCs w:val="22"/>
          <w:highlight w:val="none"/>
          <w:lang w:val="zh-TW" w:eastAsia="zh-TW"/>
        </w:rPr>
        <w:t>、每日配送验收单（含品种、数量、金额等）</w:t>
      </w:r>
      <w:r>
        <w:rPr>
          <w:rFonts w:hint="eastAsia" w:ascii="宋体" w:hAnsi="宋体" w:eastAsia="宋体" w:cs="宋体"/>
          <w:b w:val="0"/>
          <w:bCs/>
          <w:color w:val="auto"/>
          <w:sz w:val="22"/>
          <w:szCs w:val="22"/>
          <w:highlight w:val="none"/>
          <w:lang w:val="zh-TW" w:eastAsia="zh-CN"/>
        </w:rPr>
        <w:t>、</w:t>
      </w:r>
      <w:r>
        <w:rPr>
          <w:rFonts w:hint="eastAsia" w:ascii="宋体" w:hAnsi="宋体" w:eastAsia="宋体" w:cs="宋体"/>
          <w:b w:val="0"/>
          <w:bCs/>
          <w:color w:val="auto"/>
          <w:sz w:val="22"/>
          <w:szCs w:val="22"/>
          <w:highlight w:val="none"/>
          <w:lang w:val="en-US" w:eastAsia="zh-CN"/>
        </w:rPr>
        <w:t>汇总对账单、</w:t>
      </w:r>
      <w:r>
        <w:rPr>
          <w:rFonts w:hint="eastAsia" w:ascii="宋体" w:hAnsi="宋体" w:eastAsia="宋体" w:cs="宋体"/>
          <w:b w:val="0"/>
          <w:bCs/>
          <w:color w:val="auto"/>
          <w:sz w:val="22"/>
          <w:szCs w:val="22"/>
          <w:highlight w:val="none"/>
          <w:lang w:val="zh-TW" w:eastAsia="zh-TW"/>
        </w:rPr>
        <w:t>付款凭证等</w:t>
      </w:r>
      <w:r>
        <w:rPr>
          <w:rFonts w:hint="eastAsia" w:ascii="宋体" w:hAnsi="宋体" w:eastAsia="宋体" w:cs="宋体"/>
          <w:b w:val="0"/>
          <w:bCs/>
          <w:color w:val="auto"/>
          <w:sz w:val="22"/>
          <w:szCs w:val="22"/>
          <w:highlight w:val="none"/>
          <w:lang w:val="en-US" w:eastAsia="zh-CN"/>
        </w:rPr>
        <w:t>采购人</w:t>
      </w:r>
      <w:r>
        <w:rPr>
          <w:rFonts w:hint="eastAsia" w:ascii="宋体" w:hAnsi="宋体" w:eastAsia="宋体" w:cs="宋体"/>
          <w:b w:val="0"/>
          <w:bCs/>
          <w:color w:val="auto"/>
          <w:sz w:val="22"/>
          <w:szCs w:val="22"/>
          <w:highlight w:val="none"/>
          <w:lang w:val="zh-TW" w:eastAsia="zh-TW"/>
        </w:rPr>
        <w:t>所需的相关资料</w:t>
      </w:r>
      <w:r>
        <w:rPr>
          <w:rFonts w:hint="eastAsia" w:ascii="宋体" w:hAnsi="宋体" w:eastAsia="宋体" w:cs="宋体"/>
          <w:b w:val="0"/>
          <w:bCs/>
          <w:color w:val="auto"/>
          <w:sz w:val="22"/>
          <w:szCs w:val="22"/>
          <w:highlight w:val="none"/>
          <w:lang w:val="zh-CN" w:eastAsia="zh-TW"/>
        </w:rPr>
        <w:t>）。因</w:t>
      </w:r>
      <w:r>
        <w:rPr>
          <w:rFonts w:hint="eastAsia" w:ascii="宋体" w:hAnsi="宋体" w:eastAsia="宋体" w:cs="宋体"/>
          <w:b w:val="0"/>
          <w:bCs/>
          <w:color w:val="auto"/>
          <w:sz w:val="22"/>
          <w:szCs w:val="22"/>
          <w:highlight w:val="none"/>
          <w:lang w:val="en-US" w:eastAsia="zh-CN"/>
        </w:rPr>
        <w:t>采购人</w:t>
      </w:r>
      <w:r>
        <w:rPr>
          <w:rFonts w:hint="eastAsia" w:ascii="宋体" w:hAnsi="宋体" w:eastAsia="宋体" w:cs="宋体"/>
          <w:b w:val="0"/>
          <w:bCs/>
          <w:color w:val="auto"/>
          <w:sz w:val="22"/>
          <w:szCs w:val="22"/>
          <w:highlight w:val="none"/>
          <w:lang w:val="zh-CN" w:eastAsia="zh-TW"/>
        </w:rPr>
        <w:t>使用的是财政资金，若在规定的付款时间内，</w:t>
      </w:r>
      <w:r>
        <w:rPr>
          <w:rFonts w:hint="eastAsia" w:ascii="宋体" w:hAnsi="宋体" w:eastAsia="宋体" w:cs="宋体"/>
          <w:b w:val="0"/>
          <w:bCs/>
          <w:color w:val="auto"/>
          <w:sz w:val="22"/>
          <w:szCs w:val="22"/>
          <w:highlight w:val="none"/>
          <w:lang w:val="en-US" w:eastAsia="zh-CN"/>
        </w:rPr>
        <w:t>采购人</w:t>
      </w:r>
      <w:r>
        <w:rPr>
          <w:rFonts w:hint="eastAsia" w:ascii="宋体" w:hAnsi="宋体" w:eastAsia="宋体" w:cs="宋体"/>
          <w:b w:val="0"/>
          <w:bCs/>
          <w:color w:val="auto"/>
          <w:sz w:val="22"/>
          <w:szCs w:val="22"/>
          <w:highlight w:val="none"/>
          <w:lang w:val="zh-CN" w:eastAsia="zh-TW"/>
        </w:rPr>
        <w:t>向政府支付部门提出办理财政支付申请手续，即视为完成了相应的付款义务，因审批导致支付时间延长的，不视为</w:t>
      </w:r>
      <w:r>
        <w:rPr>
          <w:rFonts w:hint="eastAsia" w:ascii="宋体" w:hAnsi="宋体" w:eastAsia="宋体" w:cs="宋体"/>
          <w:b w:val="0"/>
          <w:bCs/>
          <w:color w:val="auto"/>
          <w:sz w:val="22"/>
          <w:szCs w:val="22"/>
          <w:highlight w:val="none"/>
          <w:lang w:val="en-US" w:eastAsia="zh-CN"/>
        </w:rPr>
        <w:t>采购人</w:t>
      </w:r>
      <w:r>
        <w:rPr>
          <w:rFonts w:hint="eastAsia" w:ascii="宋体" w:hAnsi="宋体" w:eastAsia="宋体" w:cs="宋体"/>
          <w:b w:val="0"/>
          <w:bCs/>
          <w:color w:val="auto"/>
          <w:sz w:val="22"/>
          <w:szCs w:val="22"/>
          <w:highlight w:val="none"/>
          <w:lang w:val="zh-CN" w:eastAsia="zh-TW"/>
        </w:rPr>
        <w:t>违约</w:t>
      </w:r>
      <w:r>
        <w:rPr>
          <w:rFonts w:hint="eastAsia" w:ascii="宋体" w:hAnsi="宋体" w:eastAsia="宋体" w:cs="宋体"/>
          <w:b w:val="0"/>
          <w:bCs/>
          <w:color w:val="auto"/>
          <w:sz w:val="22"/>
          <w:szCs w:val="22"/>
          <w:highlight w:val="none"/>
          <w:lang w:val="en-US" w:eastAsia="zh-CN"/>
        </w:rPr>
        <w:t>。</w:t>
      </w:r>
    </w:p>
    <w:p w14:paraId="67370578">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auto"/>
          <w:sz w:val="22"/>
          <w:szCs w:val="22"/>
        </w:rPr>
      </w:pPr>
    </w:p>
    <w:p w14:paraId="1930B5D8">
      <w:pPr>
        <w:rPr>
          <w:rFonts w:hint="eastAsia"/>
          <w:highlight w:val="none"/>
        </w:rPr>
      </w:pPr>
    </w:p>
    <w:p w14:paraId="1D95AB65">
      <w:pPr>
        <w:pStyle w:val="5"/>
        <w:numPr>
          <w:ilvl w:val="0"/>
          <w:numId w:val="0"/>
        </w:numPr>
        <w:jc w:val="center"/>
        <w:rPr>
          <w:rFonts w:hint="eastAsia"/>
          <w:sz w:val="24"/>
          <w:highlight w:val="none"/>
        </w:rPr>
      </w:pPr>
      <w:r>
        <w:rPr>
          <w:rFonts w:hint="eastAsia"/>
          <w:sz w:val="24"/>
          <w:highlight w:val="none"/>
          <w:lang w:val="en-US" w:eastAsia="zh-CN"/>
        </w:rPr>
        <w:t>六</w:t>
      </w:r>
      <w:r>
        <w:rPr>
          <w:rFonts w:hint="eastAsia"/>
          <w:sz w:val="24"/>
          <w:highlight w:val="none"/>
        </w:rPr>
        <w:t>、政策导向</w:t>
      </w:r>
    </w:p>
    <w:p w14:paraId="6CBC6B7D">
      <w:pPr>
        <w:spacing w:line="360" w:lineRule="auto"/>
        <w:ind w:firstLine="440" w:firstLineChars="200"/>
        <w:rPr>
          <w:rFonts w:hint="eastAsia" w:ascii="宋体" w:hAnsi="宋体" w:cs="宋体"/>
          <w:sz w:val="22"/>
        </w:rPr>
      </w:pPr>
      <w:r>
        <w:rPr>
          <w:rFonts w:hint="eastAsia" w:ascii="宋体" w:hAnsi="宋体" w:cs="宋体"/>
          <w:sz w:val="22"/>
        </w:rPr>
        <w:t>（1）投标人提供的服务全部均由优惠主体制造，则对其投标总价给予</w:t>
      </w:r>
      <w:r>
        <w:rPr>
          <w:rFonts w:hint="eastAsia" w:ascii="宋体" w:hAnsi="宋体" w:cs="宋体"/>
          <w:b/>
          <w:bCs/>
          <w:sz w:val="22"/>
          <w:u w:val="single"/>
        </w:rPr>
        <w:t xml:space="preserve"> 0%</w:t>
      </w:r>
      <w:r>
        <w:rPr>
          <w:rFonts w:hint="eastAsia" w:ascii="宋体" w:hAnsi="宋体" w:cs="宋体"/>
          <w:b/>
          <w:bCs/>
          <w:sz w:val="22"/>
          <w:u w:val="single"/>
          <w:lang w:val="en-US" w:eastAsia="zh-CN"/>
        </w:rPr>
        <w:t xml:space="preserve"> </w:t>
      </w:r>
      <w:r>
        <w:rPr>
          <w:rFonts w:hint="eastAsia" w:ascii="宋体" w:hAnsi="宋体" w:cs="宋体"/>
          <w:sz w:val="22"/>
        </w:rPr>
        <w:t>的扣除，用扣除后的价格参与评审。满足多项优惠政策的企业，不重复享受多项价格扣除政策。</w:t>
      </w:r>
    </w:p>
    <w:p w14:paraId="73FC3C08">
      <w:pPr>
        <w:spacing w:line="360" w:lineRule="auto"/>
        <w:ind w:firstLine="440" w:firstLineChars="200"/>
        <w:rPr>
          <w:rFonts w:hint="eastAsia" w:ascii="宋体" w:hAnsi="宋体" w:cs="宋体"/>
          <w:sz w:val="22"/>
        </w:rPr>
      </w:pPr>
      <w:r>
        <w:rPr>
          <w:rFonts w:hint="eastAsia" w:ascii="宋体" w:hAnsi="宋体" w:cs="宋体"/>
          <w:sz w:val="22"/>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14:paraId="388239CE">
      <w:pPr>
        <w:spacing w:line="360" w:lineRule="auto"/>
        <w:ind w:firstLine="440" w:firstLineChars="200"/>
        <w:rPr>
          <w:rFonts w:hint="eastAsia" w:ascii="宋体" w:hAnsi="宋体" w:cs="宋体"/>
          <w:sz w:val="22"/>
        </w:rPr>
      </w:pPr>
      <w:r>
        <w:rPr>
          <w:rFonts w:hint="eastAsia" w:ascii="宋体" w:hAnsi="宋体" w:cs="宋体"/>
          <w:sz w:val="22"/>
        </w:rPr>
        <w:t>（2）根据《工业和信息化部、国家统计局、国家发展和改革委员会、财政部关于印发中小企业划型标准规定的通知》（工信部联企业〔2011〕300 号），本项目采购标的（项目需求）对应的中小企业划分标准所属行业为</w:t>
      </w:r>
      <w:r>
        <w:rPr>
          <w:rFonts w:hint="eastAsia" w:ascii="宋体" w:hAnsi="宋体" w:cs="宋体"/>
          <w:sz w:val="22"/>
          <w:u w:val="single"/>
        </w:rPr>
        <w:t xml:space="preserve">  </w:t>
      </w:r>
      <w:r>
        <w:rPr>
          <w:rFonts w:hint="eastAsia" w:ascii="宋体" w:hAnsi="宋体" w:cs="宋体"/>
          <w:b/>
          <w:bCs/>
          <w:sz w:val="22"/>
          <w:highlight w:val="none"/>
          <w:u w:val="single"/>
          <w:lang w:val="en-US" w:eastAsia="zh-CN"/>
        </w:rPr>
        <w:t>餐饮业</w:t>
      </w:r>
      <w:r>
        <w:rPr>
          <w:rFonts w:hint="eastAsia" w:ascii="宋体" w:hAnsi="宋体" w:cs="宋体"/>
          <w:sz w:val="22"/>
          <w:u w:val="single"/>
        </w:rPr>
        <w:t xml:space="preserve">  </w:t>
      </w:r>
      <w:r>
        <w:rPr>
          <w:rFonts w:hint="eastAsia" w:ascii="宋体" w:hAnsi="宋体" w:cs="宋体"/>
          <w:sz w:val="22"/>
        </w:rPr>
        <w:t>。</w:t>
      </w:r>
    </w:p>
    <w:p w14:paraId="46A0B811">
      <w:pPr>
        <w:spacing w:line="360" w:lineRule="auto"/>
        <w:ind w:firstLine="440" w:firstLineChars="200"/>
        <w:rPr>
          <w:rFonts w:hint="eastAsia" w:ascii="宋体" w:hAnsi="宋体" w:cs="宋体"/>
          <w:sz w:val="22"/>
        </w:rPr>
      </w:pPr>
      <w:r>
        <w:rPr>
          <w:rFonts w:hint="eastAsia" w:ascii="宋体" w:hAnsi="宋体" w:cs="宋体"/>
          <w:sz w:val="22"/>
        </w:rPr>
        <w:t>（3）小型企业、微型企业、残疾人福利性单位作为优惠主体的认定资料为《中小企业声明函》、《残疾人福利性单位声明函》；监狱企业作为优惠主体的认定资料为省级以上监狱管理局、戒毒管理局出具的监狱企业证明文件。声明函样式见本招标文件第一册专用条款第三章“投标文件格式、附件”中“中小企业、残疾人福利性单位和监狱企业政策导向”章节提供的格式）。</w:t>
      </w:r>
    </w:p>
    <w:p w14:paraId="3AEB6305">
      <w:pPr>
        <w:spacing w:line="360" w:lineRule="auto"/>
        <w:ind w:firstLine="440" w:firstLineChars="200"/>
        <w:rPr>
          <w:sz w:val="22"/>
        </w:rPr>
      </w:pPr>
      <w:r>
        <w:rPr>
          <w:rFonts w:hint="eastAsia" w:ascii="宋体" w:hAnsi="宋体" w:cs="宋体"/>
          <w:sz w:val="22"/>
        </w:rPr>
        <w:t>（4）享受价格扣除获得政府采购合同的，小微企业不得将合同分包给大中型企业。</w:t>
      </w:r>
    </w:p>
    <w:p w14:paraId="087B7A34">
      <w:pPr>
        <w:rPr>
          <w:rFonts w:hint="eastAsia"/>
          <w:highlight w:val="none"/>
        </w:rPr>
      </w:pPr>
      <w:r>
        <w:rPr>
          <w:rFonts w:hint="eastAsia"/>
          <w:highlight w:val="none"/>
        </w:rPr>
        <w:br w:type="page"/>
      </w:r>
    </w:p>
    <w:p w14:paraId="5E584DCB">
      <w:pPr>
        <w:pStyle w:val="62"/>
        <w:tabs>
          <w:tab w:val="clear" w:pos="426"/>
        </w:tabs>
        <w:rPr>
          <w:highlight w:val="none"/>
        </w:rPr>
      </w:pPr>
      <w:bookmarkStart w:id="44" w:name="_Toc3144"/>
      <w:r>
        <w:rPr>
          <w:rFonts w:hint="eastAsia"/>
          <w:highlight w:val="none"/>
        </w:rPr>
        <w:t>第四章采购合同的签订、履约及验收</w:t>
      </w:r>
      <w:bookmarkEnd w:id="33"/>
      <w:bookmarkEnd w:id="44"/>
    </w:p>
    <w:p w14:paraId="0B9BEAA3">
      <w:pPr>
        <w:tabs>
          <w:tab w:val="clear" w:pos="426"/>
        </w:tabs>
        <w:jc w:val="center"/>
        <w:rPr>
          <w:rFonts w:hint="eastAsia"/>
          <w:b/>
          <w:sz w:val="24"/>
          <w:highlight w:val="none"/>
        </w:rPr>
      </w:pPr>
    </w:p>
    <w:p w14:paraId="02F89E72">
      <w:pPr>
        <w:tabs>
          <w:tab w:val="clear" w:pos="426"/>
        </w:tabs>
        <w:jc w:val="center"/>
        <w:rPr>
          <w:rFonts w:hint="eastAsia"/>
          <w:b/>
          <w:sz w:val="24"/>
          <w:highlight w:val="none"/>
        </w:rPr>
      </w:pPr>
    </w:p>
    <w:p w14:paraId="14DD6858">
      <w:pPr>
        <w:tabs>
          <w:tab w:val="clear" w:pos="426"/>
        </w:tabs>
        <w:jc w:val="center"/>
        <w:rPr>
          <w:rFonts w:hint="eastAsia"/>
          <w:b/>
          <w:sz w:val="24"/>
          <w:highlight w:val="none"/>
        </w:rPr>
      </w:pPr>
    </w:p>
    <w:p w14:paraId="64DAA9F5">
      <w:pPr>
        <w:tabs>
          <w:tab w:val="clear" w:pos="426"/>
        </w:tabs>
        <w:jc w:val="center"/>
        <w:rPr>
          <w:b/>
          <w:sz w:val="24"/>
          <w:highlight w:val="none"/>
        </w:rPr>
      </w:pPr>
      <w:r>
        <w:rPr>
          <w:rFonts w:hint="eastAsia"/>
          <w:b/>
          <w:sz w:val="24"/>
          <w:highlight w:val="none"/>
        </w:rPr>
        <w:t>一、重要提示</w:t>
      </w:r>
    </w:p>
    <w:p w14:paraId="45F79A44">
      <w:pPr>
        <w:widowControl w:val="0"/>
        <w:shd w:val="clear" w:color="auto" w:fill="auto"/>
        <w:tabs>
          <w:tab w:val="clear" w:pos="426"/>
        </w:tabs>
        <w:adjustRightInd/>
        <w:snapToGrid/>
        <w:ind w:firstLine="420" w:firstLineChars="200"/>
        <w:rPr>
          <w:rFonts w:cs="Times New Roman"/>
          <w:kern w:val="2"/>
          <w:szCs w:val="21"/>
          <w:highlight w:val="none"/>
        </w:rPr>
      </w:pPr>
      <w:bookmarkStart w:id="45" w:name="_Hlk2096823"/>
      <w:r>
        <w:rPr>
          <w:rFonts w:hint="eastAsia" w:cs="Times New Roman"/>
          <w:kern w:val="2"/>
          <w:szCs w:val="21"/>
          <w:highlight w:val="none"/>
        </w:rPr>
        <w:t>（一）</w:t>
      </w:r>
      <w:r>
        <w:rPr>
          <w:rFonts w:hint="eastAsia"/>
          <w:szCs w:val="21"/>
          <w:highlight w:val="none"/>
        </w:rPr>
        <w:t>中标供应商应在中标通知书发出后立即与采购人取得联系。</w:t>
      </w:r>
      <w:r>
        <w:rPr>
          <w:rFonts w:hint="eastAsia" w:cs="Times New Roman"/>
          <w:kern w:val="2"/>
          <w:szCs w:val="21"/>
          <w:highlight w:val="none"/>
        </w:rPr>
        <w:t>中标供应商将于中标通知书发出之日起三十日内，按照招标文件和投标文件内容与采购人签订书面合同，合同书应采用本招标文件规定的合同样本；</w:t>
      </w:r>
    </w:p>
    <w:p w14:paraId="303EC7E4">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（二）中标供应商应当按照合同约定履行义务，完成中标项目，不得将中标项目转让（转包）给他人；</w:t>
      </w:r>
    </w:p>
    <w:p w14:paraId="545941A6">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（三）采购人与中标供应商签订的合同必须遵守本招标文件的合同条件，并且不得更改合同条件。</w:t>
      </w:r>
    </w:p>
    <w:p w14:paraId="3ED2145D">
      <w:pPr>
        <w:widowControl w:val="0"/>
        <w:shd w:val="clear" w:color="auto" w:fill="auto"/>
        <w:tabs>
          <w:tab w:val="clear" w:pos="426"/>
        </w:tabs>
        <w:adjustRightInd/>
        <w:snapToGrid/>
        <w:ind w:firstLine="420" w:firstLineChars="200"/>
        <w:rPr>
          <w:rFonts w:cs="Times New Roman"/>
          <w:kern w:val="2"/>
          <w:szCs w:val="21"/>
          <w:highlight w:val="none"/>
        </w:rPr>
      </w:pPr>
      <w:r>
        <w:rPr>
          <w:rFonts w:hint="eastAsia" w:cs="Times New Roman"/>
          <w:kern w:val="2"/>
          <w:szCs w:val="21"/>
          <w:highlight w:val="none"/>
        </w:rPr>
        <w:t>（四）供应商必须诚信投标，对项目需求进行实质性响应。</w:t>
      </w:r>
      <w:bookmarkEnd w:id="45"/>
    </w:p>
    <w:p w14:paraId="2E489F96">
      <w:pPr>
        <w:shd w:val="clear" w:color="auto" w:fill="auto"/>
        <w:tabs>
          <w:tab w:val="clear" w:pos="426"/>
        </w:tabs>
        <w:adjustRightInd/>
        <w:snapToGrid/>
        <w:spacing w:line="240" w:lineRule="auto"/>
        <w:jc w:val="left"/>
        <w:rPr>
          <w:rFonts w:ascii="Times New Roman" w:cs="Times New Roman"/>
          <w:b/>
          <w:kern w:val="2"/>
          <w:sz w:val="24"/>
          <w:highlight w:val="none"/>
        </w:rPr>
      </w:pPr>
    </w:p>
    <w:p w14:paraId="79C43803">
      <w:pPr>
        <w:shd w:val="clear" w:color="auto" w:fill="auto"/>
        <w:tabs>
          <w:tab w:val="clear" w:pos="426"/>
        </w:tabs>
        <w:adjustRightInd/>
        <w:snapToGrid/>
        <w:spacing w:line="240" w:lineRule="auto"/>
        <w:jc w:val="left"/>
        <w:rPr>
          <w:rFonts w:ascii="Times New Roman" w:cs="Times New Roman"/>
          <w:b/>
          <w:kern w:val="2"/>
          <w:sz w:val="24"/>
          <w:highlight w:val="none"/>
        </w:rPr>
      </w:pPr>
      <w:r>
        <w:rPr>
          <w:rFonts w:ascii="Times New Roman" w:cs="Times New Roman"/>
          <w:b/>
          <w:kern w:val="2"/>
          <w:sz w:val="24"/>
          <w:highlight w:val="none"/>
        </w:rPr>
        <w:br w:type="page"/>
      </w:r>
    </w:p>
    <w:p w14:paraId="295ABFE0">
      <w:pPr>
        <w:tabs>
          <w:tab w:val="clear" w:pos="426"/>
        </w:tabs>
        <w:ind w:firstLine="482" w:firstLineChars="200"/>
        <w:jc w:val="center"/>
        <w:rPr>
          <w:b/>
          <w:sz w:val="24"/>
          <w:highlight w:val="none"/>
        </w:rPr>
      </w:pPr>
      <w:r>
        <w:rPr>
          <w:rFonts w:hint="eastAsia"/>
          <w:b/>
          <w:sz w:val="24"/>
          <w:highlight w:val="none"/>
        </w:rPr>
        <w:t>二、合同主要条款及格式</w:t>
      </w:r>
    </w:p>
    <w:bookmarkEnd w:id="19"/>
    <w:bookmarkEnd w:id="20"/>
    <w:p w14:paraId="1B40A718">
      <w:pPr>
        <w:jc w:val="center"/>
        <w:rPr>
          <w:rFonts w:hint="eastAsia" w:hAnsi="宋体" w:eastAsia="宋体"/>
          <w:b/>
          <w:sz w:val="22"/>
          <w:szCs w:val="21"/>
          <w:highlight w:val="none"/>
          <w:lang w:val="en-US" w:eastAsia="zh-CN"/>
        </w:rPr>
      </w:pPr>
      <w:bookmarkStart w:id="46" w:name="_Toc398220526"/>
      <w:bookmarkStart w:id="47" w:name="_Toc432592818"/>
      <w:r>
        <w:rPr>
          <w:rFonts w:hint="eastAsia" w:hAnsi="宋体"/>
          <w:b/>
          <w:sz w:val="22"/>
          <w:szCs w:val="21"/>
          <w:highlight w:val="none"/>
          <w:lang w:val="en-US" w:eastAsia="zh-CN"/>
        </w:rPr>
        <w:t>(</w:t>
      </w:r>
      <w:r>
        <w:rPr>
          <w:rFonts w:hint="eastAsia" w:hAnsi="宋体"/>
          <w:b/>
          <w:sz w:val="22"/>
          <w:szCs w:val="21"/>
          <w:highlight w:val="none"/>
        </w:rPr>
        <w:t>注：仅供参考，具体条款内容由采购单位和中标单位协商确定。</w:t>
      </w:r>
      <w:r>
        <w:rPr>
          <w:rFonts w:hint="eastAsia" w:hAnsi="宋体"/>
          <w:b/>
          <w:sz w:val="22"/>
          <w:szCs w:val="21"/>
          <w:highlight w:val="none"/>
          <w:lang w:val="en-US" w:eastAsia="zh-CN"/>
        </w:rPr>
        <w:t>)</w:t>
      </w:r>
    </w:p>
    <w:p w14:paraId="30C05300">
      <w:pPr>
        <w:pStyle w:val="44"/>
        <w:rPr>
          <w:highlight w:val="none"/>
        </w:rPr>
      </w:pPr>
    </w:p>
    <w:p w14:paraId="5123D4EA">
      <w:pPr>
        <w:pStyle w:val="81"/>
        <w:spacing w:before="0"/>
        <w:ind w:left="0" w:right="0"/>
        <w:rPr>
          <w:rFonts w:hint="eastAsia" w:ascii="微软雅黑" w:hAnsi="微软雅黑" w:eastAsia="微软雅黑" w:cs="微软雅黑"/>
          <w:b/>
          <w:bCs/>
          <w:spacing w:val="51"/>
          <w:w w:val="90"/>
          <w:sz w:val="64"/>
          <w:szCs w:val="64"/>
          <w:lang w:eastAsia="zh-CN"/>
        </w:rPr>
      </w:pPr>
      <w:r>
        <w:rPr>
          <w:rFonts w:hint="eastAsia" w:ascii="微软雅黑" w:hAnsi="微软雅黑" w:eastAsia="微软雅黑" w:cs="微软雅黑"/>
          <w:b/>
          <w:bCs/>
          <w:spacing w:val="51"/>
          <w:w w:val="90"/>
          <w:sz w:val="44"/>
          <w:szCs w:val="44"/>
          <w:lang w:eastAsia="zh-CN"/>
        </w:rPr>
        <w:t>广东省深圳市消防救援支队大亚湾特勤大队2024年食材配送服务采购项目</w:t>
      </w:r>
    </w:p>
    <w:p w14:paraId="5DD081E8">
      <w:pPr>
        <w:pStyle w:val="2"/>
        <w:spacing w:before="3"/>
        <w:rPr>
          <w:rFonts w:ascii="仿宋" w:hAnsi="仿宋" w:eastAsia="仿宋"/>
          <w:b/>
          <w:sz w:val="44"/>
          <w:szCs w:val="44"/>
        </w:rPr>
      </w:pPr>
    </w:p>
    <w:p w14:paraId="62C638F4">
      <w:pPr>
        <w:pStyle w:val="81"/>
        <w:spacing w:line="501" w:lineRule="auto"/>
        <w:ind w:left="3999" w:right="4142"/>
        <w:jc w:val="both"/>
        <w:rPr>
          <w:rFonts w:ascii="仿宋" w:hAnsi="仿宋" w:eastAsia="仿宋"/>
          <w:sz w:val="44"/>
          <w:szCs w:val="44"/>
        </w:rPr>
      </w:pPr>
      <w:r>
        <w:rPr>
          <w:rFonts w:hint="eastAsia" w:ascii="微软雅黑" w:hAnsi="微软雅黑" w:eastAsia="微软雅黑" w:cs="微软雅黑"/>
          <w:sz w:val="44"/>
          <w:szCs w:val="44"/>
        </w:rPr>
        <w:t>合同</w:t>
      </w:r>
    </w:p>
    <w:p w14:paraId="5ECE4B9A">
      <w:pPr>
        <w:pStyle w:val="2"/>
        <w:rPr>
          <w:rFonts w:hint="eastAsia" w:ascii="仿宋" w:hAnsi="仿宋" w:eastAsia="仿宋"/>
          <w:b/>
          <w:sz w:val="49"/>
        </w:rPr>
      </w:pPr>
    </w:p>
    <w:p w14:paraId="1605F19D">
      <w:pPr>
        <w:rPr>
          <w:rFonts w:hint="eastAsia" w:ascii="仿宋" w:hAnsi="仿宋" w:eastAsia="仿宋"/>
          <w:b/>
          <w:sz w:val="49"/>
        </w:rPr>
      </w:pPr>
    </w:p>
    <w:p w14:paraId="0B46EC4C">
      <w:pPr>
        <w:pStyle w:val="2"/>
        <w:rPr>
          <w:rFonts w:hint="eastAsia" w:ascii="仿宋" w:hAnsi="仿宋" w:eastAsia="仿宋"/>
          <w:b/>
          <w:sz w:val="49"/>
        </w:rPr>
      </w:pPr>
    </w:p>
    <w:p w14:paraId="06467B17">
      <w:pPr>
        <w:rPr>
          <w:rFonts w:hint="eastAsia"/>
        </w:rPr>
      </w:pPr>
    </w:p>
    <w:p w14:paraId="32B925A7">
      <w:pPr>
        <w:tabs>
          <w:tab w:val="left" w:pos="3169"/>
          <w:tab w:val="left" w:pos="3329"/>
          <w:tab w:val="left" w:pos="7809"/>
          <w:tab w:val="clear" w:pos="426"/>
        </w:tabs>
        <w:spacing w:line="324" w:lineRule="auto"/>
        <w:ind w:left="769" w:right="1052"/>
        <w:rPr>
          <w:rFonts w:hint="eastAsia" w:ascii="黑体" w:hAnsi="黑体" w:eastAsia="黑体"/>
          <w:b/>
          <w:spacing w:val="3"/>
          <w:sz w:val="31"/>
          <w:u w:val="single"/>
        </w:rPr>
      </w:pPr>
      <w:r>
        <w:rPr>
          <w:rFonts w:hint="eastAsia" w:ascii="黑体" w:hAnsi="黑体" w:eastAsia="黑体"/>
          <w:b/>
          <w:spacing w:val="3"/>
          <w:sz w:val="31"/>
        </w:rPr>
        <w:t>甲方：</w:t>
      </w:r>
      <w:r>
        <w:rPr>
          <w:rFonts w:hint="eastAsia" w:ascii="黑体" w:hAnsi="黑体" w:eastAsia="黑体"/>
          <w:b/>
          <w:spacing w:val="3"/>
          <w:sz w:val="31"/>
          <w:u w:val="single"/>
        </w:rPr>
        <w:t xml:space="preserve"> </w:t>
      </w:r>
      <w:r>
        <w:rPr>
          <w:rFonts w:hint="eastAsia" w:ascii="黑体" w:hAnsi="黑体" w:eastAsia="黑体"/>
          <w:b/>
          <w:color w:val="auto"/>
          <w:spacing w:val="3"/>
          <w:sz w:val="31"/>
          <w:u w:val="single"/>
          <w:lang w:eastAsia="zh-CN"/>
        </w:rPr>
        <w:t>深圳市消防救援支队大亚湾特勤大队</w:t>
      </w:r>
      <w:r>
        <w:rPr>
          <w:rFonts w:hint="eastAsia" w:ascii="黑体" w:hAnsi="黑体" w:eastAsia="黑体"/>
          <w:b/>
          <w:spacing w:val="3"/>
          <w:sz w:val="31"/>
          <w:u w:val="single"/>
        </w:rPr>
        <w:t xml:space="preserve">   </w:t>
      </w:r>
    </w:p>
    <w:p w14:paraId="3BCA8EF2">
      <w:pPr>
        <w:tabs>
          <w:tab w:val="left" w:pos="3169"/>
          <w:tab w:val="left" w:pos="3329"/>
          <w:tab w:val="left" w:pos="7809"/>
          <w:tab w:val="clear" w:pos="426"/>
        </w:tabs>
        <w:spacing w:line="324" w:lineRule="auto"/>
        <w:ind w:left="769" w:right="1052"/>
        <w:rPr>
          <w:rFonts w:hint="default" w:ascii="黑体" w:hAnsi="黑体" w:eastAsia="黑体"/>
          <w:b/>
          <w:sz w:val="31"/>
          <w:lang w:val="en-US" w:eastAsia="zh-CN"/>
        </w:rPr>
      </w:pPr>
      <w:r>
        <w:rPr>
          <w:rFonts w:hint="eastAsia" w:ascii="黑体" w:hAnsi="黑体" w:eastAsia="黑体"/>
          <w:b/>
          <w:spacing w:val="3"/>
          <w:sz w:val="31"/>
        </w:rPr>
        <w:t>乙方：</w:t>
      </w:r>
      <w:r>
        <w:rPr>
          <w:rFonts w:hint="eastAsia" w:ascii="黑体" w:hAnsi="黑体" w:eastAsia="黑体"/>
          <w:b/>
          <w:spacing w:val="3"/>
          <w:sz w:val="31"/>
          <w:u w:val="single"/>
        </w:rPr>
        <w:t xml:space="preserve"> </w:t>
      </w:r>
      <w:r>
        <w:rPr>
          <w:rFonts w:hint="eastAsia" w:ascii="黑体" w:hAnsi="黑体" w:eastAsia="黑体"/>
          <w:b/>
          <w:spacing w:val="3"/>
          <w:sz w:val="31"/>
          <w:u w:val="single"/>
        </w:rPr>
        <w:tab/>
      </w:r>
      <w:r>
        <w:rPr>
          <w:rFonts w:hint="eastAsia" w:ascii="黑体" w:hAnsi="黑体" w:eastAsia="黑体"/>
          <w:b/>
          <w:spacing w:val="3"/>
          <w:sz w:val="31"/>
          <w:u w:val="single"/>
        </w:rPr>
        <w:tab/>
      </w:r>
      <w:r>
        <w:rPr>
          <w:rFonts w:hint="eastAsia" w:ascii="黑体" w:hAnsi="黑体" w:eastAsia="黑体"/>
          <w:b/>
          <w:spacing w:val="3"/>
          <w:sz w:val="31"/>
          <w:u w:val="single"/>
          <w:lang w:val="en-US" w:eastAsia="zh-CN"/>
        </w:rPr>
        <w:t xml:space="preserve">                  </w:t>
      </w:r>
    </w:p>
    <w:p w14:paraId="59E590BB">
      <w:pPr>
        <w:spacing w:line="324" w:lineRule="auto"/>
        <w:rPr>
          <w:rFonts w:ascii="仿宋" w:hAnsi="仿宋" w:eastAsia="仿宋"/>
          <w:sz w:val="31"/>
        </w:rPr>
        <w:sectPr>
          <w:footerReference r:id="rId6" w:type="default"/>
          <w:pgSz w:w="11910" w:h="16840"/>
          <w:pgMar w:top="1540" w:right="1360" w:bottom="280" w:left="1680" w:header="720" w:footer="720" w:gutter="0"/>
          <w:pgBorders>
            <w:top w:val="none" w:sz="0" w:space="0"/>
            <w:left w:val="none" w:sz="0" w:space="0"/>
            <w:bottom w:val="none" w:sz="0" w:space="0"/>
            <w:right w:val="none" w:sz="0" w:space="0"/>
          </w:pgBorders>
          <w:pgNumType w:fmt="decimal" w:start="1"/>
          <w:cols w:space="720" w:num="1"/>
        </w:sectPr>
      </w:pPr>
    </w:p>
    <w:p w14:paraId="4376C21D">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甲 方</w:t>
      </w:r>
      <w:r>
        <w:rPr>
          <w:rFonts w:hint="eastAsia" w:ascii="宋体" w:hAnsi="宋体" w:eastAsia="宋体" w:cs="宋体"/>
          <w:color w:val="auto"/>
          <w:kern w:val="0"/>
          <w:sz w:val="21"/>
          <w:szCs w:val="21"/>
          <w:lang w:bidi="ar"/>
        </w:rPr>
        <w:t>（采购人）</w:t>
      </w:r>
      <w:r>
        <w:rPr>
          <w:rFonts w:hint="eastAsia" w:ascii="宋体" w:hAnsi="宋体" w:eastAsia="宋体" w:cs="宋体"/>
          <w:b/>
          <w:bCs/>
          <w:color w:val="auto"/>
          <w:kern w:val="0"/>
          <w:sz w:val="21"/>
          <w:szCs w:val="21"/>
          <w:lang w:bidi="ar"/>
        </w:rPr>
        <w:t>：</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2E8FE7C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法定代表人：</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0A85BB0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地 址：</w:t>
      </w:r>
      <w:r>
        <w:rPr>
          <w:rFonts w:hint="eastAsia" w:ascii="宋体" w:hAnsi="宋体" w:eastAsia="宋体" w:cs="宋体"/>
          <w:b/>
          <w:bCs/>
          <w:color w:val="auto"/>
          <w:kern w:val="0"/>
          <w:sz w:val="21"/>
          <w:szCs w:val="21"/>
          <w:lang w:val="en-US" w:eastAsia="zh-CN" w:bidi="ar"/>
        </w:rPr>
        <w:t xml:space="preserve"> </w:t>
      </w:r>
      <w:r>
        <w:rPr>
          <w:rFonts w:hint="eastAsia" w:ascii="宋体" w:hAnsi="宋体" w:eastAsia="宋体" w:cs="宋体"/>
          <w:b/>
          <w:bCs/>
          <w:color w:val="auto"/>
          <w:kern w:val="0"/>
          <w:sz w:val="21"/>
          <w:szCs w:val="21"/>
          <w:lang w:bidi="ar"/>
        </w:rPr>
        <w:t xml:space="preserve"> </w:t>
      </w:r>
    </w:p>
    <w:p w14:paraId="5BC08C8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联系人： </w:t>
      </w:r>
    </w:p>
    <w:p w14:paraId="55CFF187">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电话： </w:t>
      </w:r>
    </w:p>
    <w:p w14:paraId="270F733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kern w:val="0"/>
          <w:sz w:val="21"/>
          <w:szCs w:val="21"/>
          <w:lang w:bidi="ar"/>
        </w:rPr>
      </w:pPr>
    </w:p>
    <w:p w14:paraId="5A09C852">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乙 方</w:t>
      </w:r>
      <w:r>
        <w:rPr>
          <w:rFonts w:hint="eastAsia" w:ascii="宋体" w:hAnsi="宋体" w:eastAsia="宋体" w:cs="宋体"/>
          <w:color w:val="auto"/>
          <w:kern w:val="0"/>
          <w:sz w:val="21"/>
          <w:szCs w:val="21"/>
          <w:lang w:bidi="ar"/>
        </w:rPr>
        <w:t>（成交人）</w:t>
      </w:r>
      <w:r>
        <w:rPr>
          <w:rFonts w:hint="eastAsia" w:ascii="宋体" w:hAnsi="宋体" w:eastAsia="宋体" w:cs="宋体"/>
          <w:b/>
          <w:bCs/>
          <w:color w:val="auto"/>
          <w:kern w:val="0"/>
          <w:sz w:val="21"/>
          <w:szCs w:val="21"/>
          <w:lang w:bidi="ar"/>
        </w:rPr>
        <w:t xml:space="preserve">： </w:t>
      </w:r>
    </w:p>
    <w:p w14:paraId="1AC2E25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法定代表人： </w:t>
      </w:r>
    </w:p>
    <w:p w14:paraId="3FC301CE">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地 址： </w:t>
      </w:r>
    </w:p>
    <w:p w14:paraId="583FDBE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联系人： </w:t>
      </w:r>
    </w:p>
    <w:p w14:paraId="4D80420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电话： </w:t>
      </w:r>
    </w:p>
    <w:p w14:paraId="4EA3782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根据</w:t>
      </w:r>
      <w:r>
        <w:rPr>
          <w:rFonts w:hint="eastAsia" w:hAnsi="宋体" w:cs="宋体"/>
          <w:color w:val="auto"/>
          <w:kern w:val="0"/>
          <w:sz w:val="21"/>
          <w:szCs w:val="21"/>
          <w:lang w:eastAsia="zh-CN" w:bidi="ar"/>
        </w:rPr>
        <w:t>广东省深圳市消防救援支队大亚湾特勤大队2024年食材配送服务采购项目</w:t>
      </w:r>
      <w:r>
        <w:rPr>
          <w:rFonts w:hint="eastAsia" w:ascii="宋体" w:hAnsi="宋体" w:eastAsia="宋体" w:cs="宋体"/>
          <w:color w:val="auto"/>
          <w:kern w:val="0"/>
          <w:sz w:val="21"/>
          <w:szCs w:val="21"/>
          <w:lang w:bidi="ar"/>
        </w:rPr>
        <w:t>（项目编号：</w:t>
      </w:r>
      <w:r>
        <w:rPr>
          <w:rFonts w:hint="eastAsia" w:ascii="宋体" w:hAnsi="宋体" w:eastAsia="宋体" w:cs="宋体"/>
          <w:color w:val="auto"/>
          <w:kern w:val="0"/>
          <w:sz w:val="21"/>
          <w:szCs w:val="21"/>
          <w:lang w:val="en-US" w:eastAsia="zh-CN" w:bidi="ar"/>
        </w:rPr>
        <w:t xml:space="preserve">   </w:t>
      </w:r>
      <w:r>
        <w:rPr>
          <w:rFonts w:hint="eastAsia" w:ascii="宋体" w:hAnsi="宋体" w:eastAsia="宋体" w:cs="宋体"/>
          <w:color w:val="auto"/>
          <w:kern w:val="0"/>
          <w:sz w:val="21"/>
          <w:szCs w:val="21"/>
          <w:lang w:bidi="ar"/>
        </w:rPr>
        <w:t>）的采购结果，按照《中华人民共和国政府采购法》及其实施条例、《中华人民共和国</w:t>
      </w:r>
      <w:r>
        <w:rPr>
          <w:rFonts w:hint="eastAsia" w:ascii="宋体" w:hAnsi="宋体" w:eastAsia="宋体" w:cs="宋体"/>
          <w:color w:val="auto"/>
          <w:kern w:val="0"/>
          <w:sz w:val="21"/>
          <w:szCs w:val="21"/>
          <w:lang w:eastAsia="zh-Hans" w:bidi="ar"/>
        </w:rPr>
        <w:t>民法典</w:t>
      </w:r>
      <w:r>
        <w:rPr>
          <w:rFonts w:hint="eastAsia" w:ascii="宋体" w:hAnsi="宋体" w:eastAsia="宋体" w:cs="宋体"/>
          <w:color w:val="auto"/>
          <w:kern w:val="0"/>
          <w:sz w:val="21"/>
          <w:szCs w:val="21"/>
          <w:lang w:bidi="ar"/>
        </w:rPr>
        <w:t>》的规定，经双方协商，本着平等互利和诚实信用的原则，一致同意签订本合同如下。</w:t>
      </w:r>
    </w:p>
    <w:p w14:paraId="69D828C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b/>
          <w:bCs/>
          <w:color w:val="auto"/>
          <w:kern w:val="0"/>
          <w:sz w:val="21"/>
          <w:szCs w:val="21"/>
          <w:lang w:bidi="ar"/>
        </w:rPr>
      </w:pPr>
    </w:p>
    <w:p w14:paraId="0FE83E56">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一、项目基本情况 </w:t>
      </w:r>
    </w:p>
    <w:p w14:paraId="5D20E1A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2"/>
          <w:sz w:val="21"/>
          <w:szCs w:val="21"/>
          <w:u w:val="single"/>
          <w:lang w:val="en-US" w:eastAsia="zh-CN" w:bidi="ar-SA"/>
        </w:rPr>
      </w:pPr>
      <w:r>
        <w:rPr>
          <w:rFonts w:hint="eastAsia" w:ascii="宋体" w:hAnsi="宋体" w:eastAsia="宋体" w:cs="宋体"/>
          <w:color w:val="auto"/>
          <w:kern w:val="0"/>
          <w:sz w:val="21"/>
          <w:szCs w:val="21"/>
          <w:lang w:bidi="ar"/>
        </w:rPr>
        <w:t>1. 项目名称：</w:t>
      </w:r>
      <w:r>
        <w:rPr>
          <w:rFonts w:hint="eastAsia" w:hAnsi="宋体" w:cs="宋体"/>
          <w:color w:val="auto"/>
          <w:kern w:val="2"/>
          <w:sz w:val="21"/>
          <w:szCs w:val="21"/>
          <w:u w:val="single"/>
          <w:lang w:val="en-US" w:eastAsia="zh-CN" w:bidi="ar-SA"/>
        </w:rPr>
        <w:t>广东省深圳市消防救援支队大亚湾特勤大队2024年食材配送服务采购项目</w:t>
      </w:r>
    </w:p>
    <w:p w14:paraId="0E7B007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bidi="ar"/>
        </w:rPr>
        <w:t xml:space="preserve">2. 项目类型： </w:t>
      </w:r>
      <w:r>
        <w:rPr>
          <w:rFonts w:hint="eastAsia" w:ascii="宋体" w:hAnsi="宋体" w:eastAsia="宋体" w:cs="宋体"/>
          <w:color w:val="auto"/>
          <w:kern w:val="0"/>
          <w:sz w:val="21"/>
          <w:szCs w:val="21"/>
          <w:lang w:eastAsia="zh-CN" w:bidi="ar"/>
        </w:rPr>
        <w:t>服务类</w:t>
      </w:r>
    </w:p>
    <w:p w14:paraId="491DCC1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 项目服务地点：广东省 </w:t>
      </w:r>
    </w:p>
    <w:p w14:paraId="0FC70EFA">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二、项目服务期 </w:t>
      </w:r>
    </w:p>
    <w:p w14:paraId="7CCDF45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本项目的服务期为</w:t>
      </w:r>
      <w:r>
        <w:rPr>
          <w:rFonts w:hint="eastAsia" w:ascii="宋体" w:hAnsi="宋体" w:eastAsia="宋体" w:cs="宋体"/>
          <w:color w:val="auto"/>
          <w:kern w:val="0"/>
          <w:sz w:val="21"/>
          <w:szCs w:val="21"/>
          <w:lang w:val="en-US" w:eastAsia="zh-CN" w:bidi="ar"/>
        </w:rPr>
        <w:t>一年</w:t>
      </w:r>
      <w:r>
        <w:rPr>
          <w:rFonts w:hint="eastAsia" w:ascii="宋体" w:hAnsi="宋体" w:eastAsia="宋体" w:cs="宋体"/>
          <w:color w:val="auto"/>
          <w:kern w:val="0"/>
          <w:sz w:val="21"/>
          <w:szCs w:val="21"/>
          <w:lang w:bidi="ar"/>
        </w:rPr>
        <w:t xml:space="preserve">，自_____年_____月_____日起至_____年_____月_____日止。 </w:t>
      </w:r>
    </w:p>
    <w:p w14:paraId="3B753CF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三、合同价格 </w:t>
      </w:r>
    </w:p>
    <w:p w14:paraId="5AE2B17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本合同总价（含税价格）：大写 人民币 元 (¥ 元)。 </w:t>
      </w:r>
    </w:p>
    <w:p w14:paraId="78E9A10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本合同总价包括了人员薪酬待遇、咨询、税费（包括关税、增值税）、保险费、场地管理费、服务资料费、项目管理、水电费等的全部费用。未经甲方书面同意，乙方不得就本合同的履行另行收取其他费用。</w:t>
      </w:r>
    </w:p>
    <w:p w14:paraId="43D5F784">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四、项目服务</w:t>
      </w:r>
      <w:r>
        <w:rPr>
          <w:rFonts w:hint="eastAsia" w:ascii="宋体" w:hAnsi="宋体" w:eastAsia="宋体" w:cs="宋体"/>
          <w:b/>
          <w:bCs/>
          <w:color w:val="auto"/>
          <w:kern w:val="0"/>
          <w:sz w:val="21"/>
          <w:szCs w:val="21"/>
          <w:lang w:eastAsia="zh-Hans" w:bidi="ar"/>
        </w:rPr>
        <w:t>内容及</w:t>
      </w:r>
      <w:r>
        <w:rPr>
          <w:rFonts w:hint="eastAsia" w:ascii="宋体" w:hAnsi="宋体" w:eastAsia="宋体" w:cs="宋体"/>
          <w:b/>
          <w:bCs/>
          <w:color w:val="auto"/>
          <w:kern w:val="0"/>
          <w:sz w:val="21"/>
          <w:szCs w:val="21"/>
          <w:lang w:bidi="ar"/>
        </w:rPr>
        <w:t xml:space="preserve">要求 </w:t>
      </w:r>
    </w:p>
    <w:p w14:paraId="4E07296E">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1.订单确认</w:t>
      </w:r>
    </w:p>
    <w:p w14:paraId="71B452A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（1）中标人向采购人提供食材配送服务，应负责采购、配送每日食堂所需物资，物资品种包括且不限于蔬菜类、鲜肉类、水产类、冻品、水果、粮油、副食、干货、杂货、调配料等。</w:t>
      </w:r>
    </w:p>
    <w:p w14:paraId="1BDAA676">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（2）采购人应根据实际需要提前一日向中标人以传真或电子文件等书面方式提交采购清单，明确采购品种、数量及其它配送事项，中标人应依照采购清单内容进行采购和配送。</w:t>
      </w:r>
    </w:p>
    <w:p w14:paraId="5977D74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2.配送要求</w:t>
      </w:r>
    </w:p>
    <w:p w14:paraId="7E9D2C66">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（1）配送时间：于每日早上六点前将配送物资配送至指定地点。</w:t>
      </w:r>
    </w:p>
    <w:p w14:paraId="2EED2AB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（2）配送地点：</w:t>
      </w:r>
    </w:p>
    <w:p w14:paraId="40E8841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①大亚湾特勤一站食堂（深圳市大鹏新区葵鹏路38号）；</w:t>
      </w:r>
    </w:p>
    <w:p w14:paraId="42993D28">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②大亚湾特勤二站食堂（深圳市坪山区东纵路43号）。</w:t>
      </w:r>
    </w:p>
    <w:p w14:paraId="491DD1E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3）配送数量:中标人应依照采购清单进行配送，并保证品种、数量和重量的准确性。若采购人在验收时发现中标人配送的商品数量超出的，则采购人有权拒收超出的部分；发现缺斤少两的，采购人有权要求中标人立即补足，因此所产生的费用由中标人自行承担。 </w:t>
      </w:r>
    </w:p>
    <w:p w14:paraId="652A39DE">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中标人每次随货送上壹式贰份的配送清单，供采购人验收后签字确认，双方各持一份，作为配送凭证和结算凭证。若中标人配送的物资存在不合格、损坏或超出的部分，采购人有权仅签收符合本合同约定的商品，并在配送清单上注明。若中标人拒绝在配送清单上签字的，采购人单方签署的配送清单仍可作为依据和凭证。</w:t>
      </w:r>
    </w:p>
    <w:p w14:paraId="448C799B">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3.配送及验收方式</w:t>
      </w:r>
    </w:p>
    <w:p w14:paraId="1FADB49A">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（1）检验流程</w:t>
      </w:r>
    </w:p>
    <w:p w14:paraId="71749DA3">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是要作好卸货前的检查。卸货前采购人应准备好验收场地和设备，并对商品的外观质量进行初步检查。二是应采取当场验收的方式，采购人每日须按“核证→过磅→抽检→入库→签单”的程序完成验收，其中抽检样本数一般不超过10%。</w:t>
      </w:r>
    </w:p>
    <w:p w14:paraId="4B2C38C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采购人应比较相关规定，确保食品质量符合要求。如确定有所差异或配送的物资存在损坏、腐烂等情况的，采购人应即刻通知中标人且有权拒收不合格的物资，采购人应在相关配送清单上记录所有损坏、腐烂情况并拍照存档，经中标人核对后双方须在配送清单上签字确认，若中标人无正当理由拒绝签字确认的，采购人单方签字确认的单据亦可作为有效凭证。</w:t>
      </w:r>
    </w:p>
    <w:p w14:paraId="626258F8">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（3）退（补）货流程</w:t>
      </w:r>
    </w:p>
    <w:p w14:paraId="4D8FAC5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不符合采购要求的食品，采购人有权要求退货，退货前应实行留底备案。如双方对质量争议可送国家质监部门检测，因此所产生的费用由责任方承担。对存在缺斤少两的物资，中标人应按照采购人要求进行补足，若采购人不要求补足的，则结算时应按实际重量核算。出现退（补）货情况，应及时报告。在退货过程中，对有碍公共卫生安全的蔬菜，应按国家有关规定处理或进行而无需退还给中标人，对此中标人不得持有任何异议，且对于该部分物资采购人无需向中标人支付任何费用。</w:t>
      </w:r>
    </w:p>
    <w:p w14:paraId="03E649CA">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（4）验收记录</w:t>
      </w:r>
    </w:p>
    <w:p w14:paraId="0364B5EA">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中标人应保证所供物资品种、数量和重量的准确性，采购人和中标人应分别建立采购和供应台账，确定专人（不少于两人）负责验收和配送，以采购人的验收数量为准，中标人每次随货送上壹式贰份的配送清单，供采购人验收后签字确认，双方各持一份，作为配送凭证和结算凭证。对于出现质量、数量不符合要求等现象，采购人有权要求中标人及时退换，并按合同约定作出相应处罚，中标人必须无条件退换，如中标人未能按时交货的，采购人有权向第三方另行采购，并由中标人承担相应的违约责任并向采购人赔偿因此产生的一切损失和费用（包括直接经济损失和间接经济损失）。</w:t>
      </w:r>
    </w:p>
    <w:p w14:paraId="554061B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五</w:t>
      </w:r>
      <w:r>
        <w:rPr>
          <w:rFonts w:hint="eastAsia" w:ascii="宋体" w:hAnsi="宋体" w:eastAsia="宋体" w:cs="宋体"/>
          <w:b/>
          <w:bCs/>
          <w:color w:val="auto"/>
          <w:kern w:val="0"/>
          <w:sz w:val="21"/>
          <w:szCs w:val="21"/>
          <w:lang w:bidi="ar"/>
        </w:rPr>
        <w:t xml:space="preserve">、双方的权利义务 </w:t>
      </w:r>
    </w:p>
    <w:p w14:paraId="7A22357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乙方应在签订本合同当日，细分工作内容并和甲方严格确定项目的实施范围，如有变动需征求甲方的意见，并获得甲方的书面许可。 </w:t>
      </w:r>
    </w:p>
    <w:p w14:paraId="354C154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甲方审核乙方提出的服务年度计划，由甲方进行监督实施并验收。 </w:t>
      </w:r>
    </w:p>
    <w:p w14:paraId="7A56AE0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甲方有权对不履行合同或违反甲方管理规定的乙方人员提出警告，并要求乙方更换服务态度差、仪表差、工作差的管理人员、服务人员，乙方保证无条件予以更换，并承担一切责任及赔偿</w:t>
      </w:r>
      <w:r>
        <w:rPr>
          <w:rFonts w:hint="eastAsia" w:ascii="宋体" w:hAnsi="宋体" w:eastAsia="宋体" w:cs="宋体"/>
          <w:color w:val="auto"/>
          <w:kern w:val="0"/>
          <w:sz w:val="21"/>
          <w:szCs w:val="21"/>
          <w:lang w:eastAsia="zh-Hans" w:bidi="ar"/>
        </w:rPr>
        <w:t>甲方损失</w:t>
      </w:r>
      <w:r>
        <w:rPr>
          <w:rFonts w:hint="eastAsia" w:ascii="宋体" w:hAnsi="宋体" w:eastAsia="宋体" w:cs="宋体"/>
          <w:color w:val="auto"/>
          <w:kern w:val="0"/>
          <w:sz w:val="21"/>
          <w:szCs w:val="21"/>
          <w:lang w:bidi="ar"/>
        </w:rPr>
        <w:t xml:space="preserve">。 </w:t>
      </w:r>
    </w:p>
    <w:p w14:paraId="451B7FE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4. 乙方须每季度向甲方提交服务记录、情况汇报等材料，以供甲方审阅，并作为对乙方服务质量评估的依据。 </w:t>
      </w:r>
    </w:p>
    <w:p w14:paraId="20E0E803">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5. 甲方有权对乙方服务进行中期评估及末期评估，评估结果作为结算依据。 </w:t>
      </w:r>
    </w:p>
    <w:p w14:paraId="5C73D42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6. 乙方承诺根据本项目</w:t>
      </w:r>
      <w:r>
        <w:rPr>
          <w:rFonts w:hint="eastAsia" w:ascii="宋体" w:hAnsi="宋体" w:eastAsia="宋体" w:cs="宋体"/>
          <w:color w:val="auto"/>
          <w:kern w:val="0"/>
          <w:sz w:val="21"/>
          <w:szCs w:val="21"/>
          <w:lang w:val="en-US" w:eastAsia="zh-CN" w:bidi="ar"/>
        </w:rPr>
        <w:t>招标</w:t>
      </w:r>
      <w:r>
        <w:rPr>
          <w:rFonts w:hint="eastAsia" w:ascii="宋体" w:hAnsi="宋体" w:eastAsia="宋体" w:cs="宋体"/>
          <w:color w:val="auto"/>
          <w:kern w:val="0"/>
          <w:sz w:val="21"/>
          <w:szCs w:val="21"/>
          <w:lang w:eastAsia="zh-Hans" w:bidi="ar"/>
        </w:rPr>
        <w:t>文件、响应文件、本合同约定内容</w:t>
      </w:r>
      <w:r>
        <w:rPr>
          <w:rFonts w:hint="eastAsia" w:ascii="宋体" w:hAnsi="宋体" w:eastAsia="宋体" w:cs="宋体"/>
          <w:color w:val="auto"/>
          <w:kern w:val="0"/>
          <w:sz w:val="21"/>
          <w:szCs w:val="21"/>
          <w:lang w:bidi="ar"/>
        </w:rPr>
        <w:t xml:space="preserve">及按照甲方要求修改、完善的实施方案的要求提供服务。 </w:t>
      </w:r>
    </w:p>
    <w:p w14:paraId="6E66095D">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六</w:t>
      </w:r>
      <w:r>
        <w:rPr>
          <w:rFonts w:hint="eastAsia" w:ascii="宋体" w:hAnsi="宋体" w:eastAsia="宋体" w:cs="宋体"/>
          <w:b/>
          <w:bCs/>
          <w:color w:val="auto"/>
          <w:kern w:val="0"/>
          <w:sz w:val="21"/>
          <w:szCs w:val="21"/>
          <w:lang w:bidi="ar"/>
        </w:rPr>
        <w:t>、付款方式</w:t>
      </w:r>
    </w:p>
    <w:p w14:paraId="3017847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（1）本项目采取按月据实结算：每月10日前，中标人应向采购人提出付款申请，采购人应于收到请款资料后的20个工作日内完成核验且支付，原则上每月结算金额不得超过项目概算限额的月均金额。 </w:t>
      </w:r>
    </w:p>
    <w:p w14:paraId="1C9EBCA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中标人请款时，必须提供相关的请款资料（含等额发票、每日配送验收单（含品种、数量、金额等）、汇总对账单、付款凭证等采购人所需的相关资料）。因采购人使用的是财政资金，若在规定的付款时间内，采购人向政府支付部门提出办理财政支付申请手续，即视为完成了相应的付款义务，因审批导致支付时间延长的，不视为采购人违约。</w:t>
      </w:r>
    </w:p>
    <w:p w14:paraId="31D5EE0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注：付款时间为甲方向政府采购支付部门提出支付申请的时间，不含政府财政支付部门审查的时间，如因政府财政支付流程导致的支付延期，甲方不承担责任。即甲方在本合同约定时间内提出支付申请，即认为甲方已按约支付。 </w:t>
      </w:r>
    </w:p>
    <w:p w14:paraId="75BF533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2.乙方的银行账户信息： </w:t>
      </w:r>
    </w:p>
    <w:p w14:paraId="1FAA3AF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（1）开户名称：______________________； </w:t>
      </w:r>
    </w:p>
    <w:p w14:paraId="67D90B4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（2）开户银行：______________________； </w:t>
      </w:r>
    </w:p>
    <w:p w14:paraId="126637AA">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（3）开户账号：______________________。 </w:t>
      </w:r>
    </w:p>
    <w:p w14:paraId="4BB9E61B">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乙方每次</w:t>
      </w:r>
      <w:r>
        <w:rPr>
          <w:rFonts w:hint="eastAsia" w:ascii="宋体" w:hAnsi="宋体" w:eastAsia="宋体" w:cs="宋体"/>
          <w:color w:val="auto"/>
          <w:kern w:val="0"/>
          <w:sz w:val="21"/>
          <w:szCs w:val="21"/>
          <w:lang w:eastAsia="zh-Hans" w:bidi="ar"/>
        </w:rPr>
        <w:t>申请付款时</w:t>
      </w:r>
      <w:r>
        <w:rPr>
          <w:rFonts w:hint="eastAsia" w:ascii="宋体" w:hAnsi="宋体" w:eastAsia="宋体" w:cs="宋体"/>
          <w:color w:val="auto"/>
          <w:kern w:val="0"/>
          <w:sz w:val="21"/>
          <w:szCs w:val="21"/>
          <w:lang w:bidi="ar"/>
        </w:rPr>
        <w:t>均应向甲方开具相应金额的发票</w:t>
      </w:r>
      <w:r>
        <w:rPr>
          <w:rFonts w:hint="eastAsia" w:ascii="宋体" w:hAnsi="宋体" w:eastAsia="宋体" w:cs="宋体"/>
          <w:color w:val="auto"/>
          <w:kern w:val="0"/>
          <w:sz w:val="21"/>
          <w:szCs w:val="21"/>
          <w:lang w:eastAsia="zh-Hans" w:bidi="ar"/>
        </w:rPr>
        <w:t>，甲方收到发票后在合同约定的期限内发起支付流程</w:t>
      </w:r>
      <w:r>
        <w:rPr>
          <w:rFonts w:hint="eastAsia" w:ascii="宋体" w:hAnsi="宋体" w:eastAsia="宋体" w:cs="宋体"/>
          <w:color w:val="auto"/>
          <w:kern w:val="0"/>
          <w:sz w:val="21"/>
          <w:szCs w:val="21"/>
          <w:lang w:bidi="ar"/>
        </w:rPr>
        <w:t xml:space="preserve">。 </w:t>
      </w:r>
    </w:p>
    <w:p w14:paraId="7ACE99FD">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七</w:t>
      </w:r>
      <w:r>
        <w:rPr>
          <w:rFonts w:hint="eastAsia" w:ascii="宋体" w:hAnsi="宋体" w:eastAsia="宋体" w:cs="宋体"/>
          <w:b/>
          <w:bCs/>
          <w:color w:val="auto"/>
          <w:kern w:val="0"/>
          <w:sz w:val="21"/>
          <w:szCs w:val="21"/>
          <w:lang w:bidi="ar"/>
        </w:rPr>
        <w:t xml:space="preserve">、知识产权产权归属 </w:t>
      </w:r>
    </w:p>
    <w:p w14:paraId="08E93F2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甲方对本项目的</w:t>
      </w:r>
      <w:r>
        <w:rPr>
          <w:rFonts w:hint="eastAsia" w:ascii="宋体" w:hAnsi="宋体" w:eastAsia="宋体" w:cs="宋体"/>
          <w:color w:val="auto"/>
          <w:kern w:val="0"/>
          <w:sz w:val="21"/>
          <w:szCs w:val="21"/>
          <w:lang w:eastAsia="zh-Hans" w:bidi="ar"/>
        </w:rPr>
        <w:t>遴选</w:t>
      </w:r>
      <w:r>
        <w:rPr>
          <w:rFonts w:hint="eastAsia" w:ascii="宋体" w:hAnsi="宋体" w:eastAsia="宋体" w:cs="宋体"/>
          <w:color w:val="auto"/>
          <w:kern w:val="0"/>
          <w:sz w:val="21"/>
          <w:szCs w:val="21"/>
          <w:lang w:bidi="ar"/>
        </w:rPr>
        <w:t>文件、实施方案、</w:t>
      </w:r>
      <w:r>
        <w:rPr>
          <w:rFonts w:hint="eastAsia" w:ascii="宋体" w:hAnsi="宋体" w:eastAsia="宋体" w:cs="宋体"/>
          <w:color w:val="auto"/>
          <w:kern w:val="0"/>
          <w:sz w:val="21"/>
          <w:szCs w:val="21"/>
          <w:lang w:eastAsia="zh-Hans" w:bidi="ar"/>
        </w:rPr>
        <w:t>履行本合同所形成的一切工作成果、</w:t>
      </w:r>
      <w:r>
        <w:rPr>
          <w:rFonts w:hint="eastAsia" w:ascii="宋体" w:hAnsi="宋体" w:eastAsia="宋体" w:cs="宋体"/>
          <w:color w:val="auto"/>
          <w:kern w:val="0"/>
          <w:sz w:val="21"/>
          <w:szCs w:val="21"/>
          <w:lang w:bidi="ar"/>
        </w:rPr>
        <w:t xml:space="preserve">刊物上发表与消防救援有关的“课题调研或经验”等项目成果享有知识产权。未经甲方书面同意，乙方不得将本项目成果以任何方式披露给任何第三方，或使用于其他项目。 </w:t>
      </w:r>
    </w:p>
    <w:p w14:paraId="4D7241B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乙方保证，甲方在享受乙方提供的服务的全部或任何一部分时，免受任何第三方提出侵犯其知识产权或其他合法权利的投诉或起诉。否则，乙方应承担一切责任，并赔偿甲方因此遭受的一切损失（包括但不限于索赔、律师费、采取补救措施的费用等）。 </w:t>
      </w:r>
    </w:p>
    <w:p w14:paraId="69B6C3C1">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八</w:t>
      </w:r>
      <w:r>
        <w:rPr>
          <w:rFonts w:hint="eastAsia" w:ascii="宋体" w:hAnsi="宋体" w:eastAsia="宋体" w:cs="宋体"/>
          <w:b/>
          <w:bCs/>
          <w:color w:val="auto"/>
          <w:kern w:val="0"/>
          <w:sz w:val="21"/>
          <w:szCs w:val="21"/>
          <w:lang w:bidi="ar"/>
        </w:rPr>
        <w:t xml:space="preserve">、培训、讲座 </w:t>
      </w:r>
    </w:p>
    <w:p w14:paraId="21149E9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乙方应于签订本合同之日起一个月内将详细的培训/讲座课程以及时间表交给甲方，最后以甲方认可为准。 </w:t>
      </w:r>
    </w:p>
    <w:p w14:paraId="6409CCB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对于所有培训、讲座，乙方必须派出具有相应专业资格、实际工作经验的讲师进行培训及讲座，培训所使用的语言必须是中文。 </w:t>
      </w:r>
    </w:p>
    <w:p w14:paraId="27F47B81">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3. 乙方负责提供培训教材和实际的操作实验环境。 </w:t>
      </w:r>
    </w:p>
    <w:p w14:paraId="7DA97F51">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eastAsia="zh-CN" w:bidi="ar"/>
        </w:rPr>
        <w:t>九</w:t>
      </w:r>
      <w:r>
        <w:rPr>
          <w:rFonts w:hint="eastAsia" w:ascii="宋体" w:hAnsi="宋体" w:eastAsia="宋体" w:cs="宋体"/>
          <w:b/>
          <w:bCs/>
          <w:color w:val="auto"/>
          <w:kern w:val="0"/>
          <w:sz w:val="21"/>
          <w:szCs w:val="21"/>
          <w:lang w:bidi="ar"/>
        </w:rPr>
        <w:t xml:space="preserve">、保密条款 </w:t>
      </w:r>
    </w:p>
    <w:p w14:paraId="5D14F5C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甲、乙双方应永久恪守因签署或履行本合同而获知的对方秘密信息及其它秘密资料（包括但不限于乙方获知的</w:t>
      </w:r>
      <w:r>
        <w:rPr>
          <w:rFonts w:hint="eastAsia" w:ascii="宋体" w:hAnsi="宋体" w:eastAsia="宋体" w:cs="宋体"/>
          <w:color w:val="auto"/>
          <w:kern w:val="0"/>
          <w:sz w:val="21"/>
          <w:szCs w:val="21"/>
          <w:lang w:eastAsia="zh-Hans" w:bidi="ar"/>
        </w:rPr>
        <w:t>甲方单位</w:t>
      </w:r>
      <w:r>
        <w:rPr>
          <w:rFonts w:hint="eastAsia" w:ascii="宋体" w:hAnsi="宋体" w:eastAsia="宋体" w:cs="宋体"/>
          <w:color w:val="auto"/>
          <w:kern w:val="0"/>
          <w:sz w:val="21"/>
          <w:szCs w:val="21"/>
          <w:lang w:bidi="ar"/>
        </w:rPr>
        <w:t>、职工的任何商业秘密、个人隐私），特别是国家安全秘密</w:t>
      </w:r>
      <w:r>
        <w:rPr>
          <w:rFonts w:hint="eastAsia" w:ascii="宋体" w:hAnsi="宋体" w:eastAsia="宋体" w:cs="宋体"/>
          <w:color w:val="auto"/>
          <w:kern w:val="0"/>
          <w:sz w:val="21"/>
          <w:szCs w:val="21"/>
          <w:lang w:eastAsia="zh-Hans" w:bidi="ar"/>
        </w:rPr>
        <w:t>和政府信息数据等</w:t>
      </w:r>
      <w:r>
        <w:rPr>
          <w:rFonts w:hint="eastAsia" w:ascii="宋体" w:hAnsi="宋体" w:eastAsia="宋体" w:cs="宋体"/>
          <w:color w:val="auto"/>
          <w:kern w:val="0"/>
          <w:sz w:val="21"/>
          <w:szCs w:val="21"/>
          <w:lang w:bidi="ar"/>
        </w:rPr>
        <w:t xml:space="preserve">。 </w:t>
      </w:r>
    </w:p>
    <w:p w14:paraId="3B6A25F9">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任何一方如将获知的对方秘密信息泄露给第三方，应承担一切责任，并赔偿因泄密而给对方造成的一切损失并承担相应的法律责任（包括刑事责任）。 </w:t>
      </w:r>
    </w:p>
    <w:p w14:paraId="1AB28366">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 xml:space="preserve">十、违约责任与赔偿损失 </w:t>
      </w:r>
    </w:p>
    <w:p w14:paraId="776E049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1. 如乙方未按本合同及其附件的约定时间提供项目服务的，每项服务每逾期 1 次，乙方每天应向甲方支付本合同总价</w:t>
      </w:r>
      <w:r>
        <w:rPr>
          <w:rFonts w:hint="eastAsia" w:ascii="宋体" w:hAnsi="宋体" w:eastAsia="宋体" w:cs="宋体"/>
          <w:color w:val="auto"/>
          <w:kern w:val="0"/>
          <w:sz w:val="21"/>
          <w:szCs w:val="21"/>
          <w:lang w:eastAsia="zh-Hans" w:bidi="ar"/>
        </w:rPr>
        <w:t>千</w:t>
      </w:r>
      <w:r>
        <w:rPr>
          <w:rFonts w:hint="eastAsia" w:ascii="宋体" w:hAnsi="宋体" w:eastAsia="宋体" w:cs="宋体"/>
          <w:color w:val="auto"/>
          <w:kern w:val="0"/>
          <w:sz w:val="21"/>
          <w:szCs w:val="21"/>
          <w:lang w:bidi="ar"/>
        </w:rPr>
        <w:t xml:space="preserve">分之五的违约金；累计逾期 5 次的，甲方有权单方解除本合同，乙方除应向甲方支付此前的逾期违约金外，还应向甲方支付合同总价 20%的赔偿。 </w:t>
      </w:r>
    </w:p>
    <w:p w14:paraId="69252A28">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如乙方未按本合同及其附件的约定时间向甲方提交服务记录、情况汇报的，每违反 1 次，乙方应向甲方支付本合同总价</w:t>
      </w:r>
      <w:r>
        <w:rPr>
          <w:rFonts w:hint="eastAsia" w:ascii="宋体" w:hAnsi="宋体" w:eastAsia="宋体" w:cs="宋体"/>
          <w:color w:val="auto"/>
          <w:kern w:val="0"/>
          <w:sz w:val="21"/>
          <w:szCs w:val="21"/>
          <w:lang w:eastAsia="zh-Hans" w:bidi="ar"/>
        </w:rPr>
        <w:t>百</w:t>
      </w:r>
      <w:r>
        <w:rPr>
          <w:rFonts w:hint="eastAsia" w:ascii="宋体" w:hAnsi="宋体" w:eastAsia="宋体" w:cs="宋体"/>
          <w:color w:val="auto"/>
          <w:kern w:val="0"/>
          <w:sz w:val="21"/>
          <w:szCs w:val="21"/>
          <w:lang w:bidi="ar"/>
        </w:rPr>
        <w:t>分之</w:t>
      </w:r>
      <w:r>
        <w:rPr>
          <w:rFonts w:hint="eastAsia" w:ascii="宋体" w:hAnsi="宋体" w:eastAsia="宋体" w:cs="宋体"/>
          <w:color w:val="auto"/>
          <w:kern w:val="0"/>
          <w:sz w:val="21"/>
          <w:szCs w:val="21"/>
          <w:lang w:eastAsia="zh-Hans" w:bidi="ar"/>
        </w:rPr>
        <w:t>三</w:t>
      </w:r>
      <w:r>
        <w:rPr>
          <w:rFonts w:hint="eastAsia" w:ascii="宋体" w:hAnsi="宋体" w:eastAsia="宋体" w:cs="宋体"/>
          <w:color w:val="auto"/>
          <w:kern w:val="0"/>
          <w:sz w:val="21"/>
          <w:szCs w:val="21"/>
          <w:lang w:bidi="ar"/>
        </w:rPr>
        <w:t>的违约金；因乙方前述行为，导致甲方无法进行</w:t>
      </w:r>
      <w:r>
        <w:rPr>
          <w:rFonts w:hint="eastAsia" w:ascii="宋体" w:hAnsi="宋体" w:eastAsia="宋体" w:cs="宋体"/>
          <w:color w:val="auto"/>
          <w:kern w:val="0"/>
          <w:sz w:val="21"/>
          <w:szCs w:val="21"/>
          <w:lang w:eastAsia="zh-CN" w:bidi="ar"/>
        </w:rPr>
        <w:t>履约评价的</w:t>
      </w:r>
      <w:r>
        <w:rPr>
          <w:rFonts w:hint="eastAsia" w:ascii="宋体" w:hAnsi="宋体" w:eastAsia="宋体" w:cs="宋体"/>
          <w:color w:val="auto"/>
          <w:kern w:val="0"/>
          <w:sz w:val="21"/>
          <w:szCs w:val="21"/>
          <w:lang w:bidi="ar"/>
        </w:rPr>
        <w:t xml:space="preserve">，甲方有权拒绝支付相应的合同款项。 </w:t>
      </w:r>
    </w:p>
    <w:p w14:paraId="0938FF95">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如乙方提供的项目服务不符合</w:t>
      </w:r>
      <w:r>
        <w:rPr>
          <w:rFonts w:hint="eastAsia" w:ascii="宋体" w:hAnsi="宋体" w:eastAsia="宋体" w:cs="宋体"/>
          <w:color w:val="auto"/>
          <w:kern w:val="0"/>
          <w:sz w:val="21"/>
          <w:szCs w:val="21"/>
          <w:lang w:val="en-US" w:eastAsia="zh-CN" w:bidi="ar"/>
        </w:rPr>
        <w:t>招标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eastAsia="zh-CN" w:bidi="ar"/>
        </w:rPr>
        <w:t>投标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bidi="ar"/>
        </w:rPr>
        <w:t>本合同、附件约定或甲方要求的，乙方应无条件按照甲方要求进行整改，且每违反 1 次，乙方应向甲方支付合同总价</w:t>
      </w:r>
      <w:r>
        <w:rPr>
          <w:rFonts w:hint="eastAsia" w:ascii="宋体" w:hAnsi="宋体" w:eastAsia="宋体" w:cs="宋体"/>
          <w:color w:val="auto"/>
          <w:kern w:val="0"/>
          <w:sz w:val="21"/>
          <w:szCs w:val="21"/>
          <w:lang w:eastAsia="zh-Hans" w:bidi="ar"/>
        </w:rPr>
        <w:t>百</w:t>
      </w:r>
      <w:r>
        <w:rPr>
          <w:rFonts w:hint="eastAsia" w:ascii="宋体" w:hAnsi="宋体" w:eastAsia="宋体" w:cs="宋体"/>
          <w:color w:val="auto"/>
          <w:kern w:val="0"/>
          <w:sz w:val="21"/>
          <w:szCs w:val="21"/>
          <w:lang w:bidi="ar"/>
        </w:rPr>
        <w:t>分之</w:t>
      </w:r>
      <w:r>
        <w:rPr>
          <w:rFonts w:hint="eastAsia" w:ascii="宋体" w:hAnsi="宋体" w:eastAsia="宋体" w:cs="宋体"/>
          <w:color w:val="auto"/>
          <w:kern w:val="0"/>
          <w:sz w:val="21"/>
          <w:szCs w:val="21"/>
          <w:lang w:eastAsia="zh-Hans" w:bidi="ar"/>
        </w:rPr>
        <w:t>三</w:t>
      </w:r>
      <w:r>
        <w:rPr>
          <w:rFonts w:hint="eastAsia" w:ascii="宋体" w:hAnsi="宋体" w:eastAsia="宋体" w:cs="宋体"/>
          <w:color w:val="auto"/>
          <w:kern w:val="0"/>
          <w:sz w:val="21"/>
          <w:szCs w:val="21"/>
          <w:lang w:bidi="ar"/>
        </w:rPr>
        <w:t>的违约金；如乙方累计 5 次或连续 3次拒不整改或整改后仍不符合</w:t>
      </w:r>
      <w:r>
        <w:rPr>
          <w:rFonts w:hint="eastAsia" w:ascii="宋体" w:hAnsi="宋体" w:eastAsia="宋体" w:cs="宋体"/>
          <w:color w:val="auto"/>
          <w:kern w:val="0"/>
          <w:sz w:val="21"/>
          <w:szCs w:val="21"/>
          <w:lang w:eastAsia="zh-CN" w:bidi="ar"/>
        </w:rPr>
        <w:t>招标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eastAsia="zh-CN" w:bidi="ar"/>
        </w:rPr>
        <w:t>投标</w:t>
      </w:r>
      <w:r>
        <w:rPr>
          <w:rFonts w:hint="eastAsia" w:ascii="宋体" w:hAnsi="宋体" w:eastAsia="宋体" w:cs="宋体"/>
          <w:color w:val="auto"/>
          <w:kern w:val="0"/>
          <w:sz w:val="21"/>
          <w:szCs w:val="21"/>
          <w:lang w:eastAsia="zh-Hans" w:bidi="ar"/>
        </w:rPr>
        <w:t>文件、</w:t>
      </w:r>
      <w:r>
        <w:rPr>
          <w:rFonts w:hint="eastAsia" w:ascii="宋体" w:hAnsi="宋体" w:eastAsia="宋体" w:cs="宋体"/>
          <w:color w:val="auto"/>
          <w:kern w:val="0"/>
          <w:sz w:val="21"/>
          <w:szCs w:val="21"/>
          <w:lang w:bidi="ar"/>
        </w:rPr>
        <w:t xml:space="preserve">本合同、附件约定或甲方要求的，甲方有权单方解除本合同，乙方应向甲方支付合同总价 20 %的违约金。 </w:t>
      </w:r>
    </w:p>
    <w:p w14:paraId="2A6B4CE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4. 如甲方无故逾期付款的，经乙方书面催告后 30 日内仍未支付，甲方每天应向乙方按照</w:t>
      </w:r>
      <w:r>
        <w:rPr>
          <w:rFonts w:hint="eastAsia" w:ascii="宋体" w:hAnsi="宋体" w:eastAsia="宋体" w:cs="宋体"/>
          <w:color w:val="auto"/>
          <w:kern w:val="0"/>
          <w:sz w:val="21"/>
          <w:szCs w:val="21"/>
          <w:lang w:eastAsia="zh-Hans" w:bidi="ar"/>
        </w:rPr>
        <w:t>应付未付款项</w:t>
      </w:r>
      <w:r>
        <w:rPr>
          <w:rFonts w:hint="eastAsia" w:ascii="宋体" w:hAnsi="宋体" w:eastAsia="宋体" w:cs="宋体"/>
          <w:color w:val="auto"/>
          <w:kern w:val="0"/>
          <w:sz w:val="21"/>
          <w:szCs w:val="21"/>
          <w:lang w:bidi="ar"/>
        </w:rPr>
        <w:t>的千分之一支付违约金</w:t>
      </w:r>
      <w:r>
        <w:rPr>
          <w:rFonts w:hint="eastAsia" w:ascii="宋体" w:hAnsi="宋体" w:eastAsia="宋体" w:cs="宋体"/>
          <w:color w:val="auto"/>
          <w:kern w:val="0"/>
          <w:sz w:val="21"/>
          <w:szCs w:val="21"/>
          <w:lang w:eastAsia="zh-Hans" w:bidi="ar"/>
        </w:rPr>
        <w:t>，但财政支付导致的付款延迟除外</w:t>
      </w:r>
      <w:r>
        <w:rPr>
          <w:rFonts w:hint="eastAsia" w:ascii="宋体" w:hAnsi="宋体" w:eastAsia="宋体" w:cs="宋体"/>
          <w:color w:val="auto"/>
          <w:kern w:val="0"/>
          <w:sz w:val="21"/>
          <w:szCs w:val="21"/>
          <w:lang w:bidi="ar"/>
        </w:rPr>
        <w:t xml:space="preserve">。 </w:t>
      </w:r>
    </w:p>
    <w:p w14:paraId="3DB35C8F">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5. 任何一方违反本合同约定的保密义务，承担由此引起的责任，违约方应按本合同总价的 20%支付违约金。如该违约金不足以弥补守约方损失的，违约方还应承担守约方因此遭受的一切损失。 </w:t>
      </w:r>
    </w:p>
    <w:p w14:paraId="6F62ED5B">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6. 在服务期内，乙方不得无故单方解除本合同。否则，乙方应将甲方已付的全部合同款项如数返还给甲方，并向甲方支付合同总价 20 %的违约金；如该违约金不足以弥补守约方损失的，违约还应承担守约方因此遭受的一切损失。</w:t>
      </w:r>
    </w:p>
    <w:p w14:paraId="47565A2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7. 如发生违约事件，守约方要求违约方支付违约金时，应以书面方式通知违约方，内容包括违约事件、违约金、支付时间和方式等。违约方在收到上述通知后，应于 7 天内答复对方，并支付违约金。如双方不能就此达成一致意见，将按照本合同约定的争议解决条款解决双方的纠纷。 </w:t>
      </w:r>
    </w:p>
    <w:p w14:paraId="412C812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8.如违约方拒不承担违约责任（包括拒不整改、拒不支付违约金），则守约方有权通过</w:t>
      </w:r>
      <w:r>
        <w:rPr>
          <w:rFonts w:hint="eastAsia" w:ascii="宋体" w:hAnsi="宋体" w:eastAsia="宋体" w:cs="宋体"/>
          <w:color w:val="auto"/>
          <w:kern w:val="0"/>
          <w:sz w:val="21"/>
          <w:szCs w:val="21"/>
          <w:lang w:eastAsia="zh-Hans" w:bidi="ar"/>
        </w:rPr>
        <w:t>本合同约定的争端解决方式</w:t>
      </w:r>
      <w:r>
        <w:rPr>
          <w:rFonts w:hint="eastAsia" w:ascii="宋体" w:hAnsi="宋体" w:eastAsia="宋体" w:cs="宋体"/>
          <w:color w:val="auto"/>
          <w:kern w:val="0"/>
          <w:sz w:val="21"/>
          <w:szCs w:val="21"/>
          <w:lang w:bidi="ar"/>
        </w:rPr>
        <w:t xml:space="preserve">解决，由此产生的费用及开支（包括但不限于诉讼费、律师费、公证费、邮寄费、采取补救措施的费用及开支等）均由违约方承担。 </w:t>
      </w:r>
    </w:p>
    <w:p w14:paraId="62810AB8">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一</w:t>
      </w:r>
      <w:r>
        <w:rPr>
          <w:rFonts w:hint="eastAsia" w:ascii="宋体" w:hAnsi="宋体" w:eastAsia="宋体" w:cs="宋体"/>
          <w:b/>
          <w:bCs/>
          <w:color w:val="auto"/>
          <w:kern w:val="0"/>
          <w:sz w:val="21"/>
          <w:szCs w:val="21"/>
          <w:lang w:bidi="ar"/>
        </w:rPr>
        <w:t xml:space="preserve">、争端的解决 </w:t>
      </w:r>
    </w:p>
    <w:p w14:paraId="5DDB557D">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凡与本合同有关而引起的一切争议，甲、乙双方应首先通过友好协商解决；如经协商后仍不能解决的，任何一方均可向甲方所在地有管辖权的法院提起诉讼。 </w:t>
      </w:r>
    </w:p>
    <w:p w14:paraId="5772E100">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2.本合同按照中华人民共和国的法律进行解释。 </w:t>
      </w:r>
    </w:p>
    <w:p w14:paraId="01437ADF">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二</w:t>
      </w:r>
      <w:r>
        <w:rPr>
          <w:rFonts w:hint="eastAsia" w:ascii="宋体" w:hAnsi="宋体" w:eastAsia="宋体" w:cs="宋体"/>
          <w:b/>
          <w:bCs/>
          <w:color w:val="auto"/>
          <w:kern w:val="0"/>
          <w:sz w:val="21"/>
          <w:szCs w:val="21"/>
          <w:lang w:bidi="ar"/>
        </w:rPr>
        <w:t xml:space="preserve">、不可抗力 </w:t>
      </w:r>
    </w:p>
    <w:p w14:paraId="5B31C1D6">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由于不可抗力，直接影响本合同的履行或者不能按照合同的约定履行时，遇有上述不可抗力的一可以免除相关合同责任。但遇有上述不可抗力的一方应立即书面通知对方，并在 15 天之内提供不可抗力的详细情况及合同不能履行，或者部分不能履行，或者需要延期履行的理由和有效的证明文件。按不可抗力对履行合同影响的程度，由双方协商决定是否解除合同，或者部分免除履行合同的义务，或者延期履行合同。一方迟延履行本合同时发生不可抗力的，迟延方的合同义务不能免除。 </w:t>
      </w:r>
    </w:p>
    <w:p w14:paraId="1E5F76A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2. 受到不可抗力影响的一方，应尽可能地采取合理的行为和适当的措施减轻不可抗力对本合同的履行所造成的影响。没有采取适当措施致使损失扩大的，该方不得就扩大损失的部分要求免责或赔偿。 </w:t>
      </w:r>
    </w:p>
    <w:p w14:paraId="7C2E472C">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三</w:t>
      </w:r>
      <w:r>
        <w:rPr>
          <w:rFonts w:hint="eastAsia" w:ascii="宋体" w:hAnsi="宋体" w:eastAsia="宋体" w:cs="宋体"/>
          <w:b/>
          <w:bCs/>
          <w:color w:val="auto"/>
          <w:kern w:val="0"/>
          <w:sz w:val="21"/>
          <w:szCs w:val="21"/>
          <w:lang w:bidi="ar"/>
        </w:rPr>
        <w:t xml:space="preserve">、未尽事宜 </w:t>
      </w:r>
    </w:p>
    <w:p w14:paraId="069A50D7">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本合同如有未尽事宜，甲、乙双方首先应友好协商解决，签订补充协议，补充协议与本合同具有同等法律效力。 </w:t>
      </w:r>
    </w:p>
    <w:p w14:paraId="2EE17B7E">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四</w:t>
      </w:r>
      <w:r>
        <w:rPr>
          <w:rFonts w:hint="eastAsia" w:ascii="宋体" w:hAnsi="宋体" w:eastAsia="宋体" w:cs="宋体"/>
          <w:b/>
          <w:bCs/>
          <w:color w:val="auto"/>
          <w:kern w:val="0"/>
          <w:sz w:val="21"/>
          <w:szCs w:val="21"/>
          <w:lang w:bidi="ar"/>
        </w:rPr>
        <w:t xml:space="preserve">、本合同之附件 </w:t>
      </w:r>
    </w:p>
    <w:p w14:paraId="399C1BBC">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1.本合同所有附件、招标文件、响应文件、中标通知书均为合同的有效组成部分，与本合同具有同等法律效力。</w:t>
      </w:r>
    </w:p>
    <w:p w14:paraId="07174FF4">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w:t>
      </w:r>
      <w:r>
        <w:rPr>
          <w:rFonts w:hint="eastAsia" w:ascii="宋体" w:hAnsi="宋体" w:eastAsia="宋体" w:cs="宋体"/>
          <w:color w:val="auto"/>
          <w:kern w:val="0"/>
          <w:sz w:val="21"/>
          <w:szCs w:val="21"/>
          <w:lang w:bidi="ar"/>
        </w:rPr>
        <w:t>在执行本合同的过程中，所有经甲、乙双方签署确认的文件（包括会议纪要、补充协议、合同修改书、往来信函等）均为本合同的有效组成部分，其生效日期为双方均签字盖章之日期。</w:t>
      </w:r>
    </w:p>
    <w:p w14:paraId="0EA1D017">
      <w:pPr>
        <w:keepNext w:val="0"/>
        <w:keepLines w:val="0"/>
        <w:pageBreakBefore w:val="0"/>
        <w:widowControl/>
        <w:kinsoku/>
        <w:wordWrap/>
        <w:overflowPunct/>
        <w:topLinePunct w:val="0"/>
        <w:autoSpaceDE/>
        <w:autoSpaceDN/>
        <w:bidi w:val="0"/>
        <w:adjustRightInd/>
        <w:snapToGrid/>
        <w:spacing w:line="24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bidi="ar"/>
        </w:rPr>
        <w:t>十</w:t>
      </w:r>
      <w:r>
        <w:rPr>
          <w:rFonts w:hint="eastAsia" w:ascii="宋体" w:hAnsi="宋体" w:eastAsia="宋体" w:cs="宋体"/>
          <w:b/>
          <w:bCs/>
          <w:color w:val="auto"/>
          <w:kern w:val="0"/>
          <w:sz w:val="21"/>
          <w:szCs w:val="21"/>
          <w:lang w:eastAsia="zh-CN" w:bidi="ar"/>
        </w:rPr>
        <w:t>五</w:t>
      </w:r>
      <w:r>
        <w:rPr>
          <w:rFonts w:hint="eastAsia" w:ascii="宋体" w:hAnsi="宋体" w:eastAsia="宋体" w:cs="宋体"/>
          <w:b/>
          <w:bCs/>
          <w:color w:val="auto"/>
          <w:kern w:val="0"/>
          <w:sz w:val="21"/>
          <w:szCs w:val="21"/>
          <w:lang w:bidi="ar"/>
        </w:rPr>
        <w:t xml:space="preserve">、合同生效 </w:t>
      </w:r>
    </w:p>
    <w:p w14:paraId="4407D3BE">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1. 本合同自甲乙双方法定代表人或其授权代表签字盖章之日起生效。 </w:t>
      </w:r>
    </w:p>
    <w:p w14:paraId="70B36A1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2. 合同壹式</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份，其中甲乙双方各执</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 xml:space="preserve">份，均具同等法律效力。 </w:t>
      </w:r>
    </w:p>
    <w:p w14:paraId="1628C072">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3. 本合同于</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年</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月</w:t>
      </w:r>
      <w:r>
        <w:rPr>
          <w:rFonts w:hint="eastAsia" w:ascii="宋体" w:hAnsi="宋体" w:eastAsia="宋体" w:cs="宋体"/>
          <w:color w:val="auto"/>
          <w:kern w:val="0"/>
          <w:sz w:val="21"/>
          <w:szCs w:val="21"/>
          <w:u w:val="single"/>
          <w:lang w:bidi="ar"/>
        </w:rPr>
        <w:t xml:space="preserve"> </w:t>
      </w:r>
      <w:r>
        <w:rPr>
          <w:rFonts w:hint="eastAsia" w:ascii="宋体" w:hAnsi="宋体" w:eastAsia="宋体" w:cs="宋体"/>
          <w:color w:val="auto"/>
          <w:kern w:val="0"/>
          <w:sz w:val="21"/>
          <w:szCs w:val="21"/>
          <w:u w:val="single"/>
          <w:lang w:val="en-US" w:eastAsia="zh-CN" w:bidi="ar"/>
        </w:rPr>
        <w:t xml:space="preserve"> </w:t>
      </w:r>
      <w:r>
        <w:rPr>
          <w:rFonts w:hint="eastAsia" w:ascii="宋体" w:hAnsi="宋体" w:eastAsia="宋体" w:cs="宋体"/>
          <w:color w:val="auto"/>
          <w:kern w:val="0"/>
          <w:sz w:val="21"/>
          <w:szCs w:val="21"/>
          <w:lang w:bidi="ar"/>
        </w:rPr>
        <w:t>日在</w:t>
      </w:r>
      <w:r>
        <w:rPr>
          <w:rFonts w:hint="eastAsia" w:ascii="宋体" w:hAnsi="宋体" w:eastAsia="宋体" w:cs="宋体"/>
          <w:color w:val="auto"/>
          <w:kern w:val="0"/>
          <w:sz w:val="21"/>
          <w:szCs w:val="21"/>
          <w:lang w:eastAsia="zh-CN" w:bidi="ar"/>
        </w:rPr>
        <w:t>深圳</w:t>
      </w:r>
      <w:r>
        <w:rPr>
          <w:rFonts w:hint="eastAsia" w:ascii="宋体" w:hAnsi="宋体" w:eastAsia="宋体" w:cs="宋体"/>
          <w:color w:val="auto"/>
          <w:kern w:val="0"/>
          <w:sz w:val="21"/>
          <w:szCs w:val="21"/>
          <w:lang w:bidi="ar"/>
        </w:rPr>
        <w:t xml:space="preserve">市签订。 </w:t>
      </w:r>
    </w:p>
    <w:p w14:paraId="0F866F83">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（以下无正文） </w:t>
      </w:r>
    </w:p>
    <w:p w14:paraId="17B18CC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甲方（盖章）：                                乙方（盖章）： </w:t>
      </w:r>
    </w:p>
    <w:p w14:paraId="74957711">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代表：                                        代表： </w:t>
      </w:r>
    </w:p>
    <w:p w14:paraId="7042B025">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地址：                                        地址： </w:t>
      </w:r>
    </w:p>
    <w:p w14:paraId="7B5488E6">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bidi="ar"/>
        </w:rPr>
        <w:t xml:space="preserve">电话：                                        电话： </w:t>
      </w:r>
    </w:p>
    <w:p w14:paraId="16156CE0">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传真：                                        传真：</w:t>
      </w:r>
    </w:p>
    <w:p w14:paraId="6564C2C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1"/>
          <w:szCs w:val="21"/>
          <w:lang w:bidi="ar"/>
        </w:rPr>
      </w:pPr>
    </w:p>
    <w:p w14:paraId="59717966">
      <w:pPr>
        <w:pStyle w:val="44"/>
        <w:ind w:firstLine="420" w:firstLineChars="200"/>
        <w:rPr>
          <w:rFonts w:hAnsi="宋体" w:cs="仿宋_GB2312"/>
          <w:szCs w:val="21"/>
          <w:highlight w:val="none"/>
        </w:rPr>
      </w:pPr>
      <w:r>
        <w:rPr>
          <w:rFonts w:hint="eastAsia" w:ascii="宋体" w:hAnsi="宋体" w:eastAsia="宋体" w:cs="宋体"/>
          <w:color w:val="auto"/>
          <w:kern w:val="0"/>
          <w:sz w:val="21"/>
          <w:szCs w:val="21"/>
          <w:lang w:bidi="ar"/>
        </w:rPr>
        <w:t>注：本合同样本仅供参考，具体条款内容由采购单位和中标单位协商确定。</w:t>
      </w:r>
    </w:p>
    <w:p w14:paraId="55E8E8F9">
      <w:pPr>
        <w:pStyle w:val="62"/>
        <w:tabs>
          <w:tab w:val="clear" w:pos="426"/>
        </w:tabs>
        <w:rPr>
          <w:highlight w:val="none"/>
        </w:rPr>
      </w:pPr>
      <w:r>
        <w:rPr>
          <w:highlight w:val="none"/>
        </w:rPr>
        <w:br w:type="page"/>
      </w:r>
      <w:bookmarkStart w:id="48" w:name="_Toc1107"/>
    </w:p>
    <w:p w14:paraId="5DEE5A74">
      <w:pPr>
        <w:pStyle w:val="62"/>
        <w:tabs>
          <w:tab w:val="clear" w:pos="426"/>
        </w:tabs>
        <w:rPr>
          <w:highlight w:val="none"/>
        </w:rPr>
      </w:pPr>
    </w:p>
    <w:p w14:paraId="03B496E9">
      <w:pPr>
        <w:pStyle w:val="62"/>
        <w:tabs>
          <w:tab w:val="clear" w:pos="426"/>
        </w:tabs>
        <w:rPr>
          <w:highlight w:val="none"/>
        </w:rPr>
      </w:pPr>
      <w:r>
        <w:rPr>
          <w:rFonts w:hint="eastAsia"/>
          <w:highlight w:val="none"/>
        </w:rPr>
        <w:t>第五章投标文件格式、附件</w:t>
      </w:r>
      <w:bookmarkEnd w:id="46"/>
      <w:bookmarkEnd w:id="47"/>
      <w:bookmarkEnd w:id="48"/>
    </w:p>
    <w:p w14:paraId="2578B3BC">
      <w:pPr>
        <w:tabs>
          <w:tab w:val="clear" w:pos="426"/>
        </w:tabs>
        <w:spacing w:line="276" w:lineRule="auto"/>
        <w:rPr>
          <w:rStyle w:val="128"/>
          <w:rFonts w:hint="eastAsia" w:ascii="宋体" w:hAnsi="宋体" w:eastAsia="宋体" w:cs="宋体"/>
          <w:b/>
          <w:bCs w:val="0"/>
          <w:color w:val="auto"/>
          <w:sz w:val="22"/>
          <w:szCs w:val="22"/>
          <w:highlight w:val="none"/>
          <w:lang w:val="en-US" w:eastAsia="zh-CN"/>
        </w:rPr>
      </w:pPr>
    </w:p>
    <w:p w14:paraId="1F3399A9">
      <w:pPr>
        <w:tabs>
          <w:tab w:val="clear" w:pos="426"/>
        </w:tabs>
        <w:spacing w:line="276" w:lineRule="auto"/>
        <w:rPr>
          <w:rFonts w:hint="eastAsia" w:ascii="宋体" w:hAnsi="宋体" w:eastAsia="宋体" w:cs="宋体"/>
          <w:b/>
          <w:bCs w:val="0"/>
          <w:color w:val="auto"/>
          <w:sz w:val="22"/>
          <w:szCs w:val="22"/>
          <w:highlight w:val="none"/>
          <w:lang w:val="en-US" w:eastAsia="zh-CN"/>
        </w:rPr>
      </w:pPr>
      <w:r>
        <w:rPr>
          <w:rStyle w:val="128"/>
          <w:rFonts w:hint="eastAsia" w:ascii="宋体" w:hAnsi="宋体" w:eastAsia="宋体" w:cs="宋体"/>
          <w:b/>
          <w:bCs w:val="0"/>
          <w:color w:val="auto"/>
          <w:sz w:val="22"/>
          <w:szCs w:val="22"/>
          <w:highlight w:val="none"/>
          <w:lang w:val="en-US" w:eastAsia="zh-CN"/>
        </w:rPr>
        <w:t>（</w:t>
      </w:r>
      <w:r>
        <w:rPr>
          <w:rStyle w:val="128"/>
          <w:rFonts w:hint="eastAsia" w:ascii="宋体" w:hAnsi="宋体" w:eastAsia="宋体" w:cs="宋体"/>
          <w:b/>
          <w:bCs w:val="0"/>
          <w:color w:val="auto"/>
          <w:sz w:val="22"/>
          <w:szCs w:val="22"/>
          <w:highlight w:val="none"/>
        </w:rPr>
        <w:t>特别提醒：</w:t>
      </w:r>
      <w:r>
        <w:rPr>
          <w:rFonts w:hint="eastAsia" w:ascii="宋体" w:hAnsi="宋体" w:eastAsia="宋体" w:cs="宋体"/>
          <w:b/>
          <w:bCs w:val="0"/>
          <w:color w:val="auto"/>
          <w:sz w:val="22"/>
          <w:szCs w:val="22"/>
          <w:highlight w:val="none"/>
        </w:rPr>
        <w:t>投标供应商在编辑投标文件时，应严格按照招标文件提供的格式进行编写，因未按要求编写导致投标文件不予受理、无效标或废标的，一切后果由供应商自行承担。</w:t>
      </w:r>
      <w:r>
        <w:rPr>
          <w:rFonts w:hint="eastAsia" w:ascii="宋体" w:hAnsi="宋体" w:eastAsia="宋体" w:cs="宋体"/>
          <w:b/>
          <w:bCs w:val="0"/>
          <w:color w:val="auto"/>
          <w:sz w:val="22"/>
          <w:szCs w:val="22"/>
          <w:highlight w:val="none"/>
          <w:lang w:val="en-US" w:eastAsia="zh-CN"/>
        </w:rPr>
        <w:t>)</w:t>
      </w:r>
    </w:p>
    <w:p w14:paraId="63A14BA6">
      <w:pPr>
        <w:adjustRightInd/>
        <w:snapToGrid/>
        <w:spacing w:before="280" w:after="290" w:line="376" w:lineRule="auto"/>
        <w:jc w:val="center"/>
        <w:rPr>
          <w:b/>
          <w:sz w:val="24"/>
          <w:highlight w:val="none"/>
        </w:rPr>
      </w:pPr>
      <w:r>
        <w:rPr>
          <w:highlight w:val="none"/>
        </w:rPr>
        <w:br w:type="page"/>
      </w:r>
    </w:p>
    <w:p w14:paraId="433A4A68">
      <w:pPr>
        <w:tabs>
          <w:tab w:val="clear" w:pos="426"/>
        </w:tabs>
        <w:jc w:val="center"/>
        <w:rPr>
          <w:sz w:val="44"/>
          <w:szCs w:val="44"/>
          <w:highlight w:val="none"/>
        </w:rPr>
      </w:pPr>
    </w:p>
    <w:p w14:paraId="11B9186D">
      <w:pPr>
        <w:pStyle w:val="4"/>
        <w:jc w:val="center"/>
        <w:rPr>
          <w:kern w:val="28"/>
          <w:sz w:val="44"/>
          <w:szCs w:val="44"/>
        </w:rPr>
      </w:pPr>
      <w:r>
        <w:rPr>
          <w:rFonts w:hint="eastAsia"/>
          <w:b/>
          <w:bCs/>
          <w:sz w:val="32"/>
          <w:szCs w:val="32"/>
        </w:rPr>
        <w:t>附件1：开标文件</w:t>
      </w:r>
    </w:p>
    <w:p w14:paraId="0B7B6951">
      <w:pPr>
        <w:widowControl/>
        <w:spacing w:after="160" w:line="240" w:lineRule="exact"/>
        <w:jc w:val="left"/>
        <w:rPr>
          <w:rFonts w:eastAsia="仿宋_GB2312"/>
          <w:kern w:val="0"/>
          <w:sz w:val="24"/>
          <w:szCs w:val="20"/>
        </w:rPr>
      </w:pPr>
    </w:p>
    <w:p w14:paraId="08C6D595">
      <w:pPr>
        <w:pStyle w:val="127"/>
        <w:rPr>
          <w:rFonts w:ascii="Times New Roman" w:hAnsi="Times New Roman"/>
          <w:lang w:eastAsia="zh-CN"/>
        </w:rPr>
      </w:pPr>
    </w:p>
    <w:p w14:paraId="77E9FAD1">
      <w:pPr>
        <w:pStyle w:val="127"/>
        <w:rPr>
          <w:rFonts w:ascii="Times New Roman" w:hAnsi="Times New Roman"/>
          <w:lang w:eastAsia="zh-CN"/>
        </w:rPr>
      </w:pPr>
    </w:p>
    <w:p w14:paraId="5F8C47D1">
      <w:pPr>
        <w:jc w:val="center"/>
        <w:rPr>
          <w:rFonts w:hint="eastAsia" w:eastAsia="宋体"/>
          <w:sz w:val="44"/>
          <w:szCs w:val="44"/>
          <w:lang w:eastAsia="zh-CN"/>
        </w:rPr>
      </w:pPr>
      <w:r>
        <w:rPr>
          <w:rFonts w:hint="eastAsia"/>
          <w:sz w:val="44"/>
          <w:szCs w:val="44"/>
          <w:lang w:eastAsia="zh-CN"/>
        </w:rPr>
        <w:t>广东省深圳市消防救援支队大亚湾特勤大队2024年食材配送服务采购项目</w:t>
      </w:r>
    </w:p>
    <w:p w14:paraId="1B455F75">
      <w:pPr>
        <w:jc w:val="center"/>
        <w:rPr>
          <w:sz w:val="44"/>
          <w:szCs w:val="44"/>
        </w:rPr>
      </w:pPr>
      <w:r>
        <w:rPr>
          <w:sz w:val="44"/>
          <w:szCs w:val="44"/>
        </w:rPr>
        <w:t>（唱标信封）</w:t>
      </w:r>
    </w:p>
    <w:p w14:paraId="53A99471">
      <w:pPr>
        <w:jc w:val="center"/>
        <w:rPr>
          <w:sz w:val="44"/>
          <w:szCs w:val="44"/>
        </w:rPr>
      </w:pPr>
    </w:p>
    <w:p w14:paraId="3C0990BD">
      <w:pPr>
        <w:jc w:val="center"/>
        <w:rPr>
          <w:sz w:val="44"/>
          <w:szCs w:val="44"/>
        </w:rPr>
      </w:pPr>
    </w:p>
    <w:p w14:paraId="2DCB48DC">
      <w:pPr>
        <w:rPr>
          <w:sz w:val="44"/>
          <w:szCs w:val="44"/>
        </w:rPr>
      </w:pPr>
    </w:p>
    <w:p w14:paraId="51094FEC">
      <w:pPr>
        <w:pStyle w:val="84"/>
        <w:ind w:firstLine="880"/>
        <w:rPr>
          <w:sz w:val="44"/>
          <w:szCs w:val="44"/>
        </w:rPr>
      </w:pPr>
    </w:p>
    <w:p w14:paraId="2A81BA15">
      <w:pPr>
        <w:pStyle w:val="84"/>
        <w:ind w:firstLine="880"/>
        <w:rPr>
          <w:sz w:val="44"/>
          <w:szCs w:val="44"/>
        </w:rPr>
      </w:pPr>
    </w:p>
    <w:p w14:paraId="60A1ABB9">
      <w:pPr>
        <w:spacing w:line="480" w:lineRule="auto"/>
        <w:ind w:firstLine="1260" w:firstLineChars="450"/>
        <w:rPr>
          <w:sz w:val="28"/>
          <w:szCs w:val="28"/>
          <w:u w:val="single"/>
        </w:rPr>
      </w:pPr>
      <w:r>
        <w:rPr>
          <w:sz w:val="28"/>
          <w:szCs w:val="28"/>
        </w:rPr>
        <w:t>项目编号：_____________________________</w:t>
      </w:r>
    </w:p>
    <w:p w14:paraId="3EC8CD44">
      <w:pPr>
        <w:spacing w:line="480" w:lineRule="auto"/>
        <w:ind w:firstLine="1260" w:firstLineChars="450"/>
        <w:rPr>
          <w:sz w:val="28"/>
          <w:szCs w:val="28"/>
          <w:u w:val="single"/>
        </w:rPr>
      </w:pPr>
      <w:r>
        <w:rPr>
          <w:sz w:val="28"/>
          <w:szCs w:val="28"/>
        </w:rPr>
        <w:t>供应商（盖章）：___________________________</w:t>
      </w:r>
    </w:p>
    <w:p w14:paraId="724038C9">
      <w:pPr>
        <w:spacing w:line="480" w:lineRule="auto"/>
        <w:ind w:firstLine="1260" w:firstLineChars="450"/>
        <w:rPr>
          <w:sz w:val="28"/>
          <w:szCs w:val="28"/>
        </w:rPr>
      </w:pPr>
      <w:r>
        <w:rPr>
          <w:sz w:val="28"/>
          <w:szCs w:val="28"/>
        </w:rPr>
        <w:t>法定代表人或授权委托人签字：__________________</w:t>
      </w:r>
    </w:p>
    <w:p w14:paraId="3F3A12E2">
      <w:pPr>
        <w:spacing w:line="360" w:lineRule="auto"/>
        <w:ind w:firstLine="1260" w:firstLineChars="450"/>
        <w:rPr>
          <w:sz w:val="28"/>
          <w:szCs w:val="28"/>
        </w:rPr>
      </w:pPr>
      <w:r>
        <w:rPr>
          <w:sz w:val="28"/>
          <w:szCs w:val="28"/>
        </w:rPr>
        <w:t>投标日期：____________年_____月______日</w:t>
      </w:r>
    </w:p>
    <w:p w14:paraId="5999EF0C">
      <w:pPr>
        <w:rPr>
          <w:sz w:val="28"/>
          <w:szCs w:val="28"/>
        </w:rPr>
      </w:pPr>
      <w:r>
        <w:rPr>
          <w:sz w:val="28"/>
          <w:szCs w:val="28"/>
        </w:rPr>
        <w:br w:type="page"/>
      </w:r>
    </w:p>
    <w:p w14:paraId="00410A5F">
      <w:pPr>
        <w:spacing w:line="360" w:lineRule="auto"/>
        <w:jc w:val="center"/>
        <w:rPr>
          <w:rFonts w:ascii="Times New Roman" w:hAnsi="Times New Roman"/>
          <w:bCs/>
          <w:snapToGrid w:val="0"/>
          <w:sz w:val="18"/>
          <w:szCs w:val="18"/>
        </w:rPr>
      </w:pPr>
      <w:r>
        <w:rPr>
          <w:rFonts w:ascii="Times New Roman" w:hAnsi="Times New Roman"/>
          <w:b/>
          <w:bCs/>
          <w:sz w:val="32"/>
        </w:rPr>
        <w:t>一、</w:t>
      </w:r>
      <w:r>
        <w:rPr>
          <w:rFonts w:hint="eastAsia" w:cs="宋体"/>
          <w:b/>
          <w:bCs/>
          <w:sz w:val="32"/>
        </w:rPr>
        <w:t>开标一览表</w:t>
      </w:r>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5"/>
      </w:tblGrid>
      <w:tr w14:paraId="38BF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noWrap w:val="0"/>
            <w:vAlign w:val="center"/>
          </w:tcPr>
          <w:p w14:paraId="1B9C17D9">
            <w:pPr>
              <w:spacing w:line="360" w:lineRule="exact"/>
              <w:jc w:val="center"/>
              <w:rPr>
                <w:snapToGrid w:val="0"/>
                <w:kern w:val="0"/>
                <w:sz w:val="22"/>
              </w:rPr>
            </w:pPr>
            <w:r>
              <w:rPr>
                <w:bCs/>
                <w:snapToGrid w:val="0"/>
                <w:kern w:val="0"/>
                <w:sz w:val="22"/>
              </w:rPr>
              <w:t>项目编号</w:t>
            </w:r>
          </w:p>
        </w:tc>
        <w:tc>
          <w:tcPr>
            <w:tcW w:w="3086" w:type="dxa"/>
            <w:noWrap w:val="0"/>
            <w:vAlign w:val="center"/>
          </w:tcPr>
          <w:p w14:paraId="59491B52">
            <w:pPr>
              <w:spacing w:line="360" w:lineRule="exact"/>
              <w:jc w:val="center"/>
              <w:rPr>
                <w:snapToGrid w:val="0"/>
                <w:kern w:val="0"/>
                <w:sz w:val="22"/>
              </w:rPr>
            </w:pPr>
            <w:r>
              <w:rPr>
                <w:snapToGrid w:val="0"/>
                <w:kern w:val="0"/>
                <w:sz w:val="22"/>
              </w:rPr>
              <w:t>项目名称</w:t>
            </w:r>
          </w:p>
        </w:tc>
        <w:tc>
          <w:tcPr>
            <w:tcW w:w="3685" w:type="dxa"/>
            <w:noWrap w:val="0"/>
            <w:vAlign w:val="center"/>
          </w:tcPr>
          <w:p w14:paraId="719D0889">
            <w:pPr>
              <w:spacing w:line="360" w:lineRule="exact"/>
              <w:jc w:val="center"/>
              <w:rPr>
                <w:rFonts w:hint="eastAsia" w:eastAsia="宋体"/>
                <w:snapToGrid w:val="0"/>
                <w:kern w:val="0"/>
                <w:sz w:val="22"/>
                <w:lang w:eastAsia="zh-CN"/>
              </w:rPr>
            </w:pPr>
            <w:r>
              <w:rPr>
                <w:snapToGrid w:val="0"/>
                <w:kern w:val="0"/>
                <w:sz w:val="22"/>
              </w:rPr>
              <w:t>投标</w:t>
            </w:r>
            <w:r>
              <w:rPr>
                <w:rFonts w:hint="eastAsia"/>
                <w:snapToGrid w:val="0"/>
                <w:kern w:val="0"/>
                <w:sz w:val="22"/>
                <w:lang w:val="en-US" w:eastAsia="zh-CN"/>
              </w:rPr>
              <w:t>折扣率</w:t>
            </w:r>
          </w:p>
        </w:tc>
      </w:tr>
      <w:tr w14:paraId="23E34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noWrap w:val="0"/>
            <w:vAlign w:val="center"/>
          </w:tcPr>
          <w:p w14:paraId="0C3B9E0B">
            <w:pPr>
              <w:spacing w:line="360" w:lineRule="exact"/>
              <w:jc w:val="center"/>
              <w:rPr>
                <w:snapToGrid w:val="0"/>
                <w:kern w:val="0"/>
                <w:sz w:val="22"/>
              </w:rPr>
            </w:pPr>
          </w:p>
        </w:tc>
        <w:tc>
          <w:tcPr>
            <w:tcW w:w="3086" w:type="dxa"/>
            <w:noWrap w:val="0"/>
            <w:vAlign w:val="center"/>
          </w:tcPr>
          <w:p w14:paraId="0865D5D3">
            <w:pPr>
              <w:widowControl/>
              <w:spacing w:line="360" w:lineRule="exact"/>
              <w:jc w:val="center"/>
              <w:rPr>
                <w:kern w:val="0"/>
                <w:sz w:val="22"/>
              </w:rPr>
            </w:pPr>
          </w:p>
        </w:tc>
        <w:tc>
          <w:tcPr>
            <w:tcW w:w="3685" w:type="dxa"/>
            <w:noWrap w:val="0"/>
            <w:vAlign w:val="center"/>
          </w:tcPr>
          <w:p w14:paraId="1053942C">
            <w:pPr>
              <w:spacing w:line="360" w:lineRule="exact"/>
            </w:pPr>
          </w:p>
        </w:tc>
      </w:tr>
    </w:tbl>
    <w:p w14:paraId="413C8AB5">
      <w:pPr>
        <w:spacing w:line="360" w:lineRule="exact"/>
        <w:rPr>
          <w:snapToGrid w:val="0"/>
          <w:kern w:val="0"/>
          <w:sz w:val="22"/>
        </w:rPr>
      </w:pPr>
    </w:p>
    <w:p w14:paraId="6004682F">
      <w:pPr>
        <w:pStyle w:val="2"/>
        <w:rPr>
          <w:rFonts w:hint="eastAsia"/>
          <w:b w:val="0"/>
          <w:bCs w:val="0"/>
          <w:snapToGrid w:val="0"/>
          <w:kern w:val="0"/>
          <w:sz w:val="22"/>
        </w:rPr>
      </w:pPr>
      <w:r>
        <w:rPr>
          <w:b w:val="0"/>
          <w:bCs w:val="0"/>
          <w:snapToGrid w:val="0"/>
          <w:kern w:val="0"/>
          <w:sz w:val="22"/>
        </w:rPr>
        <w:t>注：</w:t>
      </w:r>
      <w:r>
        <w:rPr>
          <w:rFonts w:hint="eastAsia"/>
          <w:b w:val="0"/>
          <w:bCs w:val="0"/>
          <w:snapToGrid w:val="0"/>
          <w:kern w:val="0"/>
          <w:sz w:val="22"/>
        </w:rPr>
        <w:t>此表应按投标人须知的规定密封标记并与授权委托书一同密封单独提交，毋须装订在投标文件中。</w:t>
      </w:r>
    </w:p>
    <w:p w14:paraId="5A2083EC">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rPr>
      </w:pPr>
      <w:r>
        <w:rPr>
          <w:rFonts w:hint="eastAsia" w:ascii="宋体" w:hAnsi="宋体" w:eastAsia="宋体" w:cs="仿宋"/>
          <w:b/>
          <w:bCs/>
          <w:sz w:val="20"/>
          <w:szCs w:val="20"/>
          <w:lang w:val="en-US" w:eastAsia="zh-CN"/>
        </w:rPr>
        <w:t>【</w:t>
      </w:r>
      <w:r>
        <w:rPr>
          <w:rFonts w:hint="eastAsia" w:ascii="宋体" w:hAnsi="宋体" w:eastAsia="宋体" w:cs="仿宋"/>
          <w:b/>
          <w:bCs/>
          <w:sz w:val="20"/>
          <w:szCs w:val="20"/>
        </w:rPr>
        <w:t>注：</w:t>
      </w:r>
      <w:r>
        <w:rPr>
          <w:rFonts w:hint="eastAsia" w:ascii="宋体" w:hAnsi="宋体" w:eastAsia="宋体" w:cs="仿宋"/>
          <w:b/>
          <w:bCs/>
          <w:sz w:val="20"/>
          <w:szCs w:val="20"/>
          <w:lang w:val="en-US" w:eastAsia="zh-CN"/>
        </w:rPr>
        <w:t>1.</w:t>
      </w:r>
      <w:r>
        <w:rPr>
          <w:rFonts w:hint="eastAsia" w:ascii="宋体" w:hAnsi="宋体" w:eastAsia="宋体" w:cs="仿宋"/>
          <w:b/>
          <w:bCs/>
          <w:sz w:val="20"/>
          <w:szCs w:val="20"/>
        </w:rPr>
        <w:t>本项目投标报价以折扣率报价。报价要求：折扣率大于0且小于等于1，是固定唯一值，填写的折扣率应为小数，且只填报到小数点后最多两位（如折扣率为九折填写0.90，八八折填写0.88）。投标折扣率不满足招标文件报价要求的，将作投标无效处理。</w:t>
      </w:r>
    </w:p>
    <w:p w14:paraId="3CD228A6">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2.“折扣率”填写要求：</w:t>
      </w:r>
    </w:p>
    <w:p w14:paraId="62F434AA">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1）填写的“折扣率”为小数，如0.90、0.88、0.77（保留小数点后两位）；超过2位的，代理机构将按四舍五入自动修正保留小数点后两位，不作投标无效处理。</w:t>
      </w:r>
    </w:p>
    <w:p w14:paraId="5E54340C">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2）不得报区间值（如0.88-0.99），否则将作投标无效处理；</w:t>
      </w:r>
    </w:p>
    <w:p w14:paraId="2C7D9FA4">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3）0＜折扣率≤1。</w:t>
      </w:r>
    </w:p>
    <w:p w14:paraId="606F6A72">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4）投标人参与投标只允许填报唯一1个“折扣率”，不允许填报2个（或以上）的“折扣率”；填报了2个或以上“折扣率”的，其投标将直接作为无效标处理；</w:t>
      </w:r>
    </w:p>
    <w:p w14:paraId="5D04F4FD">
      <w:pPr>
        <w:pStyle w:val="2"/>
        <w:ind w:firstLine="402" w:firstLineChars="200"/>
        <w:rPr>
          <w:color w:val="FF0000"/>
        </w:rPr>
      </w:pPr>
      <w:r>
        <w:rPr>
          <w:rFonts w:hint="eastAsia" w:ascii="宋体" w:hAnsi="宋体" w:eastAsia="宋体" w:cs="仿宋"/>
          <w:b/>
          <w:bCs/>
          <w:sz w:val="20"/>
          <w:szCs w:val="20"/>
          <w:lang w:val="en-US" w:eastAsia="zh-CN"/>
        </w:rPr>
        <w:t>5）“折扣率”缺填、漏填将直接作无效标处理。】</w:t>
      </w:r>
    </w:p>
    <w:p w14:paraId="47AAD69A">
      <w:pPr>
        <w:spacing w:line="360" w:lineRule="exact"/>
        <w:rPr>
          <w:snapToGrid w:val="0"/>
          <w:kern w:val="0"/>
          <w:sz w:val="22"/>
        </w:rPr>
      </w:pPr>
    </w:p>
    <w:p w14:paraId="51C5E0DD">
      <w:pPr>
        <w:spacing w:line="360" w:lineRule="exact"/>
        <w:ind w:right="2100" w:rightChars="1000"/>
        <w:jc w:val="right"/>
        <w:rPr>
          <w:snapToGrid w:val="0"/>
          <w:kern w:val="0"/>
          <w:sz w:val="22"/>
        </w:rPr>
      </w:pPr>
    </w:p>
    <w:p w14:paraId="0CD5D87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7629F677">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381BDAA4">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19B04BC8">
      <w:pPr>
        <w:spacing w:line="360" w:lineRule="exact"/>
        <w:ind w:right="2100" w:rightChars="1000"/>
        <w:jc w:val="left"/>
        <w:rPr>
          <w:snapToGrid w:val="0"/>
          <w:kern w:val="0"/>
        </w:rPr>
      </w:pPr>
    </w:p>
    <w:p w14:paraId="54D68CDA">
      <w:pPr>
        <w:rPr>
          <w:rFonts w:hint="eastAsia"/>
        </w:rPr>
      </w:pPr>
      <w:r>
        <w:rPr>
          <w:rFonts w:hint="eastAsia"/>
        </w:rPr>
        <w:br w:type="page"/>
      </w:r>
    </w:p>
    <w:p w14:paraId="5E381F0F">
      <w:pPr>
        <w:shd w:val="clear" w:color="auto" w:fill="FFFFFF"/>
        <w:spacing w:line="360" w:lineRule="auto"/>
        <w:jc w:val="center"/>
        <w:rPr>
          <w:rFonts w:hint="eastAsia" w:ascii="Times New Roman" w:hAnsi="Times New Roman" w:eastAsia="宋体" w:cs="宋体"/>
          <w:b/>
          <w:bCs/>
          <w:sz w:val="32"/>
        </w:rPr>
      </w:pPr>
      <w:r>
        <w:rPr>
          <w:rFonts w:hint="eastAsia" w:ascii="Times New Roman" w:hAnsi="Times New Roman" w:eastAsia="宋体" w:cs="宋体"/>
          <w:b/>
          <w:bCs/>
          <w:sz w:val="32"/>
        </w:rPr>
        <w:t>二、法定代表人证明书</w:t>
      </w:r>
    </w:p>
    <w:p w14:paraId="59B0857D"/>
    <w:p w14:paraId="37F0B4C2">
      <w:pPr>
        <w:spacing w:line="360" w:lineRule="exact"/>
        <w:rPr>
          <w:rFonts w:hint="eastAsia" w:cs="宋体"/>
          <w:sz w:val="22"/>
        </w:rPr>
      </w:pPr>
      <w:r>
        <w:rPr>
          <w:rFonts w:hint="eastAsia" w:cs="宋体"/>
          <w:sz w:val="22"/>
        </w:rPr>
        <w:t xml:space="preserve">   </w:t>
      </w:r>
      <w:r>
        <w:rPr>
          <w:rFonts w:hint="eastAsia" w:cs="宋体"/>
          <w:sz w:val="22"/>
          <w:u w:val="single"/>
        </w:rPr>
        <w:t xml:space="preserve">         </w:t>
      </w:r>
      <w:r>
        <w:rPr>
          <w:rFonts w:hint="eastAsia" w:cs="宋体"/>
          <w:sz w:val="22"/>
        </w:rPr>
        <w:t>同志，现任我单位</w:t>
      </w:r>
      <w:r>
        <w:rPr>
          <w:rFonts w:hint="eastAsia" w:cs="宋体"/>
          <w:sz w:val="22"/>
          <w:u w:val="single"/>
        </w:rPr>
        <w:t xml:space="preserve">         </w:t>
      </w:r>
      <w:r>
        <w:rPr>
          <w:rFonts w:hint="eastAsia" w:cs="宋体"/>
          <w:sz w:val="22"/>
        </w:rPr>
        <w:t>职务，为法定代表人，特此证明。</w:t>
      </w:r>
    </w:p>
    <w:p w14:paraId="46AA8045">
      <w:pPr>
        <w:spacing w:line="360" w:lineRule="exact"/>
        <w:rPr>
          <w:rFonts w:hint="eastAsia" w:cs="宋体"/>
          <w:sz w:val="22"/>
        </w:rPr>
      </w:pPr>
      <w:r>
        <w:rPr>
          <w:rFonts w:hint="eastAsia" w:cs="宋体"/>
          <w:sz w:val="22"/>
        </w:rPr>
        <w:t xml:space="preserve">有效日期：         签发日期：         单位：              </w:t>
      </w:r>
    </w:p>
    <w:p w14:paraId="34318B48">
      <w:pPr>
        <w:spacing w:line="360" w:lineRule="exact"/>
        <w:rPr>
          <w:rFonts w:hint="eastAsia" w:cs="宋体"/>
          <w:sz w:val="22"/>
        </w:rPr>
      </w:pPr>
      <w:r>
        <w:rPr>
          <w:rFonts w:hint="eastAsia" w:cs="宋体"/>
          <w:sz w:val="22"/>
        </w:rPr>
        <w:t>附：代表人性别：   年龄：      身份证号码：</w:t>
      </w:r>
    </w:p>
    <w:p w14:paraId="437F40C6">
      <w:pPr>
        <w:spacing w:line="360" w:lineRule="exact"/>
        <w:rPr>
          <w:rFonts w:hint="eastAsia" w:cs="宋体"/>
          <w:sz w:val="22"/>
        </w:rPr>
      </w:pPr>
      <w:r>
        <w:rPr>
          <w:rFonts w:hint="eastAsia" w:cs="宋体"/>
          <w:sz w:val="22"/>
        </w:rPr>
        <w:t>营业执照号码：                 经济性质：</w:t>
      </w:r>
    </w:p>
    <w:p w14:paraId="14AD4D42">
      <w:pPr>
        <w:spacing w:line="360" w:lineRule="exact"/>
        <w:rPr>
          <w:rFonts w:hint="eastAsia" w:cs="宋体"/>
          <w:sz w:val="22"/>
        </w:rPr>
      </w:pPr>
      <w:r>
        <w:rPr>
          <w:rFonts w:hint="eastAsia" w:cs="宋体"/>
          <w:sz w:val="22"/>
        </w:rPr>
        <w:t>主营（产）：</w:t>
      </w:r>
    </w:p>
    <w:p w14:paraId="1E0697B7">
      <w:pPr>
        <w:spacing w:line="360" w:lineRule="exact"/>
        <w:rPr>
          <w:rFonts w:hint="eastAsia" w:cs="宋体"/>
          <w:sz w:val="22"/>
        </w:rPr>
      </w:pPr>
      <w:r>
        <w:rPr>
          <w:rFonts w:hint="eastAsia" w:cs="宋体"/>
          <w:sz w:val="22"/>
        </w:rPr>
        <w:t>兼营（产）：</w:t>
      </w:r>
    </w:p>
    <w:p w14:paraId="7C22A562">
      <w:pPr>
        <w:spacing w:line="360" w:lineRule="exact"/>
        <w:rPr>
          <w:rFonts w:hint="eastAsia" w:cs="宋体"/>
          <w:sz w:val="22"/>
        </w:rPr>
      </w:pPr>
      <w:r>
        <w:rPr>
          <w:rFonts w:hint="eastAsia" w:cs="宋体"/>
          <w:sz w:val="22"/>
        </w:rPr>
        <w:t>进口物品经营许可证号码：</w:t>
      </w:r>
    </w:p>
    <w:p w14:paraId="23A02292">
      <w:pPr>
        <w:spacing w:line="360" w:lineRule="exact"/>
        <w:rPr>
          <w:rFonts w:hint="eastAsia" w:cs="宋体"/>
          <w:sz w:val="22"/>
        </w:rPr>
      </w:pPr>
      <w:r>
        <w:rPr>
          <w:rFonts w:hint="eastAsia" w:cs="宋体"/>
          <w:sz w:val="22"/>
        </w:rPr>
        <w:t>主营：</w:t>
      </w:r>
    </w:p>
    <w:p w14:paraId="20B4C8AA">
      <w:pPr>
        <w:spacing w:line="360" w:lineRule="exact"/>
        <w:rPr>
          <w:rFonts w:hint="eastAsia" w:cs="宋体"/>
          <w:sz w:val="22"/>
        </w:rPr>
      </w:pPr>
      <w:r>
        <w:rPr>
          <w:rFonts w:hint="eastAsia" w:cs="宋体"/>
          <w:sz w:val="22"/>
        </w:rPr>
        <w:t>兼营：</w:t>
      </w:r>
    </w:p>
    <w:p w14:paraId="7E6A1AF7">
      <w:pPr>
        <w:spacing w:line="360" w:lineRule="exact"/>
        <w:rPr>
          <w:rFonts w:hint="eastAsia" w:cs="宋体"/>
          <w:sz w:val="22"/>
        </w:rPr>
      </w:pPr>
      <w:r>
        <w:rPr>
          <w:rFonts w:hint="eastAsia" w:cs="宋体"/>
          <w:sz w:val="22"/>
        </w:rPr>
        <w:t>说明：1、法定代表人为企业事业单位、国家机关、社会团体的主要行政负责人。</w:t>
      </w:r>
    </w:p>
    <w:p w14:paraId="5CE607B8">
      <w:pPr>
        <w:spacing w:line="360" w:lineRule="exact"/>
        <w:rPr>
          <w:rFonts w:hint="eastAsia" w:cs="宋体"/>
          <w:sz w:val="22"/>
        </w:rPr>
      </w:pPr>
      <w:r>
        <w:rPr>
          <w:rFonts w:hint="eastAsia" w:cs="宋体"/>
          <w:sz w:val="22"/>
        </w:rPr>
        <w:t xml:space="preserve">      2、内容必须填写真实、清楚，涂改无效，不得转让、买卖。</w:t>
      </w:r>
    </w:p>
    <w:p w14:paraId="7B1F9E04">
      <w:pPr>
        <w:spacing w:line="360" w:lineRule="exact"/>
        <w:ind w:left="660"/>
        <w:rPr>
          <w:rFonts w:hint="eastAsia" w:cs="宋体"/>
          <w:sz w:val="22"/>
        </w:rPr>
      </w:pPr>
      <w:r>
        <w:rPr>
          <w:rFonts w:hint="eastAsia" w:cs="宋体"/>
          <w:sz w:val="22"/>
        </w:rPr>
        <w:t>3、提供法定代表人的身份证复印件（附后）。</w:t>
      </w:r>
    </w:p>
    <w:p w14:paraId="5CA6823B">
      <w:pPr>
        <w:spacing w:line="360" w:lineRule="exact"/>
        <w:ind w:left="660"/>
        <w:rPr>
          <w:rFonts w:hint="eastAsia" w:cs="宋体"/>
          <w:sz w:val="22"/>
        </w:rPr>
      </w:pPr>
      <w:r>
        <w:rPr>
          <w:rFonts w:hint="eastAsia" w:cs="宋体"/>
          <w:sz w:val="22"/>
        </w:rPr>
        <w:t>4、</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1EBE9113">
      <w:pPr>
        <w:spacing w:line="360" w:lineRule="auto"/>
        <w:jc w:val="left"/>
        <w:rPr>
          <w:rFonts w:hint="eastAsia"/>
          <w:bCs/>
          <w:sz w:val="24"/>
        </w:rPr>
      </w:pPr>
      <w:r>
        <w:rPr>
          <w:rFonts w:hint="eastAsia"/>
          <w:bCs/>
          <w:sz w:val="24"/>
        </w:rPr>
        <w:t xml:space="preserve">       </w:t>
      </w:r>
    </w:p>
    <w:p w14:paraId="12B25707">
      <w:pPr>
        <w:spacing w:line="360" w:lineRule="auto"/>
        <w:jc w:val="center"/>
        <w:rPr>
          <w:rFonts w:hint="eastAsia"/>
          <w:bCs/>
          <w:sz w:val="24"/>
        </w:rPr>
      </w:pPr>
    </w:p>
    <w:p w14:paraId="6AA8B3B3">
      <w:pPr>
        <w:spacing w:line="360" w:lineRule="exact"/>
        <w:ind w:right="2100" w:rightChars="1000"/>
        <w:jc w:val="left"/>
        <w:rPr>
          <w:rFonts w:hint="eastAsia" w:ascii="宋体" w:hAnsi="宋体" w:cs="宋体"/>
          <w:snapToGrid w:val="0"/>
          <w:kern w:val="0"/>
          <w:sz w:val="22"/>
        </w:rPr>
      </w:pPr>
      <w:r>
        <w:rPr>
          <w:rFonts w:hint="eastAsia" w:ascii="宋体" w:hAnsi="宋体" w:cs="宋体"/>
          <w:snapToGrid w:val="0"/>
          <w:kern w:val="0"/>
          <w:sz w:val="22"/>
        </w:rPr>
        <w:t xml:space="preserve">投标人名称（盖章）： </w:t>
      </w:r>
    </w:p>
    <w:p w14:paraId="446A5C08">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                       </w:t>
      </w:r>
    </w:p>
    <w:p w14:paraId="6B7F67AD">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0C73FC2A">
      <w:pPr>
        <w:rPr>
          <w:rFonts w:hint="eastAsia" w:ascii="Times New Roman" w:hAnsi="Times New Roman" w:eastAsia="宋体" w:cs="宋体"/>
          <w:b/>
          <w:bCs/>
          <w:sz w:val="32"/>
        </w:rPr>
      </w:pPr>
      <w:r>
        <w:rPr>
          <w:rFonts w:hint="eastAsia" w:ascii="Times New Roman" w:hAnsi="Times New Roman" w:eastAsia="宋体" w:cs="宋体"/>
          <w:b/>
          <w:bCs/>
          <w:sz w:val="32"/>
        </w:rPr>
        <w:br w:type="page"/>
      </w:r>
    </w:p>
    <w:p w14:paraId="1C2BF69D">
      <w:pPr>
        <w:shd w:val="clear" w:color="auto" w:fill="FFFFFF"/>
        <w:spacing w:line="360" w:lineRule="auto"/>
        <w:jc w:val="center"/>
        <w:rPr>
          <w:rFonts w:ascii="Times New Roman" w:hAnsi="Times New Roman" w:eastAsia="宋体" w:cs="宋体"/>
          <w:b/>
          <w:bCs/>
          <w:sz w:val="32"/>
        </w:rPr>
      </w:pPr>
      <w:r>
        <w:rPr>
          <w:rFonts w:hint="eastAsia" w:ascii="Times New Roman" w:hAnsi="Times New Roman" w:eastAsia="宋体" w:cs="宋体"/>
          <w:b/>
          <w:bCs/>
          <w:sz w:val="32"/>
        </w:rPr>
        <w:t>三、法定代表人授权书</w:t>
      </w:r>
    </w:p>
    <w:p w14:paraId="013D5C3B">
      <w:pPr>
        <w:rPr>
          <w:bCs/>
          <w:sz w:val="24"/>
        </w:rPr>
      </w:pPr>
    </w:p>
    <w:p w14:paraId="5BE3C00C">
      <w:pPr>
        <w:spacing w:line="360" w:lineRule="exact"/>
        <w:rPr>
          <w:bCs/>
          <w:sz w:val="22"/>
        </w:rPr>
      </w:pPr>
      <w:r>
        <w:rPr>
          <w:sz w:val="22"/>
        </w:rPr>
        <w:t>致：</w:t>
      </w:r>
      <w:r>
        <w:rPr>
          <w:bCs/>
          <w:sz w:val="22"/>
        </w:rPr>
        <w:t>深圳市东海国际招标有限公司：</w:t>
      </w:r>
    </w:p>
    <w:p w14:paraId="4D2E618C">
      <w:pPr>
        <w:spacing w:line="360" w:lineRule="exact"/>
        <w:rPr>
          <w:bCs/>
          <w:sz w:val="22"/>
        </w:rPr>
      </w:pPr>
    </w:p>
    <w:p w14:paraId="70EE5016">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4F3C2F72">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6CC9AD17">
      <w:pPr>
        <w:spacing w:line="360" w:lineRule="exact"/>
        <w:rPr>
          <w:bCs/>
          <w:sz w:val="22"/>
        </w:rPr>
      </w:pPr>
    </w:p>
    <w:p w14:paraId="66DD2C6D">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1B5FC696">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26E0ECEC">
      <w:pPr>
        <w:spacing w:line="360" w:lineRule="exact"/>
        <w:ind w:firstLine="110" w:firstLineChars="50"/>
        <w:rPr>
          <w:bCs/>
          <w:sz w:val="22"/>
        </w:rPr>
      </w:pPr>
      <w:r>
        <w:rPr>
          <w:bCs/>
          <w:sz w:val="22"/>
        </w:rPr>
        <w:t>身份证号码：</w:t>
      </w:r>
      <w:r>
        <w:rPr>
          <w:bCs/>
          <w:sz w:val="22"/>
          <w:u w:val="single"/>
        </w:rPr>
        <w:t xml:space="preserve">                                           </w:t>
      </w:r>
    </w:p>
    <w:p w14:paraId="1BF03D78">
      <w:pPr>
        <w:spacing w:line="360" w:lineRule="exact"/>
        <w:ind w:firstLine="110" w:firstLineChars="50"/>
        <w:rPr>
          <w:bCs/>
          <w:sz w:val="22"/>
          <w:u w:val="single"/>
        </w:rPr>
      </w:pPr>
      <w:r>
        <w:rPr>
          <w:bCs/>
          <w:sz w:val="22"/>
        </w:rPr>
        <w:t>投标人（盖章）：</w:t>
      </w:r>
      <w:r>
        <w:rPr>
          <w:bCs/>
          <w:sz w:val="22"/>
          <w:u w:val="single"/>
        </w:rPr>
        <w:t xml:space="preserve">                                        </w:t>
      </w:r>
    </w:p>
    <w:p w14:paraId="164A952B">
      <w:pPr>
        <w:spacing w:line="360" w:lineRule="exact"/>
        <w:ind w:firstLine="110" w:firstLineChars="50"/>
        <w:rPr>
          <w:bCs/>
          <w:sz w:val="22"/>
          <w:u w:val="single"/>
        </w:rPr>
      </w:pPr>
      <w:r>
        <w:rPr>
          <w:bCs/>
          <w:sz w:val="22"/>
        </w:rPr>
        <w:t>法定代表人（签名）：</w:t>
      </w:r>
      <w:r>
        <w:rPr>
          <w:bCs/>
          <w:sz w:val="22"/>
          <w:u w:val="single"/>
        </w:rPr>
        <w:t xml:space="preserve">                                    </w:t>
      </w:r>
    </w:p>
    <w:p w14:paraId="4DC33126">
      <w:pPr>
        <w:spacing w:line="360" w:lineRule="exact"/>
        <w:ind w:firstLine="110" w:firstLineChars="50"/>
        <w:rPr>
          <w:bCs/>
          <w:sz w:val="22"/>
          <w:u w:val="single"/>
        </w:rPr>
      </w:pPr>
      <w:r>
        <w:rPr>
          <w:bCs/>
          <w:sz w:val="22"/>
        </w:rPr>
        <w:t>被授权人（签名）：</w:t>
      </w:r>
      <w:r>
        <w:rPr>
          <w:bCs/>
          <w:sz w:val="22"/>
          <w:u w:val="single"/>
        </w:rPr>
        <w:t xml:space="preserve">                                      </w:t>
      </w:r>
    </w:p>
    <w:p w14:paraId="3DE3AE73">
      <w:pPr>
        <w:spacing w:line="360" w:lineRule="exact"/>
        <w:rPr>
          <w:bCs/>
          <w:sz w:val="22"/>
        </w:rPr>
      </w:pPr>
    </w:p>
    <w:p w14:paraId="47DC22FA">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22B62E6C">
      <w:pPr>
        <w:spacing w:line="360" w:lineRule="exact"/>
        <w:jc w:val="left"/>
        <w:rPr>
          <w:rFonts w:hint="eastAsia"/>
          <w:bCs/>
          <w:sz w:val="22"/>
        </w:rPr>
      </w:pPr>
      <w:r>
        <w:rPr>
          <w:bCs/>
          <w:sz w:val="22"/>
        </w:rPr>
        <w:t>2.</w:t>
      </w:r>
      <w:r>
        <w:rPr>
          <w:rFonts w:hint="eastAsia"/>
          <w:b/>
          <w:color w:val="FF0000"/>
          <w:sz w:val="22"/>
        </w:rPr>
        <w:t>提供通过投标人缴纳的近一个月的社保证明（如供应商为新成立单位且成立时间不足一个月的，可提供加盖公章的情况说明或者证明材料亦视为符合。如为退休返聘人员则提供劳动合同或返聘协议扫描件）</w:t>
      </w:r>
      <w:r>
        <w:rPr>
          <w:rFonts w:hint="eastAsia"/>
          <w:b/>
          <w:sz w:val="22"/>
        </w:rPr>
        <w:t>；</w:t>
      </w:r>
    </w:p>
    <w:p w14:paraId="1E7162E6">
      <w:pPr>
        <w:spacing w:line="360" w:lineRule="exact"/>
        <w:jc w:val="left"/>
        <w:rPr>
          <w:bCs/>
          <w:sz w:val="22"/>
        </w:rPr>
      </w:pPr>
      <w:r>
        <w:rPr>
          <w:rFonts w:hint="eastAsia"/>
          <w:bCs/>
          <w:sz w:val="22"/>
        </w:rPr>
        <w:t>3.</w:t>
      </w:r>
      <w:r>
        <w:rPr>
          <w:bCs/>
          <w:sz w:val="22"/>
        </w:rPr>
        <w:t>提供代理人的身份证复印件（附后）。</w:t>
      </w:r>
    </w:p>
    <w:p w14:paraId="17C2919F">
      <w:pPr>
        <w:pStyle w:val="4"/>
        <w:jc w:val="center"/>
        <w:rPr>
          <w:sz w:val="32"/>
          <w:szCs w:val="32"/>
        </w:rPr>
      </w:pPr>
      <w:r>
        <w:rPr>
          <w:highlight w:val="none"/>
        </w:rPr>
        <w:br w:type="page"/>
      </w:r>
      <w:r>
        <w:rPr>
          <w:b w:val="0"/>
          <w:sz w:val="32"/>
          <w:szCs w:val="32"/>
        </w:rPr>
        <w:t>附件2、投标文件</w:t>
      </w:r>
    </w:p>
    <w:p w14:paraId="3BD169F0">
      <w:pPr>
        <w:rPr>
          <w:szCs w:val="21"/>
        </w:rPr>
      </w:pPr>
    </w:p>
    <w:p w14:paraId="7F52BAAE">
      <w:pPr>
        <w:rPr>
          <w:szCs w:val="21"/>
        </w:rPr>
      </w:pPr>
    </w:p>
    <w:p w14:paraId="5AC59969">
      <w:pPr>
        <w:pStyle w:val="84"/>
        <w:ind w:left="0" w:leftChars="0" w:firstLine="0" w:firstLineChars="0"/>
      </w:pPr>
    </w:p>
    <w:p w14:paraId="4ADF3120">
      <w:pPr>
        <w:pStyle w:val="84"/>
        <w:ind w:left="0" w:leftChars="0" w:firstLine="0" w:firstLineChars="0"/>
      </w:pPr>
    </w:p>
    <w:p w14:paraId="588D44C5">
      <w:pPr>
        <w:pStyle w:val="84"/>
        <w:ind w:left="0" w:leftChars="0" w:firstLine="0" w:firstLineChars="0"/>
      </w:pPr>
    </w:p>
    <w:p w14:paraId="1475ECEE">
      <w:pPr>
        <w:jc w:val="center"/>
        <w:rPr>
          <w:rFonts w:hint="eastAsia" w:eastAsia="宋体"/>
          <w:sz w:val="44"/>
          <w:szCs w:val="44"/>
          <w:lang w:eastAsia="zh-CN"/>
        </w:rPr>
      </w:pPr>
      <w:r>
        <w:rPr>
          <w:rFonts w:hint="eastAsia"/>
          <w:sz w:val="44"/>
          <w:szCs w:val="44"/>
          <w:lang w:eastAsia="zh-CN"/>
        </w:rPr>
        <w:t>广东省深圳市消防救援支队大亚湾特勤大队2024年食材配送服务采购项目</w:t>
      </w:r>
    </w:p>
    <w:p w14:paraId="7DA26740">
      <w:pPr>
        <w:jc w:val="center"/>
        <w:rPr>
          <w:sz w:val="44"/>
          <w:szCs w:val="44"/>
        </w:rPr>
      </w:pPr>
      <w:r>
        <w:rPr>
          <w:sz w:val="44"/>
          <w:szCs w:val="44"/>
        </w:rPr>
        <w:t>（投标文件）</w:t>
      </w:r>
    </w:p>
    <w:p w14:paraId="75EC05F1">
      <w:pPr>
        <w:jc w:val="center"/>
        <w:rPr>
          <w:sz w:val="44"/>
          <w:szCs w:val="44"/>
        </w:rPr>
      </w:pPr>
    </w:p>
    <w:p w14:paraId="10BD6135">
      <w:pPr>
        <w:jc w:val="center"/>
        <w:rPr>
          <w:sz w:val="44"/>
          <w:szCs w:val="44"/>
        </w:rPr>
      </w:pPr>
    </w:p>
    <w:p w14:paraId="6076D1B7">
      <w:pPr>
        <w:jc w:val="center"/>
        <w:rPr>
          <w:sz w:val="44"/>
          <w:szCs w:val="44"/>
        </w:rPr>
      </w:pPr>
    </w:p>
    <w:p w14:paraId="6C1EA102">
      <w:pPr>
        <w:jc w:val="center"/>
        <w:rPr>
          <w:sz w:val="44"/>
          <w:szCs w:val="44"/>
        </w:rPr>
      </w:pPr>
    </w:p>
    <w:p w14:paraId="5CD4FBFD">
      <w:pPr>
        <w:rPr>
          <w:sz w:val="44"/>
          <w:szCs w:val="44"/>
        </w:rPr>
      </w:pPr>
    </w:p>
    <w:p w14:paraId="4CD7C871">
      <w:pPr>
        <w:spacing w:line="480" w:lineRule="auto"/>
        <w:ind w:firstLine="1400" w:firstLineChars="500"/>
        <w:rPr>
          <w:sz w:val="28"/>
          <w:szCs w:val="28"/>
          <w:u w:val="single"/>
        </w:rPr>
      </w:pPr>
      <w:r>
        <w:rPr>
          <w:sz w:val="28"/>
          <w:szCs w:val="28"/>
        </w:rPr>
        <w:t>项目编号：________________________</w:t>
      </w:r>
    </w:p>
    <w:p w14:paraId="04E4EC66">
      <w:pPr>
        <w:spacing w:line="480" w:lineRule="auto"/>
        <w:ind w:firstLine="1400" w:firstLineChars="500"/>
        <w:rPr>
          <w:sz w:val="28"/>
          <w:szCs w:val="28"/>
          <w:u w:val="single"/>
        </w:rPr>
      </w:pPr>
      <w:r>
        <w:rPr>
          <w:sz w:val="28"/>
          <w:szCs w:val="28"/>
        </w:rPr>
        <w:t>供应商（盖章）：___________________</w:t>
      </w:r>
    </w:p>
    <w:p w14:paraId="7C9D06F6">
      <w:pPr>
        <w:spacing w:line="480" w:lineRule="auto"/>
        <w:ind w:firstLine="1400" w:firstLineChars="500"/>
        <w:rPr>
          <w:sz w:val="28"/>
          <w:szCs w:val="28"/>
        </w:rPr>
      </w:pPr>
      <w:r>
        <w:rPr>
          <w:sz w:val="28"/>
          <w:szCs w:val="28"/>
        </w:rPr>
        <w:t>法定代表人或授权委托人签字：____________</w:t>
      </w:r>
    </w:p>
    <w:p w14:paraId="3570D57F">
      <w:pPr>
        <w:spacing w:line="480" w:lineRule="auto"/>
        <w:ind w:firstLine="1400" w:firstLineChars="500"/>
        <w:rPr>
          <w:sz w:val="28"/>
          <w:szCs w:val="28"/>
        </w:rPr>
      </w:pPr>
      <w:r>
        <w:rPr>
          <w:sz w:val="28"/>
          <w:szCs w:val="28"/>
        </w:rPr>
        <w:t>投标日期：______年_____月______日</w:t>
      </w:r>
    </w:p>
    <w:p w14:paraId="202A37FA">
      <w:pPr>
        <w:tabs>
          <w:tab w:val="clear" w:pos="426"/>
        </w:tabs>
        <w:ind w:left="1275" w:leftChars="607"/>
        <w:rPr>
          <w:sz w:val="28"/>
          <w:szCs w:val="28"/>
          <w:highlight w:val="none"/>
        </w:rPr>
      </w:pPr>
    </w:p>
    <w:p w14:paraId="67BB2776">
      <w:pPr>
        <w:tabs>
          <w:tab w:val="clear" w:pos="426"/>
        </w:tabs>
        <w:rPr>
          <w:highlight w:val="none"/>
        </w:rPr>
      </w:pPr>
    </w:p>
    <w:p w14:paraId="7C0B51D8">
      <w:pPr>
        <w:adjustRightInd/>
        <w:snapToGrid/>
        <w:spacing w:before="280" w:after="290" w:line="376" w:lineRule="auto"/>
        <w:jc w:val="center"/>
        <w:rPr>
          <w:b/>
          <w:sz w:val="24"/>
          <w:highlight w:val="none"/>
        </w:rPr>
      </w:pPr>
      <w:r>
        <w:rPr>
          <w:highlight w:val="none"/>
        </w:rPr>
        <w:br w:type="page"/>
      </w:r>
      <w:bookmarkStart w:id="49" w:name="_Toc528170808"/>
      <w:bookmarkStart w:id="50" w:name="_Toc518464368"/>
      <w:bookmarkStart w:id="51" w:name="_Toc528675180"/>
      <w:r>
        <w:rPr>
          <w:rFonts w:hint="eastAsia"/>
          <w:b/>
          <w:sz w:val="24"/>
          <w:highlight w:val="none"/>
        </w:rPr>
        <w:t>投标文件目录（目录格式自定）</w:t>
      </w:r>
      <w:bookmarkEnd w:id="49"/>
      <w:bookmarkEnd w:id="50"/>
      <w:bookmarkEnd w:id="51"/>
    </w:p>
    <w:p w14:paraId="36480E06">
      <w:pPr>
        <w:tabs>
          <w:tab w:val="clear" w:pos="426"/>
        </w:tabs>
        <w:rPr>
          <w:highlight w:val="none"/>
        </w:rPr>
      </w:pPr>
      <w:r>
        <w:rPr>
          <w:rFonts w:hint="eastAsia"/>
          <w:highlight w:val="none"/>
        </w:rPr>
        <w:t>按照招标文件的要求编制投标文件相应内容，请标明各部分内容的页码。</w:t>
      </w:r>
    </w:p>
    <w:p w14:paraId="38823371">
      <w:pPr>
        <w:tabs>
          <w:tab w:val="clear" w:pos="426"/>
        </w:tabs>
        <w:rPr>
          <w:highlight w:val="none"/>
        </w:rPr>
      </w:pPr>
    </w:p>
    <w:p w14:paraId="0C0B64D6">
      <w:pPr>
        <w:tabs>
          <w:tab w:val="clear" w:pos="426"/>
        </w:tabs>
        <w:rPr>
          <w:highlight w:val="none"/>
        </w:rPr>
      </w:pPr>
    </w:p>
    <w:p w14:paraId="144E2CDB">
      <w:pPr>
        <w:adjustRightInd/>
        <w:snapToGrid/>
        <w:spacing w:before="280" w:after="290" w:line="376" w:lineRule="auto"/>
        <w:jc w:val="center"/>
        <w:rPr>
          <w:b/>
          <w:sz w:val="24"/>
          <w:highlight w:val="none"/>
        </w:rPr>
      </w:pPr>
      <w:r>
        <w:rPr>
          <w:highlight w:val="none"/>
        </w:rPr>
        <w:br w:type="page"/>
      </w:r>
      <w:bookmarkStart w:id="52" w:name="_Toc528675181"/>
      <w:bookmarkStart w:id="53" w:name="_Toc518464369"/>
      <w:bookmarkStart w:id="54" w:name="_Toc528170809"/>
      <w:r>
        <w:rPr>
          <w:rFonts w:hint="eastAsia"/>
          <w:b/>
          <w:sz w:val="24"/>
          <w:highlight w:val="none"/>
        </w:rPr>
        <w:t>评标指引表</w:t>
      </w:r>
      <w:bookmarkEnd w:id="52"/>
      <w:bookmarkEnd w:id="53"/>
      <w:bookmarkEnd w:id="54"/>
    </w:p>
    <w:p w14:paraId="2E88E2A0">
      <w:pPr>
        <w:tabs>
          <w:tab w:val="clear" w:pos="426"/>
        </w:tabs>
        <w:jc w:val="center"/>
        <w:rPr>
          <w:b/>
          <w:highlight w:val="none"/>
        </w:rPr>
      </w:pPr>
      <w:r>
        <w:rPr>
          <w:rFonts w:hint="eastAsia"/>
          <w:b/>
          <w:highlight w:val="none"/>
        </w:rPr>
        <w:t>（置于投标文件的首页）</w:t>
      </w:r>
    </w:p>
    <w:p w14:paraId="6D323743">
      <w:pPr>
        <w:tabs>
          <w:tab w:val="clear" w:pos="426"/>
        </w:tabs>
        <w:ind w:firstLine="420" w:firstLineChars="200"/>
        <w:rPr>
          <w:highlight w:val="none"/>
        </w:rPr>
      </w:pPr>
      <w:r>
        <w:rPr>
          <w:rFonts w:hint="eastAsia"/>
          <w:szCs w:val="21"/>
          <w:highlight w:val="none"/>
        </w:rPr>
        <w:t>为方便参与该项目的评委专家的评标，快速找到评标事项与该项目投标文件所对应的位置，请投标供应商参照下表格式，编制本项目评标指引表。</w:t>
      </w:r>
    </w:p>
    <w:p w14:paraId="461B99EF">
      <w:pPr>
        <w:tabs>
          <w:tab w:val="clear" w:pos="426"/>
        </w:tabs>
        <w:jc w:val="center"/>
        <w:rPr>
          <w:b/>
          <w:highlight w:val="none"/>
        </w:rPr>
      </w:pPr>
      <w:r>
        <w:rPr>
          <w:rFonts w:hint="eastAsia"/>
          <w:b/>
          <w:highlight w:val="none"/>
        </w:rPr>
        <w:t>项目评标指引表</w:t>
      </w:r>
    </w:p>
    <w:tbl>
      <w:tblPr>
        <w:tblStyle w:val="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4262"/>
        <w:gridCol w:w="2528"/>
        <w:gridCol w:w="1009"/>
        <w:gridCol w:w="973"/>
      </w:tblGrid>
      <w:tr w14:paraId="530C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noWrap w:val="0"/>
            <w:vAlign w:val="top"/>
          </w:tcPr>
          <w:p w14:paraId="1DD10EE5">
            <w:pPr>
              <w:spacing w:line="360" w:lineRule="exact"/>
              <w:jc w:val="center"/>
              <w:rPr>
                <w:rFonts w:hint="eastAsia" w:ascii="宋体" w:hAnsi="宋体" w:cs="宋体"/>
                <w:b/>
                <w:sz w:val="24"/>
                <w:szCs w:val="24"/>
              </w:rPr>
            </w:pPr>
            <w:r>
              <w:rPr>
                <w:rFonts w:hint="eastAsia" w:ascii="宋体" w:hAnsi="宋体" w:cs="宋体"/>
                <w:b/>
                <w:sz w:val="24"/>
                <w:szCs w:val="24"/>
              </w:rPr>
              <w:t>一、资格性检查指引</w:t>
            </w:r>
          </w:p>
        </w:tc>
      </w:tr>
      <w:tr w14:paraId="59754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20D32326">
            <w:pPr>
              <w:spacing w:line="360" w:lineRule="exact"/>
              <w:jc w:val="center"/>
              <w:rPr>
                <w:rFonts w:hint="eastAsia" w:ascii="宋体" w:hAnsi="宋体" w:cs="宋体"/>
                <w:b/>
                <w:sz w:val="24"/>
                <w:szCs w:val="24"/>
              </w:rPr>
            </w:pPr>
            <w:r>
              <w:rPr>
                <w:rFonts w:hint="eastAsia" w:ascii="宋体" w:hAnsi="宋体" w:cs="宋体"/>
                <w:b/>
                <w:sz w:val="24"/>
                <w:szCs w:val="24"/>
              </w:rPr>
              <w:t>序号</w:t>
            </w:r>
          </w:p>
        </w:tc>
        <w:tc>
          <w:tcPr>
            <w:tcW w:w="2227" w:type="pct"/>
            <w:noWrap w:val="0"/>
            <w:vAlign w:val="center"/>
          </w:tcPr>
          <w:p w14:paraId="69158810">
            <w:pPr>
              <w:spacing w:line="360" w:lineRule="exact"/>
              <w:jc w:val="center"/>
              <w:rPr>
                <w:rFonts w:hint="eastAsia" w:ascii="宋体" w:hAnsi="宋体" w:cs="宋体"/>
                <w:b/>
                <w:sz w:val="24"/>
                <w:szCs w:val="24"/>
              </w:rPr>
            </w:pPr>
            <w:r>
              <w:rPr>
                <w:rFonts w:hint="eastAsia" w:ascii="宋体" w:hAnsi="宋体" w:cs="宋体"/>
                <w:b/>
                <w:sz w:val="24"/>
                <w:szCs w:val="24"/>
              </w:rPr>
              <w:t>资格性检查项目</w:t>
            </w:r>
          </w:p>
        </w:tc>
        <w:tc>
          <w:tcPr>
            <w:tcW w:w="1847" w:type="pct"/>
            <w:gridSpan w:val="2"/>
            <w:noWrap w:val="0"/>
            <w:vAlign w:val="center"/>
          </w:tcPr>
          <w:p w14:paraId="5DC0BBA3">
            <w:pPr>
              <w:spacing w:line="360" w:lineRule="exact"/>
              <w:jc w:val="center"/>
              <w:rPr>
                <w:rFonts w:hint="eastAsia" w:ascii="宋体" w:hAnsi="宋体" w:cs="宋体"/>
                <w:b/>
                <w:sz w:val="24"/>
                <w:szCs w:val="24"/>
              </w:rPr>
            </w:pPr>
            <w:r>
              <w:rPr>
                <w:rFonts w:hint="eastAsia" w:ascii="宋体" w:hAnsi="宋体" w:cs="宋体"/>
                <w:b/>
                <w:sz w:val="24"/>
                <w:szCs w:val="24"/>
              </w:rPr>
              <w:t>证明文件</w:t>
            </w:r>
          </w:p>
        </w:tc>
        <w:tc>
          <w:tcPr>
            <w:tcW w:w="506" w:type="pct"/>
            <w:noWrap w:val="0"/>
            <w:vAlign w:val="center"/>
          </w:tcPr>
          <w:p w14:paraId="75410A56">
            <w:pPr>
              <w:spacing w:line="360" w:lineRule="exact"/>
              <w:jc w:val="center"/>
              <w:rPr>
                <w:rFonts w:hint="eastAsia" w:ascii="宋体" w:hAnsi="宋体" w:cs="宋体"/>
                <w:b/>
                <w:sz w:val="24"/>
                <w:szCs w:val="24"/>
              </w:rPr>
            </w:pPr>
            <w:r>
              <w:rPr>
                <w:rFonts w:hint="eastAsia" w:ascii="宋体" w:hAnsi="宋体" w:cs="宋体"/>
                <w:b/>
                <w:sz w:val="24"/>
                <w:szCs w:val="24"/>
              </w:rPr>
              <w:t>起止页码</w:t>
            </w:r>
          </w:p>
        </w:tc>
      </w:tr>
      <w:tr w14:paraId="51051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restart"/>
            <w:noWrap w:val="0"/>
            <w:vAlign w:val="center"/>
          </w:tcPr>
          <w:p w14:paraId="097A333C">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4262" w:type="dxa"/>
            <w:vMerge w:val="restart"/>
            <w:noWrap w:val="0"/>
            <w:vAlign w:val="center"/>
          </w:tcPr>
          <w:p w14:paraId="6B7DB5C2">
            <w:pPr>
              <w:spacing w:line="360" w:lineRule="exact"/>
              <w:rPr>
                <w:rFonts w:hint="eastAsia" w:ascii="宋体" w:hAnsi="宋体" w:eastAsia="宋体" w:cs="宋体"/>
                <w:b/>
                <w:sz w:val="24"/>
                <w:szCs w:val="24"/>
              </w:rPr>
            </w:pPr>
            <w:r>
              <w:rPr>
                <w:rFonts w:hint="eastAsia" w:ascii="宋体" w:hAnsi="宋体" w:eastAsia="宋体" w:cs="宋体"/>
                <w:sz w:val="24"/>
                <w:szCs w:val="24"/>
                <w:lang w:eastAsia="zh-CN"/>
              </w:rPr>
              <w:t>不具备采购文件所列的资格要求，或未提交相应的资格证明资料（详见采购公告投标人资质要求）</w:t>
            </w:r>
          </w:p>
        </w:tc>
        <w:tc>
          <w:tcPr>
            <w:tcW w:w="1847" w:type="pct"/>
            <w:gridSpan w:val="2"/>
            <w:noWrap w:val="0"/>
            <w:vAlign w:val="center"/>
          </w:tcPr>
          <w:p w14:paraId="139721BB">
            <w:pPr>
              <w:spacing w:line="360" w:lineRule="exact"/>
              <w:jc w:val="left"/>
              <w:rPr>
                <w:rFonts w:hint="eastAsia" w:ascii="宋体" w:hAnsi="宋体" w:eastAsia="宋体" w:cs="宋体"/>
                <w:sz w:val="24"/>
                <w:szCs w:val="24"/>
              </w:rPr>
            </w:pPr>
            <w:r>
              <w:rPr>
                <w:rFonts w:hint="eastAsia" w:ascii="宋体" w:hAnsi="宋体" w:eastAsia="宋体" w:cs="宋体"/>
                <w:sz w:val="24"/>
                <w:szCs w:val="24"/>
              </w:rPr>
              <w:t>营业执照</w:t>
            </w:r>
          </w:p>
        </w:tc>
        <w:tc>
          <w:tcPr>
            <w:tcW w:w="506" w:type="pct"/>
            <w:noWrap w:val="0"/>
            <w:vAlign w:val="center"/>
          </w:tcPr>
          <w:p w14:paraId="79C1F399">
            <w:pPr>
              <w:spacing w:line="360" w:lineRule="exact"/>
              <w:jc w:val="center"/>
              <w:rPr>
                <w:rFonts w:hint="eastAsia" w:ascii="宋体" w:hAnsi="宋体" w:eastAsia="宋体" w:cs="宋体"/>
                <w:b/>
                <w:sz w:val="24"/>
                <w:szCs w:val="24"/>
              </w:rPr>
            </w:pPr>
          </w:p>
        </w:tc>
      </w:tr>
      <w:tr w14:paraId="60FB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noWrap w:val="0"/>
            <w:vAlign w:val="center"/>
          </w:tcPr>
          <w:p w14:paraId="071CC4B7">
            <w:pPr>
              <w:spacing w:line="360" w:lineRule="exact"/>
              <w:jc w:val="center"/>
              <w:rPr>
                <w:rFonts w:hint="eastAsia" w:ascii="宋体" w:hAnsi="宋体" w:eastAsia="宋体" w:cs="宋体"/>
                <w:sz w:val="24"/>
                <w:szCs w:val="24"/>
              </w:rPr>
            </w:pPr>
          </w:p>
        </w:tc>
        <w:tc>
          <w:tcPr>
            <w:tcW w:w="2227" w:type="pct"/>
            <w:vMerge w:val="continue"/>
            <w:noWrap w:val="0"/>
            <w:vAlign w:val="center"/>
          </w:tcPr>
          <w:p w14:paraId="6F0C206C">
            <w:pPr>
              <w:spacing w:line="360" w:lineRule="exact"/>
              <w:jc w:val="left"/>
              <w:rPr>
                <w:rFonts w:hint="eastAsia" w:ascii="宋体" w:hAnsi="宋体" w:eastAsia="宋体" w:cs="宋体"/>
                <w:sz w:val="24"/>
                <w:szCs w:val="24"/>
              </w:rPr>
            </w:pPr>
          </w:p>
        </w:tc>
        <w:tc>
          <w:tcPr>
            <w:tcW w:w="1847" w:type="pct"/>
            <w:gridSpan w:val="2"/>
            <w:noWrap w:val="0"/>
            <w:vAlign w:val="center"/>
          </w:tcPr>
          <w:p w14:paraId="5EA0AE98">
            <w:pPr>
              <w:spacing w:line="360" w:lineRule="exact"/>
              <w:jc w:val="left"/>
              <w:rPr>
                <w:rFonts w:hint="eastAsia" w:ascii="宋体" w:hAnsi="宋体" w:eastAsia="宋体" w:cs="宋体"/>
                <w:sz w:val="24"/>
                <w:szCs w:val="24"/>
              </w:rPr>
            </w:pPr>
            <w:r>
              <w:rPr>
                <w:rFonts w:hint="eastAsia" w:ascii="宋体" w:hAnsi="宋体" w:eastAsia="宋体" w:cs="宋体"/>
                <w:sz w:val="24"/>
                <w:szCs w:val="24"/>
              </w:rPr>
              <w:t>……</w:t>
            </w:r>
          </w:p>
        </w:tc>
        <w:tc>
          <w:tcPr>
            <w:tcW w:w="506" w:type="pct"/>
            <w:noWrap w:val="0"/>
            <w:vAlign w:val="center"/>
          </w:tcPr>
          <w:p w14:paraId="6E677116">
            <w:pPr>
              <w:spacing w:line="360" w:lineRule="exact"/>
              <w:jc w:val="center"/>
              <w:rPr>
                <w:rFonts w:hint="eastAsia" w:ascii="宋体" w:hAnsi="宋体" w:eastAsia="宋体" w:cs="宋体"/>
                <w:b/>
                <w:sz w:val="24"/>
                <w:szCs w:val="24"/>
              </w:rPr>
            </w:pPr>
          </w:p>
        </w:tc>
      </w:tr>
      <w:tr w14:paraId="49D6F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vMerge w:val="continue"/>
            <w:noWrap w:val="0"/>
            <w:vAlign w:val="center"/>
          </w:tcPr>
          <w:p w14:paraId="55A59957">
            <w:pPr>
              <w:spacing w:line="360" w:lineRule="exact"/>
              <w:jc w:val="center"/>
              <w:rPr>
                <w:rFonts w:hint="eastAsia" w:ascii="宋体" w:hAnsi="宋体" w:eastAsia="宋体" w:cs="宋体"/>
                <w:sz w:val="24"/>
                <w:szCs w:val="24"/>
              </w:rPr>
            </w:pPr>
          </w:p>
        </w:tc>
        <w:tc>
          <w:tcPr>
            <w:tcW w:w="2227" w:type="pct"/>
            <w:vMerge w:val="continue"/>
            <w:noWrap w:val="0"/>
            <w:vAlign w:val="center"/>
          </w:tcPr>
          <w:p w14:paraId="67D87995">
            <w:pPr>
              <w:spacing w:line="360" w:lineRule="exact"/>
              <w:jc w:val="left"/>
              <w:rPr>
                <w:rFonts w:hint="eastAsia" w:ascii="宋体" w:hAnsi="宋体" w:eastAsia="宋体" w:cs="宋体"/>
                <w:sz w:val="24"/>
                <w:szCs w:val="24"/>
              </w:rPr>
            </w:pPr>
          </w:p>
        </w:tc>
        <w:tc>
          <w:tcPr>
            <w:tcW w:w="1847" w:type="pct"/>
            <w:gridSpan w:val="2"/>
            <w:noWrap w:val="0"/>
            <w:vAlign w:val="center"/>
          </w:tcPr>
          <w:p w14:paraId="786D68E2">
            <w:pPr>
              <w:spacing w:line="360" w:lineRule="exact"/>
              <w:jc w:val="left"/>
              <w:rPr>
                <w:rFonts w:hint="eastAsia" w:ascii="宋体" w:hAnsi="宋体" w:eastAsia="宋体" w:cs="宋体"/>
                <w:sz w:val="24"/>
                <w:szCs w:val="24"/>
              </w:rPr>
            </w:pPr>
            <w:r>
              <w:rPr>
                <w:rFonts w:hint="eastAsia" w:ascii="宋体" w:hAnsi="宋体" w:eastAsia="宋体" w:cs="宋体"/>
                <w:sz w:val="24"/>
                <w:szCs w:val="24"/>
              </w:rPr>
              <w:t>……</w:t>
            </w:r>
          </w:p>
        </w:tc>
        <w:tc>
          <w:tcPr>
            <w:tcW w:w="506" w:type="pct"/>
            <w:noWrap w:val="0"/>
            <w:vAlign w:val="center"/>
          </w:tcPr>
          <w:p w14:paraId="36756CEB">
            <w:pPr>
              <w:spacing w:line="360" w:lineRule="exact"/>
              <w:jc w:val="center"/>
              <w:rPr>
                <w:rFonts w:hint="eastAsia" w:ascii="宋体" w:hAnsi="宋体" w:eastAsia="宋体" w:cs="宋体"/>
                <w:b/>
                <w:sz w:val="24"/>
                <w:szCs w:val="24"/>
              </w:rPr>
            </w:pPr>
          </w:p>
        </w:tc>
      </w:tr>
      <w:tr w14:paraId="0C31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417" w:type="pct"/>
            <w:noWrap w:val="0"/>
            <w:vAlign w:val="center"/>
          </w:tcPr>
          <w:p w14:paraId="11E9A659">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4262" w:type="dxa"/>
            <w:noWrap w:val="0"/>
            <w:vAlign w:val="center"/>
          </w:tcPr>
          <w:p w14:paraId="77B0AEEF">
            <w:pPr>
              <w:spacing w:line="360" w:lineRule="exact"/>
              <w:rPr>
                <w:rFonts w:hint="eastAsia" w:ascii="宋体" w:hAnsi="宋体" w:eastAsia="宋体" w:cs="宋体"/>
                <w:sz w:val="24"/>
                <w:szCs w:val="24"/>
              </w:rPr>
            </w:pPr>
            <w:r>
              <w:rPr>
                <w:rFonts w:hint="eastAsia" w:ascii="宋体" w:hAnsi="宋体" w:eastAsia="宋体" w:cs="宋体"/>
                <w:sz w:val="24"/>
                <w:szCs w:val="24"/>
                <w:lang w:eastAsia="zh-CN"/>
              </w:rPr>
              <w:t>不具备国家有关法律规定的有关资质的</w:t>
            </w:r>
          </w:p>
        </w:tc>
        <w:tc>
          <w:tcPr>
            <w:tcW w:w="1847" w:type="pct"/>
            <w:gridSpan w:val="2"/>
            <w:noWrap w:val="0"/>
            <w:vAlign w:val="center"/>
          </w:tcPr>
          <w:p w14:paraId="45A2C418">
            <w:pPr>
              <w:spacing w:line="360" w:lineRule="exact"/>
              <w:jc w:val="left"/>
              <w:rPr>
                <w:rFonts w:hint="eastAsia" w:ascii="宋体" w:hAnsi="宋体" w:eastAsia="宋体" w:cs="宋体"/>
                <w:sz w:val="24"/>
                <w:szCs w:val="24"/>
              </w:rPr>
            </w:pPr>
            <w:r>
              <w:rPr>
                <w:rFonts w:hint="eastAsia" w:ascii="宋体" w:hAnsi="宋体" w:eastAsia="宋体" w:cs="宋体"/>
                <w:sz w:val="24"/>
                <w:szCs w:val="24"/>
              </w:rPr>
              <w:t>无需提供证明材料，由需求单位核查。</w:t>
            </w:r>
          </w:p>
        </w:tc>
        <w:tc>
          <w:tcPr>
            <w:tcW w:w="506" w:type="pct"/>
            <w:noWrap w:val="0"/>
            <w:vAlign w:val="center"/>
          </w:tcPr>
          <w:p w14:paraId="21E5BE9E">
            <w:pPr>
              <w:spacing w:line="360" w:lineRule="exact"/>
              <w:jc w:val="center"/>
              <w:rPr>
                <w:rFonts w:hint="eastAsia" w:ascii="宋体" w:hAnsi="宋体" w:eastAsia="宋体" w:cs="宋体"/>
                <w:b/>
                <w:sz w:val="24"/>
                <w:szCs w:val="24"/>
              </w:rPr>
            </w:pPr>
          </w:p>
        </w:tc>
      </w:tr>
      <w:tr w14:paraId="43149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000" w:type="pct"/>
            <w:gridSpan w:val="5"/>
            <w:noWrap w:val="0"/>
            <w:vAlign w:val="top"/>
          </w:tcPr>
          <w:p w14:paraId="78764796">
            <w:pPr>
              <w:spacing w:line="360" w:lineRule="exact"/>
              <w:jc w:val="center"/>
              <w:rPr>
                <w:rFonts w:hint="eastAsia" w:ascii="宋体" w:hAnsi="宋体" w:cs="宋体"/>
                <w:b/>
                <w:sz w:val="24"/>
                <w:szCs w:val="24"/>
              </w:rPr>
            </w:pPr>
            <w:r>
              <w:rPr>
                <w:rFonts w:hint="eastAsia" w:ascii="宋体" w:hAnsi="宋体" w:cs="宋体"/>
                <w:b/>
                <w:sz w:val="24"/>
                <w:szCs w:val="24"/>
              </w:rPr>
              <w:t>二、符合性检查指引</w:t>
            </w:r>
          </w:p>
        </w:tc>
      </w:tr>
      <w:tr w14:paraId="06B31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top"/>
          </w:tcPr>
          <w:p w14:paraId="7F18F3FF">
            <w:pPr>
              <w:spacing w:line="360" w:lineRule="exact"/>
              <w:jc w:val="center"/>
              <w:rPr>
                <w:rFonts w:hint="eastAsia" w:ascii="宋体" w:hAnsi="宋体" w:cs="宋体"/>
                <w:b/>
                <w:sz w:val="24"/>
                <w:szCs w:val="24"/>
              </w:rPr>
            </w:pPr>
            <w:r>
              <w:rPr>
                <w:rFonts w:hint="eastAsia" w:ascii="宋体" w:hAnsi="宋体" w:cs="宋体"/>
                <w:b/>
                <w:sz w:val="24"/>
                <w:szCs w:val="24"/>
              </w:rPr>
              <w:t>序号</w:t>
            </w:r>
          </w:p>
        </w:tc>
        <w:tc>
          <w:tcPr>
            <w:tcW w:w="3548" w:type="pct"/>
            <w:gridSpan w:val="2"/>
            <w:noWrap w:val="0"/>
            <w:vAlign w:val="center"/>
          </w:tcPr>
          <w:p w14:paraId="4864A8BE">
            <w:pPr>
              <w:spacing w:line="360" w:lineRule="exact"/>
              <w:jc w:val="center"/>
              <w:rPr>
                <w:rFonts w:hint="eastAsia" w:ascii="宋体" w:hAnsi="宋体" w:cs="宋体"/>
                <w:b/>
                <w:sz w:val="24"/>
                <w:szCs w:val="24"/>
              </w:rPr>
            </w:pPr>
            <w:r>
              <w:rPr>
                <w:rFonts w:hint="eastAsia" w:ascii="宋体" w:hAnsi="宋体" w:cs="宋体"/>
                <w:b/>
                <w:sz w:val="24"/>
                <w:szCs w:val="24"/>
              </w:rPr>
              <w:t>符合性检查项目</w:t>
            </w:r>
          </w:p>
        </w:tc>
        <w:tc>
          <w:tcPr>
            <w:tcW w:w="1033" w:type="pct"/>
            <w:gridSpan w:val="2"/>
            <w:noWrap w:val="0"/>
            <w:vAlign w:val="center"/>
          </w:tcPr>
          <w:p w14:paraId="326AC07C">
            <w:pPr>
              <w:spacing w:line="360" w:lineRule="exact"/>
              <w:jc w:val="center"/>
              <w:rPr>
                <w:rFonts w:hint="eastAsia" w:ascii="宋体" w:hAnsi="宋体" w:cs="宋体"/>
                <w:b/>
                <w:sz w:val="24"/>
                <w:szCs w:val="24"/>
              </w:rPr>
            </w:pPr>
            <w:r>
              <w:rPr>
                <w:rFonts w:hint="eastAsia" w:ascii="宋体" w:hAnsi="宋体" w:cs="宋体"/>
                <w:b/>
                <w:sz w:val="24"/>
                <w:szCs w:val="24"/>
              </w:rPr>
              <w:t>参评人自查情况</w:t>
            </w:r>
          </w:p>
        </w:tc>
      </w:tr>
      <w:tr w14:paraId="4418E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56C344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6790" w:type="dxa"/>
            <w:gridSpan w:val="2"/>
            <w:noWrap w:val="0"/>
            <w:vAlign w:val="center"/>
          </w:tcPr>
          <w:p w14:paraId="2DBAFB26">
            <w:pPr>
              <w:spacing w:line="360" w:lineRule="exact"/>
              <w:jc w:val="left"/>
              <w:rPr>
                <w:rFonts w:hint="eastAsia" w:ascii="宋体" w:hAnsi="宋体" w:eastAsia="宋体" w:cs="宋体"/>
                <w:sz w:val="24"/>
                <w:szCs w:val="24"/>
              </w:rPr>
            </w:pPr>
            <w:r>
              <w:rPr>
                <w:rFonts w:hint="eastAsia" w:ascii="宋体" w:hAnsi="宋体" w:eastAsia="宋体" w:cs="宋体"/>
                <w:sz w:val="24"/>
                <w:szCs w:val="24"/>
              </w:rPr>
              <w:t>将一个包中的内容拆开投标</w:t>
            </w:r>
          </w:p>
        </w:tc>
        <w:tc>
          <w:tcPr>
            <w:tcW w:w="1033" w:type="pct"/>
            <w:gridSpan w:val="2"/>
            <w:noWrap w:val="0"/>
            <w:vAlign w:val="center"/>
          </w:tcPr>
          <w:p w14:paraId="67F7329D">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不存在（示例）</w:t>
            </w:r>
          </w:p>
        </w:tc>
      </w:tr>
      <w:tr w14:paraId="549B2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03B40C5E">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6790" w:type="dxa"/>
            <w:gridSpan w:val="2"/>
            <w:noWrap w:val="0"/>
            <w:vAlign w:val="center"/>
          </w:tcPr>
          <w:p w14:paraId="432240CE">
            <w:pPr>
              <w:spacing w:line="360" w:lineRule="exact"/>
              <w:jc w:val="left"/>
              <w:rPr>
                <w:rFonts w:hint="eastAsia" w:ascii="宋体" w:hAnsi="宋体" w:eastAsia="宋体" w:cs="宋体"/>
                <w:sz w:val="24"/>
                <w:szCs w:val="24"/>
              </w:rPr>
            </w:pPr>
            <w:r>
              <w:rPr>
                <w:rFonts w:hint="eastAsia" w:ascii="宋体" w:hAnsi="宋体" w:eastAsia="宋体" w:cs="宋体"/>
                <w:sz w:val="24"/>
                <w:szCs w:val="24"/>
              </w:rPr>
              <w:t>采购文件未规定允许有替代方案时，对同一货物投标时，同时提供两套或两套以上的投标方案</w:t>
            </w:r>
          </w:p>
        </w:tc>
        <w:tc>
          <w:tcPr>
            <w:tcW w:w="1033" w:type="pct"/>
            <w:gridSpan w:val="2"/>
            <w:noWrap w:val="0"/>
            <w:vAlign w:val="center"/>
          </w:tcPr>
          <w:p w14:paraId="3FE504F6">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w:t>
            </w:r>
          </w:p>
        </w:tc>
      </w:tr>
      <w:tr w14:paraId="79A3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1F15FB5F">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6790" w:type="dxa"/>
            <w:gridSpan w:val="2"/>
            <w:noWrap w:val="0"/>
            <w:vAlign w:val="center"/>
          </w:tcPr>
          <w:p w14:paraId="291BCBFA">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投标总价或分项报价高于财政预算限额的</w:t>
            </w:r>
          </w:p>
        </w:tc>
        <w:tc>
          <w:tcPr>
            <w:tcW w:w="1033" w:type="pct"/>
            <w:gridSpan w:val="2"/>
            <w:noWrap w:val="0"/>
            <w:vAlign w:val="center"/>
          </w:tcPr>
          <w:p w14:paraId="49F1B4D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w:t>
            </w:r>
          </w:p>
        </w:tc>
      </w:tr>
      <w:tr w14:paraId="55140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46CCB139">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6790" w:type="dxa"/>
            <w:gridSpan w:val="2"/>
            <w:noWrap w:val="0"/>
            <w:vAlign w:val="center"/>
          </w:tcPr>
          <w:p w14:paraId="63F3F865">
            <w:pPr>
              <w:spacing w:line="360" w:lineRule="exact"/>
              <w:jc w:val="left"/>
              <w:rPr>
                <w:rFonts w:hint="eastAsia" w:ascii="宋体" w:hAnsi="宋体" w:eastAsia="宋体" w:cs="宋体"/>
                <w:sz w:val="24"/>
                <w:szCs w:val="24"/>
              </w:rPr>
            </w:pPr>
            <w:r>
              <w:rPr>
                <w:rFonts w:hint="eastAsia" w:ascii="宋体" w:hAnsi="宋体" w:eastAsia="宋体" w:cs="宋体"/>
                <w:sz w:val="24"/>
                <w:szCs w:val="24"/>
              </w:rPr>
              <w:t>同一项目出现两个或以上报价</w:t>
            </w:r>
          </w:p>
        </w:tc>
        <w:tc>
          <w:tcPr>
            <w:tcW w:w="1033" w:type="pct"/>
            <w:gridSpan w:val="2"/>
            <w:noWrap w:val="0"/>
            <w:vAlign w:val="center"/>
          </w:tcPr>
          <w:p w14:paraId="232C3FD3">
            <w:pPr>
              <w:spacing w:line="360" w:lineRule="exact"/>
              <w:jc w:val="center"/>
              <w:rPr>
                <w:rFonts w:hint="eastAsia" w:ascii="宋体" w:hAnsi="宋体" w:eastAsia="宋体" w:cs="宋体"/>
                <w:b/>
                <w:sz w:val="24"/>
                <w:szCs w:val="24"/>
              </w:rPr>
            </w:pPr>
            <w:r>
              <w:rPr>
                <w:rFonts w:hint="eastAsia" w:ascii="宋体" w:hAnsi="宋体" w:eastAsia="宋体" w:cs="宋体"/>
                <w:sz w:val="24"/>
                <w:szCs w:val="24"/>
              </w:rPr>
              <w:t>……</w:t>
            </w:r>
          </w:p>
        </w:tc>
      </w:tr>
      <w:tr w14:paraId="0FFE6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364E4E66">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790" w:type="dxa"/>
            <w:gridSpan w:val="2"/>
            <w:noWrap w:val="0"/>
            <w:vAlign w:val="center"/>
          </w:tcPr>
          <w:p w14:paraId="7D763F73">
            <w:pPr>
              <w:spacing w:line="360" w:lineRule="exact"/>
              <w:jc w:val="left"/>
              <w:rPr>
                <w:rFonts w:hint="eastAsia" w:ascii="宋体" w:hAnsi="宋体" w:eastAsia="宋体" w:cs="宋体"/>
                <w:sz w:val="24"/>
                <w:szCs w:val="24"/>
              </w:rPr>
            </w:pPr>
            <w:r>
              <w:rPr>
                <w:rFonts w:hint="eastAsia" w:ascii="宋体" w:hAnsi="宋体" w:eastAsia="宋体" w:cs="宋体"/>
                <w:sz w:val="24"/>
                <w:szCs w:val="24"/>
              </w:rPr>
              <w:t>评审委员会认为投标人的报价明显低于其他通过符合性审查投标人的报价，有可能影响产品质量或者不能诚信履约的，投标人不能在合理的时间内提供书面说明，或无法提交相关证明材料，投标人不能证明其报价合理性的（若评审委员会成员对是否须由投标人作出报价合理性说明，以及书面说明是否采纳等判断不一致的，按照“少数服从多数”的原则确定评审委员会的意见）</w:t>
            </w:r>
          </w:p>
        </w:tc>
        <w:tc>
          <w:tcPr>
            <w:tcW w:w="1033" w:type="pct"/>
            <w:gridSpan w:val="2"/>
            <w:noWrap w:val="0"/>
            <w:vAlign w:val="center"/>
          </w:tcPr>
          <w:p w14:paraId="6E48633E">
            <w:pPr>
              <w:spacing w:line="360" w:lineRule="exact"/>
              <w:jc w:val="center"/>
              <w:rPr>
                <w:rFonts w:hint="eastAsia" w:ascii="宋体" w:hAnsi="宋体" w:eastAsia="宋体" w:cs="宋体"/>
                <w:b/>
                <w:sz w:val="24"/>
                <w:szCs w:val="24"/>
              </w:rPr>
            </w:pPr>
          </w:p>
        </w:tc>
      </w:tr>
      <w:tr w14:paraId="4AC87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155FC61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6790" w:type="dxa"/>
            <w:gridSpan w:val="2"/>
            <w:noWrap w:val="0"/>
            <w:vAlign w:val="center"/>
          </w:tcPr>
          <w:p w14:paraId="24A8346E">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投标报价有严重缺漏项目</w:t>
            </w:r>
          </w:p>
        </w:tc>
        <w:tc>
          <w:tcPr>
            <w:tcW w:w="1033" w:type="pct"/>
            <w:gridSpan w:val="2"/>
            <w:noWrap w:val="0"/>
            <w:vAlign w:val="center"/>
          </w:tcPr>
          <w:p w14:paraId="62D467E8">
            <w:pPr>
              <w:spacing w:line="360" w:lineRule="exact"/>
              <w:jc w:val="center"/>
              <w:rPr>
                <w:rFonts w:hint="eastAsia" w:ascii="宋体" w:hAnsi="宋体" w:eastAsia="宋体" w:cs="宋体"/>
                <w:b/>
                <w:sz w:val="24"/>
                <w:szCs w:val="24"/>
              </w:rPr>
            </w:pPr>
          </w:p>
        </w:tc>
      </w:tr>
      <w:tr w14:paraId="62BE5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5064CBF">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6790" w:type="dxa"/>
            <w:gridSpan w:val="2"/>
            <w:noWrap w:val="0"/>
            <w:vAlign w:val="center"/>
          </w:tcPr>
          <w:p w14:paraId="6278A3DE">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投标文件载明的服务期低于采购文件规定的期限</w:t>
            </w:r>
          </w:p>
        </w:tc>
        <w:tc>
          <w:tcPr>
            <w:tcW w:w="1033" w:type="pct"/>
            <w:gridSpan w:val="2"/>
            <w:noWrap w:val="0"/>
            <w:vAlign w:val="center"/>
          </w:tcPr>
          <w:p w14:paraId="5B198A2C">
            <w:pPr>
              <w:spacing w:line="360" w:lineRule="exact"/>
              <w:jc w:val="center"/>
              <w:rPr>
                <w:rFonts w:hint="eastAsia" w:ascii="宋体" w:hAnsi="宋体" w:eastAsia="宋体" w:cs="宋体"/>
                <w:sz w:val="24"/>
                <w:szCs w:val="24"/>
              </w:rPr>
            </w:pPr>
          </w:p>
        </w:tc>
      </w:tr>
      <w:tr w14:paraId="4247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7A8DF872">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6790" w:type="dxa"/>
            <w:gridSpan w:val="2"/>
            <w:noWrap w:val="0"/>
            <w:vAlign w:val="center"/>
          </w:tcPr>
          <w:p w14:paraId="14289A23">
            <w:pPr>
              <w:spacing w:line="360" w:lineRule="exact"/>
              <w:jc w:val="left"/>
              <w:rPr>
                <w:rFonts w:hint="eastAsia" w:ascii="宋体" w:hAnsi="宋体" w:eastAsia="宋体" w:cs="宋体"/>
                <w:sz w:val="24"/>
                <w:szCs w:val="24"/>
              </w:rPr>
            </w:pPr>
            <w:r>
              <w:rPr>
                <w:rFonts w:hint="eastAsia" w:ascii="宋体" w:hAnsi="宋体" w:eastAsia="宋体" w:cs="宋体"/>
                <w:sz w:val="24"/>
                <w:szCs w:val="24"/>
              </w:rPr>
              <w:t>投标文件载明的免费保修期低于采购文件规定的期限</w:t>
            </w:r>
          </w:p>
        </w:tc>
        <w:tc>
          <w:tcPr>
            <w:tcW w:w="1033" w:type="pct"/>
            <w:gridSpan w:val="2"/>
            <w:noWrap w:val="0"/>
            <w:vAlign w:val="center"/>
          </w:tcPr>
          <w:p w14:paraId="391E182D">
            <w:pPr>
              <w:spacing w:line="360" w:lineRule="exact"/>
              <w:jc w:val="center"/>
              <w:rPr>
                <w:rFonts w:hint="eastAsia" w:ascii="宋体" w:hAnsi="宋体" w:eastAsia="宋体" w:cs="宋体"/>
                <w:b/>
                <w:sz w:val="24"/>
                <w:szCs w:val="24"/>
              </w:rPr>
            </w:pPr>
          </w:p>
        </w:tc>
      </w:tr>
      <w:tr w14:paraId="6BB61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noWrap w:val="0"/>
            <w:vAlign w:val="center"/>
          </w:tcPr>
          <w:p w14:paraId="002CB4B3">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6790" w:type="dxa"/>
            <w:gridSpan w:val="2"/>
            <w:noWrap w:val="0"/>
            <w:vAlign w:val="center"/>
          </w:tcPr>
          <w:p w14:paraId="07BD6148">
            <w:pPr>
              <w:spacing w:line="360" w:lineRule="exact"/>
              <w:jc w:val="left"/>
              <w:rPr>
                <w:rFonts w:hint="eastAsia" w:ascii="宋体" w:hAnsi="宋体" w:eastAsia="宋体" w:cs="宋体"/>
                <w:sz w:val="24"/>
                <w:szCs w:val="24"/>
              </w:rPr>
            </w:pPr>
            <w:r>
              <w:rPr>
                <w:rFonts w:hint="eastAsia" w:ascii="宋体" w:hAnsi="宋体" w:eastAsia="宋体" w:cs="宋体"/>
                <w:sz w:val="24"/>
                <w:szCs w:val="24"/>
              </w:rPr>
              <w:t>所投产品、工程、服务在质量、技术、方案等方面没有实质性满足采购文件要求</w:t>
            </w:r>
          </w:p>
        </w:tc>
        <w:tc>
          <w:tcPr>
            <w:tcW w:w="1033" w:type="pct"/>
            <w:gridSpan w:val="2"/>
            <w:noWrap w:val="0"/>
            <w:vAlign w:val="center"/>
          </w:tcPr>
          <w:p w14:paraId="4E40CC43">
            <w:pPr>
              <w:spacing w:line="360" w:lineRule="exact"/>
              <w:jc w:val="center"/>
              <w:rPr>
                <w:rFonts w:hint="eastAsia" w:ascii="宋体" w:hAnsi="宋体" w:eastAsia="宋体" w:cs="宋体"/>
                <w:b/>
                <w:sz w:val="24"/>
                <w:szCs w:val="24"/>
              </w:rPr>
            </w:pPr>
          </w:p>
        </w:tc>
      </w:tr>
      <w:tr w14:paraId="1CDF8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6" w:hRule="atLeast"/>
        </w:trPr>
        <w:tc>
          <w:tcPr>
            <w:tcW w:w="417" w:type="pct"/>
            <w:noWrap w:val="0"/>
            <w:vAlign w:val="center"/>
          </w:tcPr>
          <w:p w14:paraId="3E6795F8">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6790" w:type="dxa"/>
            <w:gridSpan w:val="2"/>
            <w:noWrap w:val="0"/>
            <w:vAlign w:val="center"/>
          </w:tcPr>
          <w:p w14:paraId="43CC21D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未按采购文件提供《投标函》；未按采购文件对投标文件组成的要求提供投标文件的（投标文件组成不完整）；投标文件的数量、制作、密封、标记、签字盖章不符合采购文件要求；投标文件无法定代表人有效授权的</w:t>
            </w:r>
          </w:p>
        </w:tc>
        <w:tc>
          <w:tcPr>
            <w:tcW w:w="1033" w:type="pct"/>
            <w:gridSpan w:val="2"/>
            <w:noWrap w:val="0"/>
            <w:vAlign w:val="center"/>
          </w:tcPr>
          <w:p w14:paraId="6845E807">
            <w:pPr>
              <w:spacing w:line="360" w:lineRule="exact"/>
              <w:jc w:val="center"/>
              <w:rPr>
                <w:rFonts w:hint="eastAsia" w:ascii="宋体" w:hAnsi="宋体" w:eastAsia="宋体" w:cs="宋体"/>
                <w:b/>
                <w:sz w:val="24"/>
                <w:szCs w:val="24"/>
              </w:rPr>
            </w:pPr>
          </w:p>
        </w:tc>
      </w:tr>
      <w:tr w14:paraId="34FC6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bottom w:val="single" w:color="auto" w:sz="4" w:space="0"/>
            </w:tcBorders>
            <w:noWrap w:val="0"/>
            <w:vAlign w:val="center"/>
          </w:tcPr>
          <w:p w14:paraId="00E34FB4">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6790" w:type="dxa"/>
            <w:gridSpan w:val="2"/>
            <w:tcBorders>
              <w:bottom w:val="single" w:color="auto" w:sz="4" w:space="0"/>
            </w:tcBorders>
            <w:noWrap w:val="0"/>
            <w:vAlign w:val="center"/>
          </w:tcPr>
          <w:p w14:paraId="3FAA148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未提供投标文件电子文档或者有病毒</w:t>
            </w:r>
          </w:p>
        </w:tc>
        <w:tc>
          <w:tcPr>
            <w:tcW w:w="1033" w:type="pct"/>
            <w:gridSpan w:val="2"/>
            <w:tcBorders>
              <w:bottom w:val="single" w:color="auto" w:sz="4" w:space="0"/>
            </w:tcBorders>
            <w:noWrap w:val="0"/>
            <w:vAlign w:val="center"/>
          </w:tcPr>
          <w:p w14:paraId="11791AD3">
            <w:pPr>
              <w:spacing w:line="360" w:lineRule="exact"/>
              <w:jc w:val="center"/>
              <w:rPr>
                <w:rFonts w:hint="eastAsia" w:ascii="宋体" w:hAnsi="宋体" w:eastAsia="宋体" w:cs="宋体"/>
                <w:b/>
                <w:sz w:val="24"/>
                <w:szCs w:val="24"/>
              </w:rPr>
            </w:pPr>
          </w:p>
        </w:tc>
      </w:tr>
      <w:tr w14:paraId="6B46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7" w:type="pct"/>
            <w:tcBorders>
              <w:top w:val="single" w:color="auto" w:sz="4" w:space="0"/>
              <w:left w:val="single" w:color="auto" w:sz="4" w:space="0"/>
              <w:bottom w:val="single" w:color="auto" w:sz="4" w:space="0"/>
              <w:right w:val="single" w:color="auto" w:sz="4" w:space="0"/>
            </w:tcBorders>
            <w:noWrap w:val="0"/>
            <w:vAlign w:val="center"/>
          </w:tcPr>
          <w:p w14:paraId="19159715">
            <w:pPr>
              <w:spacing w:line="36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6790" w:type="dxa"/>
            <w:gridSpan w:val="2"/>
            <w:tcBorders>
              <w:top w:val="single" w:color="auto" w:sz="4" w:space="0"/>
              <w:left w:val="single" w:color="auto" w:sz="4" w:space="0"/>
              <w:bottom w:val="single" w:color="auto" w:sz="4" w:space="0"/>
              <w:right w:val="single" w:color="auto" w:sz="4" w:space="0"/>
            </w:tcBorders>
            <w:noWrap w:val="0"/>
            <w:vAlign w:val="center"/>
          </w:tcPr>
          <w:p w14:paraId="7DEC7ACD">
            <w:pPr>
              <w:spacing w:line="360" w:lineRule="exact"/>
              <w:jc w:val="left"/>
              <w:rPr>
                <w:rFonts w:hint="eastAsia" w:ascii="宋体" w:hAnsi="宋体" w:eastAsia="宋体" w:cs="宋体"/>
                <w:sz w:val="24"/>
                <w:szCs w:val="24"/>
              </w:rPr>
            </w:pPr>
            <w:r>
              <w:rPr>
                <w:rFonts w:hint="eastAsia" w:ascii="宋体" w:hAnsi="宋体" w:eastAsia="宋体" w:cs="宋体"/>
                <w:sz w:val="24"/>
                <w:szCs w:val="24"/>
              </w:rPr>
              <w:t>法律、法规规定的其他情形</w:t>
            </w:r>
          </w:p>
        </w:tc>
        <w:tc>
          <w:tcPr>
            <w:tcW w:w="1033" w:type="pct"/>
            <w:gridSpan w:val="2"/>
            <w:tcBorders>
              <w:top w:val="single" w:color="auto" w:sz="4" w:space="0"/>
              <w:left w:val="single" w:color="auto" w:sz="4" w:space="0"/>
              <w:bottom w:val="single" w:color="auto" w:sz="4" w:space="0"/>
              <w:right w:val="single" w:color="auto" w:sz="4" w:space="0"/>
            </w:tcBorders>
            <w:noWrap w:val="0"/>
            <w:vAlign w:val="center"/>
          </w:tcPr>
          <w:p w14:paraId="5581545C">
            <w:pPr>
              <w:spacing w:line="360" w:lineRule="exact"/>
              <w:jc w:val="center"/>
              <w:rPr>
                <w:rFonts w:hint="eastAsia" w:ascii="宋体" w:hAnsi="宋体" w:eastAsia="宋体" w:cs="宋体"/>
                <w:sz w:val="24"/>
                <w:szCs w:val="24"/>
              </w:rPr>
            </w:pPr>
          </w:p>
        </w:tc>
      </w:tr>
      <w:tr w14:paraId="033B0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000" w:type="pct"/>
            <w:gridSpan w:val="5"/>
            <w:tcBorders>
              <w:top w:val="single" w:color="auto" w:sz="4" w:space="0"/>
            </w:tcBorders>
            <w:noWrap w:val="0"/>
            <w:vAlign w:val="center"/>
          </w:tcPr>
          <w:p w14:paraId="10627284">
            <w:pPr>
              <w:spacing w:line="360" w:lineRule="exact"/>
              <w:jc w:val="center"/>
              <w:rPr>
                <w:rFonts w:hint="eastAsia" w:ascii="宋体" w:hAnsi="宋体" w:cs="宋体"/>
                <w:b/>
                <w:sz w:val="24"/>
                <w:szCs w:val="24"/>
              </w:rPr>
            </w:pPr>
            <w:r>
              <w:rPr>
                <w:rFonts w:hint="eastAsia" w:ascii="宋体" w:hAnsi="宋体" w:cs="宋体"/>
                <w:b/>
                <w:sz w:val="24"/>
                <w:szCs w:val="24"/>
              </w:rPr>
              <w:t>三、评分指引</w:t>
            </w:r>
          </w:p>
        </w:tc>
      </w:tr>
      <w:tr w14:paraId="3F2A1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tcBorders>
              <w:bottom w:val="single" w:color="auto" w:sz="4" w:space="0"/>
            </w:tcBorders>
            <w:noWrap w:val="0"/>
            <w:vAlign w:val="center"/>
          </w:tcPr>
          <w:p w14:paraId="3EC7157B">
            <w:pPr>
              <w:spacing w:line="360" w:lineRule="exact"/>
              <w:jc w:val="center"/>
              <w:rPr>
                <w:rFonts w:hint="eastAsia" w:ascii="宋体" w:hAnsi="宋体" w:cs="宋体"/>
                <w:b/>
                <w:sz w:val="24"/>
                <w:szCs w:val="24"/>
              </w:rPr>
            </w:pPr>
            <w:r>
              <w:rPr>
                <w:rFonts w:hint="eastAsia" w:ascii="宋体" w:hAnsi="宋体" w:cs="宋体"/>
                <w:b/>
                <w:sz w:val="24"/>
                <w:szCs w:val="24"/>
              </w:rPr>
              <w:t>评分类别</w:t>
            </w:r>
          </w:p>
        </w:tc>
        <w:tc>
          <w:tcPr>
            <w:tcW w:w="3548" w:type="pct"/>
            <w:gridSpan w:val="2"/>
            <w:tcBorders>
              <w:bottom w:val="single" w:color="auto" w:sz="4" w:space="0"/>
            </w:tcBorders>
            <w:noWrap w:val="0"/>
            <w:vAlign w:val="center"/>
          </w:tcPr>
          <w:p w14:paraId="7E70A7D7">
            <w:pPr>
              <w:spacing w:line="360" w:lineRule="exact"/>
              <w:jc w:val="center"/>
              <w:rPr>
                <w:rFonts w:hint="eastAsia" w:ascii="宋体" w:hAnsi="宋体" w:cs="宋体"/>
                <w:b/>
                <w:sz w:val="24"/>
                <w:szCs w:val="24"/>
              </w:rPr>
            </w:pPr>
            <w:r>
              <w:rPr>
                <w:rFonts w:hint="eastAsia" w:ascii="宋体" w:hAnsi="宋体" w:cs="宋体"/>
                <w:b/>
                <w:sz w:val="24"/>
                <w:szCs w:val="24"/>
              </w:rPr>
              <w:t>评分项目</w:t>
            </w:r>
          </w:p>
        </w:tc>
        <w:tc>
          <w:tcPr>
            <w:tcW w:w="527" w:type="pct"/>
            <w:tcBorders>
              <w:bottom w:val="single" w:color="auto" w:sz="4" w:space="0"/>
            </w:tcBorders>
            <w:noWrap w:val="0"/>
            <w:vAlign w:val="center"/>
          </w:tcPr>
          <w:p w14:paraId="1B83C0BB">
            <w:pPr>
              <w:spacing w:line="360" w:lineRule="exact"/>
              <w:jc w:val="center"/>
              <w:rPr>
                <w:rFonts w:hint="eastAsia" w:ascii="宋体" w:hAnsi="宋体" w:cs="宋体"/>
                <w:b/>
                <w:sz w:val="24"/>
                <w:szCs w:val="24"/>
              </w:rPr>
            </w:pPr>
            <w:r>
              <w:rPr>
                <w:rFonts w:hint="eastAsia" w:ascii="宋体" w:hAnsi="宋体" w:cs="宋体"/>
                <w:b/>
                <w:sz w:val="24"/>
                <w:szCs w:val="24"/>
              </w:rPr>
              <w:t>对应章节</w:t>
            </w:r>
          </w:p>
        </w:tc>
        <w:tc>
          <w:tcPr>
            <w:tcW w:w="506" w:type="pct"/>
            <w:tcBorders>
              <w:bottom w:val="single" w:color="auto" w:sz="4" w:space="0"/>
            </w:tcBorders>
            <w:noWrap w:val="0"/>
            <w:vAlign w:val="center"/>
          </w:tcPr>
          <w:p w14:paraId="401DB42B">
            <w:pPr>
              <w:spacing w:line="360" w:lineRule="exact"/>
              <w:jc w:val="center"/>
              <w:rPr>
                <w:rFonts w:hint="eastAsia" w:ascii="宋体" w:hAnsi="宋体" w:cs="宋体"/>
                <w:b/>
                <w:sz w:val="24"/>
                <w:szCs w:val="24"/>
              </w:rPr>
            </w:pPr>
            <w:r>
              <w:rPr>
                <w:rFonts w:hint="eastAsia" w:ascii="宋体" w:hAnsi="宋体" w:cs="宋体"/>
                <w:b/>
                <w:sz w:val="24"/>
                <w:szCs w:val="24"/>
              </w:rPr>
              <w:t>起止页码</w:t>
            </w:r>
          </w:p>
        </w:tc>
      </w:tr>
      <w:tr w14:paraId="0467D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restart"/>
            <w:tcBorders>
              <w:top w:val="single" w:color="auto" w:sz="4" w:space="0"/>
              <w:bottom w:val="single" w:color="auto" w:sz="4" w:space="0"/>
            </w:tcBorders>
            <w:noWrap w:val="0"/>
            <w:vAlign w:val="center"/>
          </w:tcPr>
          <w:p w14:paraId="76CFC7A3">
            <w:pPr>
              <w:spacing w:line="360" w:lineRule="exact"/>
              <w:jc w:val="center"/>
              <w:rPr>
                <w:rFonts w:hint="eastAsia" w:ascii="宋体" w:hAnsi="宋体" w:cs="宋体"/>
                <w:b/>
                <w:sz w:val="24"/>
                <w:szCs w:val="24"/>
              </w:rPr>
            </w:pPr>
            <w:r>
              <w:rPr>
                <w:rFonts w:hint="eastAsia" w:ascii="宋体" w:hAnsi="宋体" w:cs="宋体"/>
                <w:b/>
                <w:sz w:val="24"/>
                <w:szCs w:val="24"/>
              </w:rPr>
              <w:t>技术部分</w:t>
            </w:r>
          </w:p>
        </w:tc>
        <w:tc>
          <w:tcPr>
            <w:tcW w:w="3548" w:type="pct"/>
            <w:gridSpan w:val="2"/>
            <w:tcBorders>
              <w:top w:val="single" w:color="auto" w:sz="4" w:space="0"/>
              <w:bottom w:val="single" w:color="auto" w:sz="4" w:space="0"/>
            </w:tcBorders>
            <w:noWrap w:val="0"/>
            <w:vAlign w:val="top"/>
          </w:tcPr>
          <w:p w14:paraId="35A8FBC9">
            <w:pPr>
              <w:spacing w:line="360" w:lineRule="exact"/>
              <w:jc w:val="center"/>
              <w:rPr>
                <w:rFonts w:hint="eastAsia" w:ascii="宋体" w:hAnsi="宋体" w:cs="宋体"/>
                <w:sz w:val="24"/>
                <w:szCs w:val="24"/>
              </w:rPr>
            </w:pPr>
            <w:r>
              <w:rPr>
                <w:rFonts w:hint="eastAsia" w:ascii="宋体" w:hAnsi="宋体" w:cs="宋体"/>
                <w:sz w:val="24"/>
                <w:szCs w:val="24"/>
              </w:rPr>
              <w:t>（请根据项目评分表内容调整）</w:t>
            </w:r>
          </w:p>
        </w:tc>
        <w:tc>
          <w:tcPr>
            <w:tcW w:w="527" w:type="pct"/>
            <w:tcBorders>
              <w:top w:val="single" w:color="auto" w:sz="4" w:space="0"/>
              <w:bottom w:val="single" w:color="auto" w:sz="4" w:space="0"/>
            </w:tcBorders>
            <w:noWrap w:val="0"/>
            <w:vAlign w:val="top"/>
          </w:tcPr>
          <w:p w14:paraId="1DB092FC">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154BB664">
            <w:pPr>
              <w:spacing w:line="360" w:lineRule="exact"/>
              <w:jc w:val="center"/>
              <w:rPr>
                <w:rFonts w:hint="eastAsia" w:ascii="宋体" w:hAnsi="宋体" w:cs="宋体"/>
                <w:b/>
                <w:sz w:val="24"/>
                <w:szCs w:val="24"/>
              </w:rPr>
            </w:pPr>
          </w:p>
        </w:tc>
      </w:tr>
      <w:tr w14:paraId="7EAD7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086D4661">
            <w:pPr>
              <w:spacing w:line="360" w:lineRule="exact"/>
              <w:jc w:val="center"/>
              <w:rPr>
                <w:rFonts w:hint="eastAsia" w:ascii="宋体" w:hAnsi="宋体" w:cs="宋体"/>
                <w:sz w:val="24"/>
                <w:szCs w:val="24"/>
              </w:rPr>
            </w:pPr>
          </w:p>
          <w:p w14:paraId="16A404C9">
            <w:pPr>
              <w:pStyle w:val="2"/>
              <w:spacing w:line="360" w:lineRule="exact"/>
              <w:rPr>
                <w:rFonts w:hint="eastAsia" w:ascii="宋体" w:hAnsi="宋体" w:cs="宋体"/>
                <w:sz w:val="24"/>
                <w:szCs w:val="24"/>
              </w:rPr>
            </w:pPr>
          </w:p>
          <w:p w14:paraId="29DC8A59">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7C13D49B">
            <w:pPr>
              <w:spacing w:line="360" w:lineRule="exact"/>
              <w:jc w:val="center"/>
              <w:rPr>
                <w:rFonts w:hint="eastAsia" w:ascii="宋体" w:hAnsi="宋体" w:cs="宋体"/>
                <w:sz w:val="24"/>
                <w:szCs w:val="24"/>
              </w:rPr>
            </w:pPr>
            <w:r>
              <w:rPr>
                <w:rFonts w:hint="eastAsia" w:ascii="宋体" w:hAnsi="宋体" w:cs="宋体"/>
                <w:sz w:val="24"/>
                <w:szCs w:val="24"/>
              </w:rPr>
              <w:t>示例：实施方案</w:t>
            </w:r>
          </w:p>
        </w:tc>
        <w:tc>
          <w:tcPr>
            <w:tcW w:w="527" w:type="pct"/>
            <w:tcBorders>
              <w:top w:val="single" w:color="auto" w:sz="4" w:space="0"/>
              <w:bottom w:val="single" w:color="auto" w:sz="4" w:space="0"/>
            </w:tcBorders>
            <w:noWrap w:val="0"/>
            <w:vAlign w:val="top"/>
          </w:tcPr>
          <w:p w14:paraId="016DF515">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32CA4332">
            <w:pPr>
              <w:spacing w:line="360" w:lineRule="exact"/>
              <w:jc w:val="center"/>
              <w:rPr>
                <w:rFonts w:hint="eastAsia" w:ascii="宋体" w:hAnsi="宋体" w:cs="宋体"/>
                <w:b/>
                <w:sz w:val="24"/>
                <w:szCs w:val="24"/>
              </w:rPr>
            </w:pPr>
          </w:p>
        </w:tc>
      </w:tr>
      <w:tr w14:paraId="65222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607DF061">
            <w:pPr>
              <w:spacing w:line="360" w:lineRule="exact"/>
              <w:rPr>
                <w:rFonts w:hint="eastAsia" w:ascii="宋体" w:hAnsi="宋体" w:cs="宋体"/>
                <w:sz w:val="24"/>
                <w:szCs w:val="24"/>
              </w:rPr>
            </w:pPr>
          </w:p>
          <w:p w14:paraId="143A1114">
            <w:pPr>
              <w:pStyle w:val="2"/>
              <w:spacing w:line="360" w:lineRule="exact"/>
              <w:rPr>
                <w:rFonts w:hint="eastAsia" w:ascii="宋体" w:hAnsi="宋体" w:cs="宋体"/>
                <w:sz w:val="24"/>
                <w:szCs w:val="24"/>
              </w:rPr>
            </w:pPr>
          </w:p>
          <w:p w14:paraId="198FD1C2">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1F663B07">
            <w:pPr>
              <w:spacing w:line="360" w:lineRule="exact"/>
              <w:jc w:val="center"/>
              <w:rPr>
                <w:rFonts w:hint="eastAsia" w:ascii="宋体" w:hAnsi="宋体" w:cs="宋体"/>
                <w:sz w:val="24"/>
                <w:szCs w:val="24"/>
              </w:rPr>
            </w:pPr>
          </w:p>
        </w:tc>
        <w:tc>
          <w:tcPr>
            <w:tcW w:w="527" w:type="pct"/>
            <w:tcBorders>
              <w:top w:val="single" w:color="auto" w:sz="4" w:space="0"/>
              <w:bottom w:val="single" w:color="auto" w:sz="4" w:space="0"/>
            </w:tcBorders>
            <w:noWrap w:val="0"/>
            <w:vAlign w:val="top"/>
          </w:tcPr>
          <w:p w14:paraId="3DF75DEE">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3EF8E46C">
            <w:pPr>
              <w:spacing w:line="360" w:lineRule="exact"/>
              <w:jc w:val="center"/>
              <w:rPr>
                <w:rFonts w:hint="eastAsia" w:ascii="宋体" w:hAnsi="宋体" w:cs="宋体"/>
                <w:b/>
                <w:sz w:val="24"/>
                <w:szCs w:val="24"/>
              </w:rPr>
            </w:pPr>
          </w:p>
        </w:tc>
      </w:tr>
      <w:tr w14:paraId="79CD7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17" w:type="pct"/>
            <w:vMerge w:val="continue"/>
            <w:tcBorders>
              <w:top w:val="single" w:color="auto" w:sz="4" w:space="0"/>
              <w:bottom w:val="single" w:color="auto" w:sz="4" w:space="0"/>
            </w:tcBorders>
            <w:noWrap w:val="0"/>
            <w:vAlign w:val="center"/>
          </w:tcPr>
          <w:p w14:paraId="5C208EC2">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19EB8206">
            <w:pPr>
              <w:spacing w:line="360" w:lineRule="exact"/>
              <w:jc w:val="center"/>
              <w:rPr>
                <w:rFonts w:hint="eastAsia" w:ascii="宋体" w:hAnsi="宋体" w:cs="宋体"/>
                <w:sz w:val="24"/>
                <w:szCs w:val="24"/>
              </w:rPr>
            </w:pPr>
          </w:p>
        </w:tc>
        <w:tc>
          <w:tcPr>
            <w:tcW w:w="527" w:type="pct"/>
            <w:tcBorders>
              <w:top w:val="single" w:color="auto" w:sz="4" w:space="0"/>
              <w:bottom w:val="single" w:color="auto" w:sz="4" w:space="0"/>
            </w:tcBorders>
            <w:noWrap w:val="0"/>
            <w:vAlign w:val="top"/>
          </w:tcPr>
          <w:p w14:paraId="77CAE09D">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5E801FF2">
            <w:pPr>
              <w:spacing w:line="360" w:lineRule="exact"/>
              <w:jc w:val="center"/>
              <w:rPr>
                <w:rFonts w:hint="eastAsia" w:ascii="宋体" w:hAnsi="宋体" w:cs="宋体"/>
                <w:b/>
                <w:sz w:val="24"/>
                <w:szCs w:val="24"/>
              </w:rPr>
            </w:pPr>
          </w:p>
        </w:tc>
      </w:tr>
      <w:tr w14:paraId="08CB4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restart"/>
            <w:tcBorders>
              <w:top w:val="single" w:color="auto" w:sz="4" w:space="0"/>
              <w:bottom w:val="single" w:color="auto" w:sz="4" w:space="0"/>
            </w:tcBorders>
            <w:noWrap w:val="0"/>
            <w:vAlign w:val="center"/>
          </w:tcPr>
          <w:p w14:paraId="0B946FAF">
            <w:pPr>
              <w:spacing w:line="360" w:lineRule="exact"/>
              <w:jc w:val="center"/>
              <w:rPr>
                <w:rFonts w:hint="eastAsia" w:ascii="宋体" w:hAnsi="宋体" w:cs="宋体"/>
                <w:b/>
                <w:sz w:val="24"/>
                <w:szCs w:val="24"/>
              </w:rPr>
            </w:pPr>
            <w:r>
              <w:rPr>
                <w:rFonts w:hint="eastAsia" w:ascii="宋体" w:hAnsi="宋体" w:cs="宋体"/>
                <w:b/>
                <w:sz w:val="24"/>
                <w:szCs w:val="24"/>
              </w:rPr>
              <w:t>商务部分</w:t>
            </w:r>
          </w:p>
        </w:tc>
        <w:tc>
          <w:tcPr>
            <w:tcW w:w="3548" w:type="pct"/>
            <w:gridSpan w:val="2"/>
            <w:tcBorders>
              <w:top w:val="single" w:color="auto" w:sz="4" w:space="0"/>
              <w:bottom w:val="single" w:color="auto" w:sz="4" w:space="0"/>
            </w:tcBorders>
            <w:noWrap w:val="0"/>
            <w:vAlign w:val="top"/>
          </w:tcPr>
          <w:p w14:paraId="4E09194D">
            <w:pPr>
              <w:spacing w:line="360" w:lineRule="exact"/>
              <w:jc w:val="center"/>
              <w:rPr>
                <w:rFonts w:hint="eastAsia" w:ascii="宋体" w:hAnsi="宋体" w:cs="宋体"/>
                <w:b/>
                <w:sz w:val="24"/>
                <w:szCs w:val="24"/>
              </w:rPr>
            </w:pPr>
            <w:r>
              <w:rPr>
                <w:rFonts w:hint="eastAsia" w:ascii="宋体" w:hAnsi="宋体" w:cs="宋体"/>
                <w:sz w:val="24"/>
                <w:szCs w:val="24"/>
              </w:rPr>
              <w:t>（请根据项目评分表内容调整）</w:t>
            </w:r>
          </w:p>
        </w:tc>
        <w:tc>
          <w:tcPr>
            <w:tcW w:w="527" w:type="pct"/>
            <w:tcBorders>
              <w:top w:val="single" w:color="auto" w:sz="4" w:space="0"/>
              <w:bottom w:val="single" w:color="auto" w:sz="4" w:space="0"/>
            </w:tcBorders>
            <w:noWrap w:val="0"/>
            <w:vAlign w:val="top"/>
          </w:tcPr>
          <w:p w14:paraId="46561580">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6811EC72">
            <w:pPr>
              <w:spacing w:line="360" w:lineRule="exact"/>
              <w:jc w:val="center"/>
              <w:rPr>
                <w:rFonts w:hint="eastAsia" w:ascii="宋体" w:hAnsi="宋体" w:cs="宋体"/>
                <w:b/>
                <w:sz w:val="24"/>
                <w:szCs w:val="24"/>
              </w:rPr>
            </w:pPr>
          </w:p>
        </w:tc>
      </w:tr>
      <w:tr w14:paraId="45F7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5090FAE8">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0938102B">
            <w:pPr>
              <w:spacing w:line="360" w:lineRule="exact"/>
              <w:jc w:val="center"/>
              <w:rPr>
                <w:rFonts w:hint="eastAsia" w:ascii="宋体" w:hAnsi="宋体" w:cs="宋体"/>
                <w:b/>
                <w:sz w:val="24"/>
                <w:szCs w:val="24"/>
              </w:rPr>
            </w:pPr>
            <w:r>
              <w:rPr>
                <w:rFonts w:hint="eastAsia" w:ascii="宋体" w:hAnsi="宋体" w:cs="宋体"/>
                <w:bCs/>
                <w:sz w:val="24"/>
                <w:szCs w:val="24"/>
              </w:rPr>
              <w:t>示例：类似业绩</w:t>
            </w:r>
          </w:p>
        </w:tc>
        <w:tc>
          <w:tcPr>
            <w:tcW w:w="527" w:type="pct"/>
            <w:tcBorders>
              <w:top w:val="single" w:color="auto" w:sz="4" w:space="0"/>
              <w:bottom w:val="single" w:color="auto" w:sz="4" w:space="0"/>
            </w:tcBorders>
            <w:noWrap w:val="0"/>
            <w:vAlign w:val="top"/>
          </w:tcPr>
          <w:p w14:paraId="1B9F0168">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439E6782">
            <w:pPr>
              <w:spacing w:line="360" w:lineRule="exact"/>
              <w:jc w:val="center"/>
              <w:rPr>
                <w:rFonts w:hint="eastAsia" w:ascii="宋体" w:hAnsi="宋体" w:cs="宋体"/>
                <w:b/>
                <w:sz w:val="24"/>
                <w:szCs w:val="24"/>
              </w:rPr>
            </w:pPr>
          </w:p>
        </w:tc>
      </w:tr>
      <w:tr w14:paraId="49791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15BF1443">
            <w:pPr>
              <w:spacing w:line="360" w:lineRule="exact"/>
              <w:jc w:val="center"/>
              <w:rPr>
                <w:rFonts w:hint="eastAsia" w:ascii="宋体" w:hAnsi="宋体" w:cs="宋体"/>
                <w:b/>
                <w:sz w:val="24"/>
                <w:szCs w:val="24"/>
              </w:rPr>
            </w:pPr>
          </w:p>
        </w:tc>
        <w:tc>
          <w:tcPr>
            <w:tcW w:w="3548" w:type="pct"/>
            <w:gridSpan w:val="2"/>
            <w:tcBorders>
              <w:top w:val="single" w:color="auto" w:sz="4" w:space="0"/>
              <w:bottom w:val="single" w:color="auto" w:sz="4" w:space="0"/>
            </w:tcBorders>
            <w:noWrap w:val="0"/>
            <w:vAlign w:val="top"/>
          </w:tcPr>
          <w:p w14:paraId="4712C59D">
            <w:pPr>
              <w:spacing w:line="360" w:lineRule="exact"/>
              <w:jc w:val="center"/>
              <w:rPr>
                <w:rFonts w:hint="eastAsia" w:ascii="宋体" w:hAnsi="宋体" w:cs="宋体"/>
                <w:b/>
                <w:sz w:val="24"/>
                <w:szCs w:val="24"/>
              </w:rPr>
            </w:pPr>
          </w:p>
        </w:tc>
        <w:tc>
          <w:tcPr>
            <w:tcW w:w="527" w:type="pct"/>
            <w:tcBorders>
              <w:top w:val="single" w:color="auto" w:sz="4" w:space="0"/>
              <w:bottom w:val="single" w:color="auto" w:sz="4" w:space="0"/>
            </w:tcBorders>
            <w:noWrap w:val="0"/>
            <w:vAlign w:val="top"/>
          </w:tcPr>
          <w:p w14:paraId="167F5A5E">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5175A70D">
            <w:pPr>
              <w:spacing w:line="360" w:lineRule="exact"/>
              <w:jc w:val="center"/>
              <w:rPr>
                <w:rFonts w:hint="eastAsia" w:ascii="宋体" w:hAnsi="宋体" w:cs="宋体"/>
                <w:b/>
                <w:sz w:val="24"/>
                <w:szCs w:val="24"/>
              </w:rPr>
            </w:pPr>
          </w:p>
        </w:tc>
      </w:tr>
      <w:tr w14:paraId="48B42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bottom w:val="single" w:color="auto" w:sz="4" w:space="0"/>
            </w:tcBorders>
            <w:noWrap w:val="0"/>
            <w:vAlign w:val="center"/>
          </w:tcPr>
          <w:p w14:paraId="726B2736">
            <w:pPr>
              <w:spacing w:line="360" w:lineRule="exact"/>
              <w:jc w:val="center"/>
              <w:rPr>
                <w:rFonts w:hint="eastAsia" w:ascii="宋体" w:hAnsi="宋体" w:cs="宋体"/>
                <w:sz w:val="24"/>
                <w:szCs w:val="24"/>
              </w:rPr>
            </w:pPr>
          </w:p>
          <w:p w14:paraId="26C06D3F">
            <w:pPr>
              <w:pStyle w:val="2"/>
              <w:spacing w:line="360" w:lineRule="exact"/>
              <w:rPr>
                <w:rFonts w:hint="eastAsia" w:ascii="宋体" w:hAnsi="宋体" w:cs="宋体"/>
                <w:sz w:val="24"/>
                <w:szCs w:val="24"/>
              </w:rPr>
            </w:pPr>
          </w:p>
          <w:p w14:paraId="1A7E3C4F">
            <w:pPr>
              <w:spacing w:line="360" w:lineRule="exact"/>
              <w:rPr>
                <w:rFonts w:hint="eastAsia" w:ascii="宋体" w:hAnsi="宋体" w:cs="宋体"/>
                <w:sz w:val="24"/>
                <w:szCs w:val="24"/>
              </w:rPr>
            </w:pPr>
          </w:p>
        </w:tc>
        <w:tc>
          <w:tcPr>
            <w:tcW w:w="3548" w:type="pct"/>
            <w:gridSpan w:val="2"/>
            <w:tcBorders>
              <w:top w:val="single" w:color="auto" w:sz="4" w:space="0"/>
              <w:bottom w:val="single" w:color="auto" w:sz="4" w:space="0"/>
            </w:tcBorders>
            <w:noWrap w:val="0"/>
            <w:vAlign w:val="top"/>
          </w:tcPr>
          <w:p w14:paraId="54B270A5">
            <w:pPr>
              <w:spacing w:line="360" w:lineRule="exact"/>
              <w:jc w:val="center"/>
              <w:rPr>
                <w:rFonts w:hint="eastAsia" w:ascii="宋体" w:hAnsi="宋体" w:cs="宋体"/>
                <w:b/>
                <w:sz w:val="24"/>
                <w:szCs w:val="24"/>
              </w:rPr>
            </w:pPr>
          </w:p>
        </w:tc>
        <w:tc>
          <w:tcPr>
            <w:tcW w:w="527" w:type="pct"/>
            <w:tcBorders>
              <w:top w:val="single" w:color="auto" w:sz="4" w:space="0"/>
              <w:bottom w:val="single" w:color="auto" w:sz="4" w:space="0"/>
            </w:tcBorders>
            <w:noWrap w:val="0"/>
            <w:vAlign w:val="top"/>
          </w:tcPr>
          <w:p w14:paraId="1643BBDA">
            <w:pPr>
              <w:spacing w:line="360" w:lineRule="exact"/>
              <w:jc w:val="center"/>
              <w:rPr>
                <w:rFonts w:hint="eastAsia" w:ascii="宋体" w:hAnsi="宋体" w:cs="宋体"/>
                <w:b/>
                <w:sz w:val="24"/>
                <w:szCs w:val="24"/>
              </w:rPr>
            </w:pPr>
          </w:p>
        </w:tc>
        <w:tc>
          <w:tcPr>
            <w:tcW w:w="506" w:type="pct"/>
            <w:tcBorders>
              <w:top w:val="single" w:color="auto" w:sz="4" w:space="0"/>
              <w:bottom w:val="single" w:color="auto" w:sz="4" w:space="0"/>
            </w:tcBorders>
            <w:noWrap w:val="0"/>
            <w:vAlign w:val="top"/>
          </w:tcPr>
          <w:p w14:paraId="25653D0D">
            <w:pPr>
              <w:spacing w:line="360" w:lineRule="exact"/>
              <w:jc w:val="center"/>
              <w:rPr>
                <w:rFonts w:hint="eastAsia" w:ascii="宋体" w:hAnsi="宋体" w:cs="宋体"/>
                <w:b/>
                <w:sz w:val="24"/>
                <w:szCs w:val="24"/>
              </w:rPr>
            </w:pPr>
          </w:p>
        </w:tc>
      </w:tr>
      <w:tr w14:paraId="27A11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417" w:type="pct"/>
            <w:vMerge w:val="continue"/>
            <w:tcBorders>
              <w:top w:val="single" w:color="auto" w:sz="4" w:space="0"/>
            </w:tcBorders>
            <w:noWrap w:val="0"/>
            <w:vAlign w:val="center"/>
          </w:tcPr>
          <w:p w14:paraId="2D71E664">
            <w:pPr>
              <w:spacing w:line="360" w:lineRule="exact"/>
              <w:jc w:val="center"/>
              <w:rPr>
                <w:rFonts w:hint="eastAsia" w:ascii="宋体" w:hAnsi="宋体" w:cs="宋体"/>
                <w:b/>
                <w:sz w:val="24"/>
                <w:szCs w:val="24"/>
              </w:rPr>
            </w:pPr>
          </w:p>
        </w:tc>
        <w:tc>
          <w:tcPr>
            <w:tcW w:w="3548" w:type="pct"/>
            <w:gridSpan w:val="2"/>
            <w:tcBorders>
              <w:top w:val="single" w:color="auto" w:sz="4" w:space="0"/>
            </w:tcBorders>
            <w:noWrap w:val="0"/>
            <w:vAlign w:val="top"/>
          </w:tcPr>
          <w:p w14:paraId="77880D6E">
            <w:pPr>
              <w:spacing w:line="360" w:lineRule="exact"/>
              <w:jc w:val="center"/>
              <w:rPr>
                <w:rFonts w:hint="eastAsia" w:ascii="宋体" w:hAnsi="宋体" w:cs="宋体"/>
                <w:b/>
                <w:sz w:val="24"/>
                <w:szCs w:val="24"/>
              </w:rPr>
            </w:pPr>
          </w:p>
        </w:tc>
        <w:tc>
          <w:tcPr>
            <w:tcW w:w="527" w:type="pct"/>
            <w:tcBorders>
              <w:top w:val="single" w:color="auto" w:sz="4" w:space="0"/>
            </w:tcBorders>
            <w:noWrap w:val="0"/>
            <w:vAlign w:val="top"/>
          </w:tcPr>
          <w:p w14:paraId="657CA6AE">
            <w:pPr>
              <w:spacing w:line="360" w:lineRule="exact"/>
              <w:jc w:val="center"/>
              <w:rPr>
                <w:rFonts w:hint="eastAsia" w:ascii="宋体" w:hAnsi="宋体" w:cs="宋体"/>
                <w:b/>
                <w:sz w:val="24"/>
                <w:szCs w:val="24"/>
              </w:rPr>
            </w:pPr>
          </w:p>
        </w:tc>
        <w:tc>
          <w:tcPr>
            <w:tcW w:w="506" w:type="pct"/>
            <w:tcBorders>
              <w:top w:val="single" w:color="auto" w:sz="4" w:space="0"/>
            </w:tcBorders>
            <w:noWrap w:val="0"/>
            <w:vAlign w:val="top"/>
          </w:tcPr>
          <w:p w14:paraId="43C88C98">
            <w:pPr>
              <w:spacing w:line="360" w:lineRule="exact"/>
              <w:jc w:val="center"/>
              <w:rPr>
                <w:rFonts w:hint="eastAsia" w:ascii="宋体" w:hAnsi="宋体" w:cs="宋体"/>
                <w:b/>
                <w:sz w:val="24"/>
                <w:szCs w:val="24"/>
              </w:rPr>
            </w:pPr>
          </w:p>
        </w:tc>
      </w:tr>
    </w:tbl>
    <w:p w14:paraId="538F6DAC">
      <w:pPr>
        <w:tabs>
          <w:tab w:val="clear" w:pos="426"/>
        </w:tabs>
        <w:rPr>
          <w:rFonts w:hint="eastAsia"/>
          <w:szCs w:val="21"/>
          <w:highlight w:val="none"/>
        </w:rPr>
      </w:pPr>
    </w:p>
    <w:p w14:paraId="4EC0D482">
      <w:pPr>
        <w:tabs>
          <w:tab w:val="clear" w:pos="426"/>
        </w:tabs>
        <w:rPr>
          <w:rFonts w:hint="eastAsia"/>
          <w:highlight w:val="none"/>
        </w:rPr>
      </w:pPr>
      <w:r>
        <w:rPr>
          <w:rFonts w:hint="eastAsia"/>
          <w:szCs w:val="21"/>
          <w:highlight w:val="none"/>
        </w:rPr>
        <w:t>备注：对于“</w:t>
      </w:r>
      <w:r>
        <w:rPr>
          <w:rFonts w:hint="eastAsia"/>
          <w:b/>
          <w:highlight w:val="none"/>
        </w:rPr>
        <w:t>综合评分指引”</w:t>
      </w:r>
      <w:r>
        <w:rPr>
          <w:rFonts w:hint="eastAsia"/>
          <w:szCs w:val="21"/>
          <w:highlight w:val="none"/>
        </w:rPr>
        <w:t>请投标供应商按照</w:t>
      </w:r>
      <w:r>
        <w:rPr>
          <w:rFonts w:hint="eastAsia"/>
          <w:b/>
          <w:szCs w:val="21"/>
          <w:highlight w:val="none"/>
        </w:rPr>
        <w:t>评分细则表</w:t>
      </w:r>
      <w:r>
        <w:rPr>
          <w:rFonts w:hint="eastAsia"/>
          <w:szCs w:val="21"/>
          <w:highlight w:val="none"/>
        </w:rPr>
        <w:t>的评分要求，根据各评分项目以</w:t>
      </w:r>
      <w:r>
        <w:rPr>
          <w:rFonts w:hint="eastAsia"/>
          <w:b/>
          <w:szCs w:val="21"/>
          <w:highlight w:val="none"/>
        </w:rPr>
        <w:t>自上而下</w:t>
      </w:r>
      <w:r>
        <w:rPr>
          <w:rFonts w:hint="eastAsia"/>
          <w:szCs w:val="21"/>
          <w:highlight w:val="none"/>
        </w:rPr>
        <w:t>的顺序编制</w:t>
      </w:r>
      <w:r>
        <w:rPr>
          <w:rFonts w:hint="eastAsia"/>
          <w:highlight w:val="none"/>
        </w:rPr>
        <w:t>。因项目次序混乱而影响评标效率及评标结果者，投标供应商自负其责。</w:t>
      </w:r>
    </w:p>
    <w:p w14:paraId="076D7CD8">
      <w:pPr>
        <w:rPr>
          <w:rFonts w:hint="eastAsia"/>
          <w:highlight w:val="none"/>
        </w:rPr>
      </w:pPr>
      <w:r>
        <w:rPr>
          <w:rFonts w:hint="eastAsia"/>
          <w:highlight w:val="none"/>
        </w:rPr>
        <w:br w:type="page"/>
      </w:r>
    </w:p>
    <w:p w14:paraId="4F865CB2">
      <w:pPr>
        <w:pStyle w:val="6"/>
        <w:numPr>
          <w:ilvl w:val="0"/>
          <w:numId w:val="0"/>
        </w:numPr>
        <w:tabs>
          <w:tab w:val="left" w:pos="420"/>
          <w:tab w:val="clear" w:pos="426"/>
          <w:tab w:val="clear" w:pos="1680"/>
        </w:tabs>
        <w:ind w:left="0" w:leftChars="0" w:firstLine="0" w:firstLineChars="0"/>
        <w:jc w:val="left"/>
        <w:rPr>
          <w:highlight w:val="none"/>
        </w:rPr>
      </w:pPr>
      <w:bookmarkStart w:id="55" w:name="_Toc518464370"/>
      <w:bookmarkStart w:id="56" w:name="_Toc25308077"/>
      <w:bookmarkStart w:id="57" w:name="_Toc36822688"/>
      <w:bookmarkStart w:id="58" w:name="_Toc528170810"/>
      <w:bookmarkStart w:id="59" w:name="_Toc528675182"/>
      <w:bookmarkStart w:id="60" w:name="_Toc28864614"/>
      <w:r>
        <w:rPr>
          <w:rFonts w:hint="eastAsia" w:ascii="Arial" w:hAnsi="Arial" w:eastAsia="黑体" w:cs="Times New Roman"/>
          <w:b/>
          <w:bCs w:val="0"/>
          <w:kern w:val="2"/>
          <w:sz w:val="28"/>
          <w:szCs w:val="28"/>
          <w:lang w:val="en-US" w:eastAsia="zh-CN" w:bidi="ar-SA"/>
        </w:rPr>
        <w:t>一</w:t>
      </w:r>
      <w:r>
        <w:rPr>
          <w:rFonts w:hint="eastAsia"/>
          <w:highlight w:val="none"/>
        </w:rPr>
        <w:t>、投标函</w:t>
      </w:r>
      <w:bookmarkEnd w:id="55"/>
      <w:bookmarkEnd w:id="56"/>
      <w:bookmarkEnd w:id="57"/>
      <w:bookmarkEnd w:id="58"/>
      <w:bookmarkEnd w:id="59"/>
      <w:bookmarkEnd w:id="60"/>
    </w:p>
    <w:p w14:paraId="7BA4A14E">
      <w:pPr>
        <w:widowControl w:val="0"/>
        <w:shd w:val="clear" w:color="auto" w:fill="auto"/>
        <w:tabs>
          <w:tab w:val="clear" w:pos="426"/>
        </w:tabs>
        <w:adjustRightInd/>
        <w:snapToGrid/>
        <w:spacing w:line="300" w:lineRule="auto"/>
        <w:jc w:val="center"/>
        <w:rPr>
          <w:rFonts w:cs="Times New Roman"/>
          <w:bCs/>
          <w:kern w:val="2"/>
          <w:sz w:val="32"/>
          <w:szCs w:val="32"/>
          <w:highlight w:val="none"/>
        </w:rPr>
      </w:pPr>
      <w:bookmarkStart w:id="61" w:name="_Toc201743120"/>
      <w:bookmarkStart w:id="62" w:name="_Toc201719122"/>
      <w:bookmarkStart w:id="63" w:name="_Toc201997950"/>
      <w:bookmarkStart w:id="64" w:name="_Toc201742865"/>
      <w:r>
        <w:rPr>
          <w:rFonts w:hint="eastAsia" w:cs="Times New Roman"/>
          <w:bCs/>
          <w:kern w:val="2"/>
          <w:sz w:val="32"/>
          <w:szCs w:val="32"/>
          <w:highlight w:val="none"/>
        </w:rPr>
        <w:t>投标函</w:t>
      </w:r>
      <w:bookmarkEnd w:id="61"/>
      <w:bookmarkEnd w:id="62"/>
      <w:bookmarkEnd w:id="63"/>
      <w:bookmarkEnd w:id="64"/>
    </w:p>
    <w:p w14:paraId="64DACD06">
      <w:pPr>
        <w:tabs>
          <w:tab w:val="clear" w:pos="426"/>
        </w:tabs>
        <w:spacing w:line="300" w:lineRule="auto"/>
        <w:rPr>
          <w:szCs w:val="21"/>
          <w:highlight w:val="none"/>
        </w:rPr>
      </w:pPr>
    </w:p>
    <w:p w14:paraId="08AEEC53">
      <w:pPr>
        <w:spacing w:line="360" w:lineRule="exact"/>
        <w:rPr>
          <w:rFonts w:hint="eastAsia" w:ascii="宋体" w:hAnsi="宋体" w:cs="宋体"/>
          <w:color w:val="000000"/>
          <w:sz w:val="22"/>
          <w:szCs w:val="22"/>
        </w:rPr>
      </w:pPr>
      <w:r>
        <w:rPr>
          <w:rFonts w:hint="eastAsia" w:ascii="宋体" w:hAnsi="宋体" w:cs="宋体"/>
          <w:color w:val="000000"/>
          <w:sz w:val="22"/>
          <w:szCs w:val="22"/>
        </w:rPr>
        <w:t>致：</w:t>
      </w:r>
      <w:r>
        <w:rPr>
          <w:rFonts w:hint="eastAsia" w:ascii="宋体" w:hAnsi="宋体" w:cs="宋体"/>
          <w:color w:val="000000"/>
          <w:kern w:val="0"/>
          <w:sz w:val="22"/>
          <w:szCs w:val="22"/>
        </w:rPr>
        <w:t>深圳市东海国际招标有限公司</w:t>
      </w:r>
    </w:p>
    <w:p w14:paraId="0C5ADDBB">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根据贵方</w:t>
      </w:r>
      <w:r>
        <w:rPr>
          <w:rFonts w:hint="eastAsia" w:ascii="宋体" w:hAnsi="宋体" w:cs="宋体"/>
          <w:color w:val="000000"/>
          <w:sz w:val="22"/>
          <w:szCs w:val="22"/>
          <w:u w:val="single"/>
        </w:rPr>
        <w:t xml:space="preserve">                     （项目名称）</w:t>
      </w:r>
      <w:r>
        <w:rPr>
          <w:rFonts w:hint="eastAsia" w:ascii="宋体" w:hAnsi="宋体" w:cs="宋体"/>
          <w:color w:val="000000"/>
          <w:sz w:val="22"/>
          <w:szCs w:val="22"/>
        </w:rPr>
        <w:t>的招标公告</w:t>
      </w:r>
      <w:r>
        <w:rPr>
          <w:rFonts w:hint="eastAsia" w:ascii="宋体" w:hAnsi="宋体" w:cs="宋体"/>
          <w:color w:val="000000"/>
          <w:sz w:val="22"/>
          <w:szCs w:val="22"/>
          <w:u w:val="single"/>
        </w:rPr>
        <w:t>（项目编号为      ）</w:t>
      </w:r>
      <w:r>
        <w:rPr>
          <w:rFonts w:hint="eastAsia" w:ascii="宋体" w:hAnsi="宋体" w:cs="宋体"/>
          <w:color w:val="000000"/>
          <w:sz w:val="22"/>
          <w:szCs w:val="22"/>
        </w:rPr>
        <w:t>，本人经我方法定代表人授权正式代表投标人</w:t>
      </w:r>
      <w:r>
        <w:rPr>
          <w:rFonts w:hint="eastAsia" w:ascii="宋体" w:hAnsi="宋体" w:cs="宋体"/>
          <w:color w:val="000000"/>
          <w:sz w:val="22"/>
          <w:szCs w:val="22"/>
          <w:u w:val="single"/>
        </w:rPr>
        <w:t xml:space="preserve">                    </w:t>
      </w:r>
      <w:r>
        <w:rPr>
          <w:rFonts w:hint="eastAsia" w:ascii="宋体" w:hAnsi="宋体" w:cs="宋体"/>
          <w:color w:val="000000"/>
          <w:sz w:val="22"/>
          <w:szCs w:val="22"/>
        </w:rPr>
        <w:t>（投标人的名称），提交唱标信封1份及投标文件正本1份，副本5份，投标文件电子版1份（盖章扫描件）。</w:t>
      </w:r>
    </w:p>
    <w:p w14:paraId="58362575">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据此函，本人代表投标方保证，所提供的全部资料是真实的。本人承诺：</w:t>
      </w:r>
    </w:p>
    <w:p w14:paraId="0918B5B2">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（1）我方愿以开标一览表中的投标报价并按采购文件要求承包上述项目并修补其任何缺陷；</w:t>
      </w:r>
    </w:p>
    <w:p w14:paraId="20380C00">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（2）我方承担根据采购文件的规定，完成合同的责任和义务。</w:t>
      </w:r>
    </w:p>
    <w:p w14:paraId="42D235F4">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（3）我方已详细阅读了全部采购文件，包括采购文件修改书（如果有的话），参考资料及有关附件，我们完全理解并同意放弃对这方面有不清楚或误解的问题和质疑投诉的权利。</w:t>
      </w:r>
    </w:p>
    <w:p w14:paraId="017CF3FD">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（4）我方同意所递交的投标文件在“投标须知前附表”规定的投标有效期内有效，在此期间内我方的投标有可能中标，我方将受此约束。如果在投标有效期内撤回其投标，其投标保证金将全部被没收。</w:t>
      </w:r>
    </w:p>
    <w:p w14:paraId="72BD4960">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（5）除非另外达成协议并生效，贵方的中标通知书和本投标文件将构成约束我们双方的合同。</w:t>
      </w:r>
    </w:p>
    <w:p w14:paraId="324C25EF">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（6）同意向贵方提供贵方可能要求的与本投标有关的任何证据或资料。</w:t>
      </w:r>
    </w:p>
    <w:p w14:paraId="0DC7580D">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（7）我方完全理解贵方不一定要接受最低报价的投标或收到的任何投标。</w:t>
      </w:r>
    </w:p>
    <w:p w14:paraId="65EDCC4A">
      <w:pPr>
        <w:spacing w:line="360" w:lineRule="exact"/>
        <w:ind w:firstLine="440" w:firstLineChars="200"/>
        <w:rPr>
          <w:rFonts w:hint="eastAsia" w:ascii="宋体" w:hAnsi="宋体" w:cs="宋体"/>
          <w:color w:val="000000"/>
          <w:sz w:val="22"/>
          <w:szCs w:val="22"/>
        </w:rPr>
      </w:pPr>
    </w:p>
    <w:p w14:paraId="1DECFCC6">
      <w:pPr>
        <w:spacing w:line="360" w:lineRule="exact"/>
        <w:ind w:firstLine="440" w:firstLineChars="200"/>
        <w:rPr>
          <w:rFonts w:hint="eastAsia" w:ascii="宋体" w:hAnsi="宋体" w:cs="宋体"/>
          <w:color w:val="000000"/>
          <w:sz w:val="22"/>
          <w:szCs w:val="22"/>
        </w:rPr>
      </w:pPr>
    </w:p>
    <w:p w14:paraId="1F9201D9">
      <w:pPr>
        <w:spacing w:line="360" w:lineRule="exact"/>
        <w:ind w:firstLine="440" w:firstLineChars="200"/>
        <w:rPr>
          <w:rFonts w:hint="eastAsia" w:ascii="宋体" w:hAnsi="宋体" w:cs="宋体"/>
          <w:color w:val="000000"/>
          <w:sz w:val="22"/>
          <w:szCs w:val="22"/>
        </w:rPr>
      </w:pPr>
      <w:r>
        <w:rPr>
          <w:rFonts w:hint="eastAsia" w:ascii="宋体" w:hAnsi="宋体" w:cs="宋体"/>
          <w:color w:val="000000"/>
          <w:sz w:val="22"/>
          <w:szCs w:val="22"/>
        </w:rPr>
        <w:t>与本投标有关的正式通信方式：</w:t>
      </w:r>
    </w:p>
    <w:p w14:paraId="2D3F2B81">
      <w:pPr>
        <w:spacing w:line="360" w:lineRule="exact"/>
        <w:ind w:firstLine="440" w:firstLineChars="200"/>
        <w:rPr>
          <w:rFonts w:hint="eastAsia" w:ascii="宋体" w:hAnsi="宋体" w:cs="宋体"/>
          <w:color w:val="000000"/>
          <w:sz w:val="22"/>
          <w:szCs w:val="22"/>
          <w:u w:val="single"/>
        </w:rPr>
      </w:pPr>
      <w:r>
        <w:rPr>
          <w:rFonts w:hint="eastAsia" w:ascii="宋体" w:hAnsi="宋体" w:cs="宋体"/>
          <w:color w:val="000000"/>
          <w:sz w:val="22"/>
          <w:szCs w:val="22"/>
        </w:rPr>
        <w:t>地址：</w:t>
      </w:r>
      <w:r>
        <w:rPr>
          <w:rFonts w:hint="eastAsia" w:ascii="宋体" w:hAnsi="宋体" w:cs="宋体"/>
          <w:color w:val="000000"/>
          <w:sz w:val="22"/>
          <w:szCs w:val="22"/>
          <w:u w:val="single"/>
        </w:rPr>
        <w:t xml:space="preserve">                                          </w:t>
      </w:r>
      <w:r>
        <w:rPr>
          <w:rFonts w:hint="eastAsia" w:ascii="宋体" w:hAnsi="宋体" w:cs="宋体"/>
          <w:color w:val="000000"/>
          <w:sz w:val="22"/>
          <w:szCs w:val="22"/>
        </w:rPr>
        <w:t xml:space="preserve"> 邮政编码：</w:t>
      </w:r>
      <w:r>
        <w:rPr>
          <w:rFonts w:hint="eastAsia" w:ascii="宋体" w:hAnsi="宋体" w:cs="宋体"/>
          <w:color w:val="000000"/>
          <w:sz w:val="22"/>
          <w:szCs w:val="22"/>
          <w:u w:val="single"/>
        </w:rPr>
        <w:t xml:space="preserve">         </w:t>
      </w:r>
    </w:p>
    <w:p w14:paraId="0A7DCFA8">
      <w:pPr>
        <w:spacing w:line="360" w:lineRule="exact"/>
        <w:ind w:firstLine="440" w:firstLineChars="200"/>
        <w:rPr>
          <w:rFonts w:hint="eastAsia" w:ascii="宋体" w:hAnsi="宋体" w:cs="宋体"/>
          <w:color w:val="000000"/>
          <w:sz w:val="22"/>
          <w:szCs w:val="22"/>
          <w:u w:val="single"/>
        </w:rPr>
      </w:pPr>
      <w:r>
        <w:rPr>
          <w:rFonts w:hint="eastAsia" w:ascii="宋体" w:hAnsi="宋体" w:cs="宋体"/>
          <w:color w:val="000000"/>
          <w:sz w:val="22"/>
          <w:szCs w:val="22"/>
        </w:rPr>
        <w:t>电话、手机、传真或电传：</w:t>
      </w:r>
      <w:r>
        <w:rPr>
          <w:rFonts w:hint="eastAsia" w:ascii="宋体" w:hAnsi="宋体" w:cs="宋体"/>
          <w:color w:val="000000"/>
          <w:sz w:val="22"/>
          <w:szCs w:val="22"/>
          <w:u w:val="single"/>
        </w:rPr>
        <w:t xml:space="preserve">                                            </w:t>
      </w:r>
    </w:p>
    <w:p w14:paraId="328D22C3">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lang w:val="zh-CN"/>
        </w:rPr>
        <w:t>法定代表人（</w:t>
      </w:r>
      <w:r>
        <w:rPr>
          <w:rFonts w:hint="eastAsia" w:ascii="宋体" w:hAnsi="宋体" w:eastAsia="宋体" w:cs="宋体"/>
          <w:color w:val="000000"/>
          <w:sz w:val="22"/>
          <w:szCs w:val="22"/>
        </w:rPr>
        <w:t>单位负责人</w:t>
      </w:r>
      <w:r>
        <w:rPr>
          <w:rFonts w:hint="eastAsia" w:ascii="宋体" w:hAnsi="宋体" w:eastAsia="宋体" w:cs="宋体"/>
          <w:color w:val="000000"/>
          <w:sz w:val="22"/>
          <w:szCs w:val="22"/>
          <w:lang w:val="zh-CN"/>
        </w:rPr>
        <w:t>）或其授权代表（签字</w:t>
      </w:r>
      <w:r>
        <w:rPr>
          <w:rFonts w:hint="eastAsia" w:ascii="宋体" w:hAnsi="宋体" w:eastAsia="宋体" w:cs="宋体"/>
          <w:color w:val="000000"/>
          <w:sz w:val="22"/>
          <w:szCs w:val="22"/>
        </w:rPr>
        <w:t>或盖章</w:t>
      </w:r>
      <w:r>
        <w:rPr>
          <w:rFonts w:hint="eastAsia" w:ascii="宋体" w:hAnsi="宋体" w:eastAsia="宋体" w:cs="宋体"/>
          <w:color w:val="000000"/>
          <w:sz w:val="22"/>
          <w:szCs w:val="22"/>
          <w:lang w:val="zh-CN"/>
        </w:rPr>
        <w:t>）</w:t>
      </w:r>
      <w:r>
        <w:rPr>
          <w:rFonts w:hint="eastAsia" w:ascii="宋体" w:hAnsi="宋体" w:eastAsia="宋体" w:cs="宋体"/>
          <w:color w:val="000000"/>
          <w:sz w:val="22"/>
          <w:szCs w:val="22"/>
        </w:rPr>
        <w:t>：</w:t>
      </w:r>
      <w:r>
        <w:rPr>
          <w:rFonts w:hint="eastAsia" w:ascii="宋体" w:hAnsi="宋体" w:eastAsia="宋体" w:cs="宋体"/>
          <w:color w:val="000000"/>
          <w:sz w:val="22"/>
          <w:szCs w:val="22"/>
          <w:u w:val="single"/>
        </w:rPr>
        <w:t xml:space="preserve">                </w:t>
      </w:r>
    </w:p>
    <w:p w14:paraId="1AF0F895">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rPr>
        <w:t>投标人名称（盖章）：</w:t>
      </w:r>
      <w:r>
        <w:rPr>
          <w:rFonts w:hint="eastAsia" w:ascii="宋体" w:hAnsi="宋体" w:eastAsia="宋体" w:cs="宋体"/>
          <w:color w:val="000000"/>
          <w:sz w:val="22"/>
          <w:szCs w:val="22"/>
          <w:u w:val="single"/>
        </w:rPr>
        <w:t xml:space="preserve">                        </w:t>
      </w:r>
    </w:p>
    <w:p w14:paraId="67CE691D">
      <w:pPr>
        <w:shd w:val="clear" w:color="auto" w:fill="FFFFFF"/>
        <w:spacing w:line="360" w:lineRule="exact"/>
        <w:ind w:firstLine="440" w:firstLineChars="200"/>
        <w:rPr>
          <w:rFonts w:hint="eastAsia" w:ascii="宋体" w:hAnsi="宋体" w:eastAsia="宋体" w:cs="宋体"/>
          <w:color w:val="000000"/>
          <w:sz w:val="22"/>
          <w:szCs w:val="22"/>
        </w:rPr>
      </w:pPr>
      <w:r>
        <w:rPr>
          <w:rFonts w:hint="eastAsia" w:ascii="宋体" w:hAnsi="宋体" w:eastAsia="宋体" w:cs="宋体"/>
          <w:color w:val="000000"/>
          <w:sz w:val="22"/>
          <w:szCs w:val="22"/>
        </w:rPr>
        <w:t>日期：   年   月   日</w:t>
      </w:r>
    </w:p>
    <w:p w14:paraId="0ACB95A7">
      <w:pPr>
        <w:tabs>
          <w:tab w:val="clear" w:pos="426"/>
        </w:tabs>
        <w:spacing w:line="300" w:lineRule="auto"/>
        <w:rPr>
          <w:szCs w:val="21"/>
          <w:highlight w:val="none"/>
        </w:rPr>
      </w:pPr>
    </w:p>
    <w:p w14:paraId="46ACEF1B">
      <w:pPr>
        <w:tabs>
          <w:tab w:val="clear" w:pos="426"/>
        </w:tabs>
        <w:spacing w:line="300" w:lineRule="auto"/>
        <w:rPr>
          <w:szCs w:val="21"/>
          <w:highlight w:val="none"/>
        </w:rPr>
      </w:pPr>
    </w:p>
    <w:p w14:paraId="2F8F54D3">
      <w:pPr>
        <w:tabs>
          <w:tab w:val="clear" w:pos="426"/>
        </w:tabs>
        <w:spacing w:line="300" w:lineRule="auto"/>
        <w:rPr>
          <w:szCs w:val="21"/>
          <w:highlight w:val="none"/>
        </w:rPr>
      </w:pPr>
    </w:p>
    <w:p w14:paraId="2107F55A">
      <w:pPr>
        <w:tabs>
          <w:tab w:val="clear" w:pos="426"/>
        </w:tabs>
        <w:spacing w:line="300" w:lineRule="auto"/>
        <w:rPr>
          <w:szCs w:val="21"/>
          <w:highlight w:val="none"/>
        </w:rPr>
      </w:pPr>
    </w:p>
    <w:p w14:paraId="4CA83724">
      <w:pPr>
        <w:shd w:val="clear" w:color="auto" w:fill="auto"/>
        <w:tabs>
          <w:tab w:val="clear" w:pos="426"/>
        </w:tabs>
        <w:adjustRightInd/>
        <w:snapToGrid/>
        <w:spacing w:line="240" w:lineRule="auto"/>
        <w:jc w:val="left"/>
        <w:rPr>
          <w:szCs w:val="21"/>
          <w:highlight w:val="none"/>
        </w:rPr>
      </w:pPr>
      <w:r>
        <w:rPr>
          <w:szCs w:val="21"/>
          <w:highlight w:val="none"/>
        </w:rPr>
        <w:br w:type="page"/>
      </w:r>
    </w:p>
    <w:p w14:paraId="08CB8205">
      <w:pPr>
        <w:pStyle w:val="6"/>
        <w:numPr>
          <w:ilvl w:val="0"/>
          <w:numId w:val="0"/>
        </w:numPr>
        <w:tabs>
          <w:tab w:val="left" w:pos="420"/>
          <w:tab w:val="clear" w:pos="426"/>
          <w:tab w:val="clear" w:pos="1680"/>
        </w:tabs>
        <w:ind w:left="0" w:leftChars="0" w:firstLine="0" w:firstLineChars="0"/>
        <w:jc w:val="left"/>
        <w:rPr>
          <w:highlight w:val="none"/>
        </w:rPr>
      </w:pPr>
      <w:bookmarkStart w:id="65" w:name="_Toc36822689"/>
      <w:r>
        <w:rPr>
          <w:rFonts w:hint="eastAsia" w:ascii="Arial" w:hAnsi="Arial" w:eastAsia="黑体" w:cs="Times New Roman"/>
          <w:b/>
          <w:bCs w:val="0"/>
          <w:kern w:val="2"/>
          <w:sz w:val="28"/>
          <w:szCs w:val="28"/>
          <w:lang w:val="en-US" w:eastAsia="zh-CN" w:bidi="ar-SA"/>
        </w:rPr>
        <w:t>二</w:t>
      </w:r>
      <w:r>
        <w:rPr>
          <w:rFonts w:hint="eastAsia"/>
          <w:highlight w:val="none"/>
        </w:rPr>
        <w:t>、政府采购投标及履约承诺函</w:t>
      </w:r>
      <w:bookmarkEnd w:id="65"/>
    </w:p>
    <w:p w14:paraId="119EE114">
      <w:pPr>
        <w:widowControl w:val="0"/>
        <w:shd w:val="clear" w:color="auto" w:fill="auto"/>
        <w:tabs>
          <w:tab w:val="clear" w:pos="426"/>
        </w:tabs>
        <w:adjustRightInd/>
        <w:snapToGrid/>
        <w:spacing w:line="300" w:lineRule="auto"/>
        <w:jc w:val="center"/>
        <w:rPr>
          <w:rFonts w:cs="Times New Roman"/>
          <w:bCs/>
          <w:kern w:val="2"/>
          <w:sz w:val="32"/>
          <w:szCs w:val="32"/>
          <w:highlight w:val="none"/>
        </w:rPr>
      </w:pPr>
      <w:r>
        <w:rPr>
          <w:rFonts w:hint="eastAsia" w:cs="Times New Roman"/>
          <w:bCs/>
          <w:kern w:val="2"/>
          <w:sz w:val="32"/>
          <w:szCs w:val="32"/>
          <w:highlight w:val="none"/>
        </w:rPr>
        <w:t>政府采购投标及履约承诺函</w:t>
      </w:r>
    </w:p>
    <w:p w14:paraId="1A02F576">
      <w:pPr>
        <w:keepNext w:val="0"/>
        <w:keepLines w:val="0"/>
        <w:pageBreakBefore w:val="0"/>
        <w:widowControl/>
        <w:kinsoku/>
        <w:wordWrap/>
        <w:overflowPunct/>
        <w:topLinePunct w:val="0"/>
        <w:autoSpaceDE/>
        <w:autoSpaceDN/>
        <w:bidi w:val="0"/>
        <w:snapToGrid w:val="0"/>
        <w:spacing w:line="360" w:lineRule="exact"/>
        <w:jc w:val="left"/>
        <w:textAlignment w:val="auto"/>
        <w:rPr>
          <w:rFonts w:hint="eastAsia" w:ascii="宋体" w:hAnsi="宋体" w:eastAsia="宋体" w:cs="宋体"/>
          <w:kern w:val="0"/>
          <w:sz w:val="22"/>
          <w:szCs w:val="24"/>
        </w:rPr>
      </w:pPr>
      <w:bookmarkStart w:id="66" w:name="_Toc36822690"/>
    </w:p>
    <w:p w14:paraId="7912B620">
      <w:pPr>
        <w:keepNext w:val="0"/>
        <w:keepLines w:val="0"/>
        <w:pageBreakBefore w:val="0"/>
        <w:widowControl/>
        <w:kinsoku/>
        <w:wordWrap/>
        <w:overflowPunct/>
        <w:topLinePunct w:val="0"/>
        <w:autoSpaceDE/>
        <w:autoSpaceDN/>
        <w:bidi w:val="0"/>
        <w:snapToGrid w:val="0"/>
        <w:spacing w:line="360" w:lineRule="exact"/>
        <w:jc w:val="left"/>
        <w:textAlignment w:val="auto"/>
        <w:rPr>
          <w:rFonts w:hint="eastAsia" w:ascii="宋体" w:hAnsi="宋体" w:eastAsia="宋体" w:cs="宋体"/>
          <w:kern w:val="0"/>
          <w:sz w:val="22"/>
          <w:szCs w:val="24"/>
        </w:rPr>
      </w:pPr>
      <w:r>
        <w:rPr>
          <w:rFonts w:hint="eastAsia" w:ascii="宋体" w:hAnsi="宋体" w:eastAsia="宋体" w:cs="宋体"/>
          <w:kern w:val="0"/>
          <w:sz w:val="22"/>
          <w:szCs w:val="24"/>
        </w:rPr>
        <w:t>致：深圳市东海国际招标有限公司</w:t>
      </w:r>
    </w:p>
    <w:p w14:paraId="6D1680AB">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我公司承诺：</w:t>
      </w:r>
    </w:p>
    <w:p w14:paraId="708A71A0">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1.我公司本招标项目所提供的货物或服务未侵犯知识产权。</w:t>
      </w:r>
    </w:p>
    <w:p w14:paraId="0F2C543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2.我公司参与本项目投标前三年内，在经营活动中没有重大违法记录。</w:t>
      </w:r>
    </w:p>
    <w:p w14:paraId="04AECBCB">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3.我公司参与本项目政府采购活动时不存在被有关部门禁止参与政府采购活动且在有效期内的情况。</w:t>
      </w:r>
    </w:p>
    <w:p w14:paraId="11A3E73E">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4.我公司具备《中华人民共和国政府采购法》第二十二条第一款规定的六项条件。</w:t>
      </w:r>
    </w:p>
    <w:p w14:paraId="5CF3FA2D">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5.我公司未被列入失信被执行人、重大税收违法案件当事人名单、政府采购严重违法失信行为记录名单。</w:t>
      </w:r>
    </w:p>
    <w:p w14:paraId="4E7A29E1">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6.我公司不存在单位负责人为同一人或者存在直接控股、管理关系的不同供应商，同时参加本项目的投标。</w:t>
      </w:r>
    </w:p>
    <w:p w14:paraId="734E47B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7.我公司不存在</w:t>
      </w:r>
      <w:r>
        <w:rPr>
          <w:rFonts w:hint="eastAsia" w:ascii="宋体" w:hAnsi="宋体" w:eastAsia="宋体" w:cs="宋体"/>
          <w:sz w:val="22"/>
          <w:lang w:val="zh-CN"/>
        </w:rPr>
        <w:t>对本次采购项目提供整体设计、规范编制或者项目管理、监理、检测等服务。</w:t>
      </w:r>
    </w:p>
    <w:p w14:paraId="573B1037">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8.我公司参与该项目投标，严格遵循公平竞争的原则，不恶意串通，不妨碍其他投标人的竞争行为，不损害采购人或者其他投标人的合法权益。我公司已清楚，如违反上述要求，将作投标无效处理。</w:t>
      </w:r>
    </w:p>
    <w:p w14:paraId="37CDCE2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9.我公司如果中标，做到守信，不偷工减料，依照本项目招标文件需求内容、签署的采购合同及本公司在投标中所作的一切承诺履约。</w:t>
      </w:r>
    </w:p>
    <w:p w14:paraId="6349687F">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10.我公司承诺本项目的报价不低于我公司的成本价，否则，我公司清楚将面临投标无效的风险；我公司承诺不恶意低价谋取中标；我公司对本项目的报价负责，中标后将严格按照本项目招标文件需求、签署的采购合同及我公司在投标中所作的全部承诺履行。我公司清楚，若我公司以“报价太低而无法履约”为理由放弃本项目中标资格时，愿意接受主管部门的处理处罚。若我公司中标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14:paraId="5F24D318">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11.我公司已认真核实了投标文件的全部内容，所有资料均为真实资料。我公司对投标文件中全部投标资料的真实性负责，如被证实我公司的投标文件中存在虚假资料的，则视为我公司隐瞒真实情况、提供虚假资料，我公司愿意接受主管部门作出的行政处罚。</w:t>
      </w:r>
    </w:p>
    <w:p w14:paraId="66DC8DDD">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12.我公司承诺不非法转包、分包。</w:t>
      </w:r>
    </w:p>
    <w:p w14:paraId="18BA1EA5">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13.我公司承诺所投标（响应）的货物、工程或服务，不存在侵犯知识产权的情况；已知悉并同意中标（成交）结果信息公示（公开）的内容。</w:t>
      </w:r>
    </w:p>
    <w:p w14:paraId="41B57003">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lang w:val="en-US" w:eastAsia="zh-CN"/>
        </w:rPr>
      </w:pPr>
      <w:r>
        <w:rPr>
          <w:rFonts w:hint="eastAsia" w:ascii="宋体" w:hAnsi="宋体" w:eastAsia="宋体" w:cs="宋体"/>
          <w:sz w:val="22"/>
          <w:lang w:val="en-US" w:eastAsia="zh-CN"/>
        </w:rPr>
        <w:t>14.我公司保证，若所投货物涉及《财政部生态环境部关于印发节能产品政府采购品目清单的通知》（财库〔2019〕19号）列明的政府采购强制产品，则所投该产品符合节能产品的认证要求。</w:t>
      </w:r>
    </w:p>
    <w:p w14:paraId="45A7C66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lang w:val="en-US" w:eastAsia="zh-CN"/>
        </w:rPr>
      </w:pPr>
      <w:r>
        <w:rPr>
          <w:rFonts w:hint="eastAsia" w:ascii="宋体" w:hAnsi="宋体" w:eastAsia="宋体" w:cs="宋体"/>
          <w:sz w:val="22"/>
          <w:lang w:val="en-US" w:eastAsia="zh-CN"/>
        </w:rPr>
        <w:t>15.我公司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6CA14504">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p>
    <w:p w14:paraId="102F71E9">
      <w:pPr>
        <w:keepNext w:val="0"/>
        <w:keepLines w:val="0"/>
        <w:pageBreakBefore w:val="0"/>
        <w:widowControl w:val="0"/>
        <w:tabs>
          <w:tab w:val="left" w:pos="567"/>
          <w:tab w:val="clear" w:pos="426"/>
        </w:tabs>
        <w:kinsoku/>
        <w:wordWrap/>
        <w:overflowPunct/>
        <w:topLinePunct w:val="0"/>
        <w:autoSpaceDE/>
        <w:autoSpaceDN/>
        <w:bidi w:val="0"/>
        <w:adjustRightInd/>
        <w:snapToGrid/>
        <w:spacing w:line="360" w:lineRule="exact"/>
        <w:ind w:left="0" w:firstLine="440" w:firstLineChars="200"/>
        <w:jc w:val="left"/>
        <w:textAlignment w:val="auto"/>
        <w:rPr>
          <w:rFonts w:hint="eastAsia" w:ascii="宋体" w:hAnsi="宋体" w:eastAsia="宋体" w:cs="宋体"/>
          <w:sz w:val="22"/>
        </w:rPr>
      </w:pPr>
      <w:r>
        <w:rPr>
          <w:rFonts w:hint="eastAsia" w:ascii="宋体" w:hAnsi="宋体" w:eastAsia="宋体" w:cs="宋体"/>
          <w:sz w:val="22"/>
        </w:rPr>
        <w:t>以上承诺，如有违反，愿依照国家相关法律处理，并承担由此给采购人带来的损失。</w:t>
      </w:r>
    </w:p>
    <w:p w14:paraId="262B608B">
      <w:pPr>
        <w:keepNext w:val="0"/>
        <w:keepLines w:val="0"/>
        <w:pageBreakBefore w:val="0"/>
        <w:tabs>
          <w:tab w:val="left" w:pos="567"/>
          <w:tab w:val="clear" w:pos="426"/>
        </w:tabs>
        <w:kinsoku/>
        <w:wordWrap/>
        <w:overflowPunct/>
        <w:topLinePunct w:val="0"/>
        <w:autoSpaceDE/>
        <w:autoSpaceDN/>
        <w:bidi w:val="0"/>
        <w:spacing w:line="360" w:lineRule="exact"/>
        <w:ind w:left="420"/>
        <w:jc w:val="left"/>
        <w:textAlignment w:val="auto"/>
        <w:rPr>
          <w:rFonts w:hint="eastAsia" w:ascii="宋体" w:hAnsi="宋体" w:eastAsia="宋体" w:cs="宋体"/>
          <w:sz w:val="22"/>
        </w:rPr>
      </w:pPr>
    </w:p>
    <w:p w14:paraId="35948FDE">
      <w:pPr>
        <w:keepNext w:val="0"/>
        <w:keepLines w:val="0"/>
        <w:pageBreakBefore w:val="0"/>
        <w:tabs>
          <w:tab w:val="left" w:pos="567"/>
          <w:tab w:val="clear" w:pos="426"/>
        </w:tabs>
        <w:kinsoku/>
        <w:wordWrap/>
        <w:overflowPunct/>
        <w:topLinePunct w:val="0"/>
        <w:autoSpaceDE/>
        <w:autoSpaceDN/>
        <w:bidi w:val="0"/>
        <w:spacing w:line="360" w:lineRule="exact"/>
        <w:ind w:left="420"/>
        <w:jc w:val="left"/>
        <w:textAlignment w:val="auto"/>
        <w:rPr>
          <w:rFonts w:hint="eastAsia" w:ascii="宋体" w:hAnsi="宋体" w:eastAsia="宋体" w:cs="宋体"/>
          <w:sz w:val="22"/>
        </w:rPr>
      </w:pPr>
      <w:r>
        <w:rPr>
          <w:rFonts w:hint="eastAsia" w:ascii="宋体" w:hAnsi="宋体" w:eastAsia="宋体" w:cs="宋体"/>
          <w:sz w:val="22"/>
        </w:rPr>
        <w:t>投标人名称（盖章）：</w:t>
      </w:r>
    </w:p>
    <w:p w14:paraId="75BE4688">
      <w:pPr>
        <w:keepNext w:val="0"/>
        <w:keepLines w:val="0"/>
        <w:pageBreakBefore w:val="0"/>
        <w:tabs>
          <w:tab w:val="clear" w:pos="426"/>
        </w:tabs>
        <w:kinsoku/>
        <w:wordWrap/>
        <w:overflowPunct/>
        <w:topLinePunct w:val="0"/>
        <w:autoSpaceDE/>
        <w:autoSpaceDN/>
        <w:bidi w:val="0"/>
        <w:spacing w:line="360" w:lineRule="exact"/>
        <w:ind w:firstLine="440" w:firstLineChars="200"/>
        <w:textAlignment w:val="auto"/>
        <w:rPr>
          <w:rFonts w:hint="eastAsia" w:ascii="宋体" w:hAnsi="宋体" w:eastAsia="宋体" w:cs="宋体"/>
          <w:sz w:val="22"/>
          <w:szCs w:val="21"/>
          <w:highlight w:val="none"/>
        </w:rPr>
      </w:pPr>
      <w:r>
        <w:rPr>
          <w:rFonts w:hint="eastAsia" w:ascii="宋体" w:hAnsi="宋体" w:eastAsia="宋体" w:cs="宋体"/>
          <w:sz w:val="22"/>
        </w:rPr>
        <w:t>日期：年 月 日</w:t>
      </w:r>
    </w:p>
    <w:p w14:paraId="063866AE">
      <w:pPr>
        <w:numPr>
          <w:ilvl w:val="0"/>
          <w:numId w:val="0"/>
        </w:numPr>
        <w:tabs>
          <w:tab w:val="left" w:pos="0"/>
          <w:tab w:val="clear" w:pos="426"/>
        </w:tabs>
        <w:ind w:left="0" w:leftChars="0" w:firstLine="0" w:firstLineChars="0"/>
        <w:jc w:val="left"/>
        <w:outlineLvl w:val="2"/>
        <w:rPr>
          <w:rFonts w:hAnsi="Calibri"/>
          <w:sz w:val="22"/>
          <w:szCs w:val="21"/>
          <w:highlight w:val="none"/>
        </w:rPr>
      </w:pPr>
      <w:r>
        <w:rPr>
          <w:rFonts w:hAnsi="Calibri"/>
          <w:sz w:val="22"/>
          <w:szCs w:val="21"/>
          <w:highlight w:val="none"/>
        </w:rPr>
        <w:br w:type="page"/>
      </w:r>
    </w:p>
    <w:p w14:paraId="4572521E">
      <w:pPr>
        <w:pStyle w:val="6"/>
        <w:numPr>
          <w:ilvl w:val="0"/>
          <w:numId w:val="0"/>
        </w:numPr>
        <w:shd w:val="clear" w:color="auto" w:fill="FFFFFF"/>
        <w:tabs>
          <w:tab w:val="left" w:pos="420"/>
          <w:tab w:val="clear" w:pos="426"/>
          <w:tab w:val="clear" w:pos="1680"/>
        </w:tabs>
        <w:ind w:left="0" w:leftChars="0" w:firstLine="0" w:firstLineChars="0"/>
        <w:jc w:val="left"/>
        <w:rPr>
          <w:rFonts w:hint="eastAsia" w:ascii="Arial" w:hAnsi="Arial" w:eastAsia="黑体" w:cs="Times New Roman"/>
          <w:b/>
          <w:bCs w:val="0"/>
          <w:kern w:val="2"/>
          <w:sz w:val="28"/>
          <w:szCs w:val="28"/>
          <w:lang w:val="en-US" w:eastAsia="zh-CN" w:bidi="ar-SA"/>
        </w:rPr>
      </w:pPr>
      <w:r>
        <w:rPr>
          <w:rFonts w:hint="eastAsia" w:cs="Times New Roman"/>
          <w:b/>
          <w:bCs w:val="0"/>
          <w:kern w:val="2"/>
          <w:sz w:val="28"/>
          <w:szCs w:val="28"/>
          <w:lang w:val="en-US" w:eastAsia="zh-CN" w:bidi="ar-SA"/>
        </w:rPr>
        <w:t>三、</w:t>
      </w:r>
      <w:r>
        <w:rPr>
          <w:rFonts w:hint="eastAsia" w:ascii="Arial" w:hAnsi="Arial" w:eastAsia="黑体" w:cs="Times New Roman"/>
          <w:b/>
          <w:bCs w:val="0"/>
          <w:kern w:val="2"/>
          <w:sz w:val="28"/>
          <w:szCs w:val="28"/>
          <w:lang w:val="en-US" w:eastAsia="zh-CN" w:bidi="ar-SA"/>
        </w:rPr>
        <w:t>诚信承诺函</w:t>
      </w:r>
    </w:p>
    <w:p w14:paraId="67AAA204">
      <w:pPr>
        <w:widowControl w:val="0"/>
        <w:shd w:val="clear" w:color="auto" w:fill="auto"/>
        <w:tabs>
          <w:tab w:val="clear" w:pos="426"/>
        </w:tabs>
        <w:adjustRightInd/>
        <w:snapToGrid/>
        <w:spacing w:line="300" w:lineRule="auto"/>
        <w:jc w:val="center"/>
        <w:rPr>
          <w:rFonts w:hint="eastAsia" w:ascii="宋体" w:hAnsi="Times New Roman" w:eastAsia="宋体" w:cs="Times New Roman"/>
          <w:bCs/>
          <w:kern w:val="2"/>
          <w:sz w:val="32"/>
          <w:szCs w:val="32"/>
          <w:highlight w:val="none"/>
        </w:rPr>
      </w:pPr>
      <w:r>
        <w:rPr>
          <w:rFonts w:hint="eastAsia" w:ascii="宋体" w:hAnsi="Times New Roman" w:eastAsia="宋体" w:cs="Times New Roman"/>
          <w:bCs/>
          <w:kern w:val="2"/>
          <w:sz w:val="32"/>
          <w:szCs w:val="32"/>
          <w:highlight w:val="none"/>
          <w:lang w:val="en-US" w:eastAsia="zh-CN"/>
        </w:rPr>
        <w:t>诚信承诺函</w:t>
      </w:r>
    </w:p>
    <w:p w14:paraId="7D87AE8D">
      <w:pPr>
        <w:spacing w:line="360" w:lineRule="auto"/>
        <w:rPr>
          <w:rFonts w:hint="eastAsia" w:ascii="宋体" w:hAnsi="宋体" w:cs="宋体"/>
          <w:sz w:val="22"/>
        </w:rPr>
      </w:pPr>
    </w:p>
    <w:p w14:paraId="36C98F38">
      <w:pPr>
        <w:spacing w:line="360" w:lineRule="auto"/>
        <w:rPr>
          <w:rFonts w:ascii="宋体" w:hAnsi="宋体" w:cs="宋体"/>
          <w:sz w:val="22"/>
        </w:rPr>
      </w:pPr>
      <w:r>
        <w:rPr>
          <w:rFonts w:hint="eastAsia" w:ascii="宋体" w:hAnsi="宋体" w:cs="宋体"/>
          <w:sz w:val="22"/>
        </w:rPr>
        <w:t>致：深圳市东海国际招标有限公司</w:t>
      </w:r>
    </w:p>
    <w:p w14:paraId="14B8398E">
      <w:pPr>
        <w:spacing w:line="360" w:lineRule="auto"/>
        <w:ind w:firstLine="440" w:firstLineChars="200"/>
        <w:rPr>
          <w:rFonts w:ascii="宋体" w:hAnsi="宋体" w:cs="宋体"/>
          <w:sz w:val="22"/>
        </w:rPr>
      </w:pPr>
      <w:r>
        <w:rPr>
          <w:rFonts w:hint="eastAsia" w:ascii="宋体" w:hAnsi="宋体" w:cs="宋体"/>
          <w:sz w:val="22"/>
        </w:rPr>
        <w:t>我公司承诺，在政府采购招标投标活动中无下列行为：</w:t>
      </w:r>
    </w:p>
    <w:p w14:paraId="6C39B8D0">
      <w:pPr>
        <w:tabs>
          <w:tab w:val="left" w:pos="567"/>
          <w:tab w:val="clear" w:pos="426"/>
        </w:tabs>
        <w:spacing w:line="360" w:lineRule="auto"/>
        <w:ind w:left="420"/>
        <w:jc w:val="left"/>
        <w:rPr>
          <w:rFonts w:ascii="宋体" w:hAnsi="宋体" w:cs="宋体"/>
          <w:sz w:val="22"/>
        </w:rPr>
      </w:pPr>
      <w:r>
        <w:rPr>
          <w:rFonts w:hint="eastAsia" w:ascii="宋体" w:hAnsi="宋体" w:cs="宋体"/>
          <w:sz w:val="22"/>
        </w:rPr>
        <w:t>（一）被纪检监察部门立案调查，违法违规事实成立的；</w:t>
      </w:r>
    </w:p>
    <w:p w14:paraId="2ABE643B">
      <w:pPr>
        <w:tabs>
          <w:tab w:val="left" w:pos="567"/>
          <w:tab w:val="clear" w:pos="426"/>
        </w:tabs>
        <w:spacing w:line="360" w:lineRule="auto"/>
        <w:ind w:left="420"/>
        <w:jc w:val="left"/>
        <w:rPr>
          <w:rFonts w:ascii="宋体" w:hAnsi="宋体" w:cs="宋体"/>
          <w:sz w:val="22"/>
        </w:rPr>
      </w:pPr>
      <w:r>
        <w:rPr>
          <w:rFonts w:hint="eastAsia" w:ascii="宋体" w:hAnsi="宋体" w:cs="宋体"/>
          <w:sz w:val="22"/>
        </w:rPr>
        <w:t>（二）未按本条例规定签订、履行采购合同，造成严重后果的；</w:t>
      </w:r>
    </w:p>
    <w:p w14:paraId="1E09A666">
      <w:pPr>
        <w:tabs>
          <w:tab w:val="left" w:pos="567"/>
          <w:tab w:val="clear" w:pos="426"/>
        </w:tabs>
        <w:spacing w:line="360" w:lineRule="auto"/>
        <w:ind w:left="420"/>
        <w:jc w:val="left"/>
        <w:rPr>
          <w:rFonts w:ascii="宋体" w:hAnsi="宋体" w:cs="宋体"/>
          <w:sz w:val="22"/>
        </w:rPr>
      </w:pPr>
      <w:r>
        <w:rPr>
          <w:rFonts w:hint="eastAsia" w:ascii="宋体" w:hAnsi="宋体" w:cs="宋体"/>
          <w:sz w:val="22"/>
        </w:rPr>
        <w:t>（三）隐瞒真实情况，提供虚假资料的；</w:t>
      </w:r>
    </w:p>
    <w:p w14:paraId="05798AAF">
      <w:pPr>
        <w:tabs>
          <w:tab w:val="left" w:pos="567"/>
          <w:tab w:val="clear" w:pos="426"/>
        </w:tabs>
        <w:spacing w:line="360" w:lineRule="auto"/>
        <w:ind w:left="420"/>
        <w:jc w:val="left"/>
        <w:rPr>
          <w:rFonts w:ascii="宋体" w:hAnsi="宋体" w:cs="宋体"/>
          <w:sz w:val="22"/>
        </w:rPr>
      </w:pPr>
      <w:r>
        <w:rPr>
          <w:rFonts w:hint="eastAsia" w:ascii="宋体" w:hAnsi="宋体" w:cs="宋体"/>
          <w:sz w:val="22"/>
        </w:rPr>
        <w:t>（四）以非法手段排斥其他供应商参与竞争的；</w:t>
      </w:r>
    </w:p>
    <w:p w14:paraId="18321A22">
      <w:pPr>
        <w:tabs>
          <w:tab w:val="left" w:pos="567"/>
          <w:tab w:val="clear" w:pos="426"/>
        </w:tabs>
        <w:spacing w:line="360" w:lineRule="auto"/>
        <w:ind w:left="420"/>
        <w:jc w:val="left"/>
        <w:rPr>
          <w:rFonts w:ascii="宋体" w:hAnsi="宋体" w:cs="宋体"/>
          <w:sz w:val="22"/>
        </w:rPr>
      </w:pPr>
      <w:r>
        <w:rPr>
          <w:rFonts w:hint="eastAsia" w:ascii="宋体" w:hAnsi="宋体" w:cs="宋体"/>
          <w:sz w:val="22"/>
        </w:rPr>
        <w:t>（五）与其他采购参加人串通投标的；</w:t>
      </w:r>
    </w:p>
    <w:p w14:paraId="2060C8D7">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（六）在采购活动中应当回避而未回避的； </w:t>
      </w:r>
    </w:p>
    <w:p w14:paraId="2660B27F">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（七）恶意投诉的； </w:t>
      </w:r>
    </w:p>
    <w:p w14:paraId="44DC07F4">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（八）向采购项目相关人行贿或者提供其他不当利益的； </w:t>
      </w:r>
    </w:p>
    <w:p w14:paraId="49644419">
      <w:pPr>
        <w:tabs>
          <w:tab w:val="left" w:pos="567"/>
          <w:tab w:val="clear" w:pos="426"/>
        </w:tabs>
        <w:spacing w:line="360" w:lineRule="auto"/>
        <w:ind w:left="420"/>
        <w:jc w:val="left"/>
        <w:rPr>
          <w:rFonts w:ascii="宋体" w:hAnsi="宋体" w:cs="宋体"/>
          <w:sz w:val="22"/>
        </w:rPr>
      </w:pPr>
      <w:r>
        <w:rPr>
          <w:rFonts w:hint="eastAsia" w:ascii="宋体" w:hAnsi="宋体" w:cs="宋体"/>
          <w:sz w:val="22"/>
        </w:rPr>
        <w:t>（九）阻碍、抗拒主管部门监督检查的；</w:t>
      </w:r>
    </w:p>
    <w:p w14:paraId="6CF91F24">
      <w:pPr>
        <w:tabs>
          <w:tab w:val="left" w:pos="567"/>
          <w:tab w:val="clear" w:pos="426"/>
        </w:tabs>
        <w:spacing w:line="360" w:lineRule="auto"/>
        <w:ind w:left="420"/>
        <w:jc w:val="left"/>
        <w:rPr>
          <w:rFonts w:ascii="宋体" w:hAnsi="宋体" w:cs="宋体"/>
          <w:sz w:val="22"/>
        </w:rPr>
      </w:pPr>
      <w:r>
        <w:rPr>
          <w:rFonts w:hint="eastAsia" w:ascii="宋体" w:hAnsi="宋体" w:cs="宋体"/>
          <w:sz w:val="22"/>
        </w:rPr>
        <w:t>（十）履约检查不合格或者评价为差的；</w:t>
      </w:r>
    </w:p>
    <w:p w14:paraId="5A97E52D">
      <w:pPr>
        <w:tabs>
          <w:tab w:val="left" w:pos="567"/>
          <w:tab w:val="clear" w:pos="426"/>
        </w:tabs>
        <w:spacing w:line="360" w:lineRule="auto"/>
        <w:ind w:left="420"/>
        <w:jc w:val="left"/>
        <w:rPr>
          <w:rFonts w:ascii="宋体" w:hAnsi="宋体" w:cs="宋体"/>
          <w:sz w:val="22"/>
        </w:rPr>
      </w:pPr>
      <w:r>
        <w:rPr>
          <w:rFonts w:hint="eastAsia" w:ascii="宋体" w:hAnsi="宋体" w:cs="宋体"/>
          <w:sz w:val="22"/>
        </w:rPr>
        <w:t xml:space="preserve">（十一）参与本项目投标前三年内，在经营活动中有重大违法记录； </w:t>
      </w:r>
    </w:p>
    <w:p w14:paraId="0582F0F3">
      <w:pPr>
        <w:tabs>
          <w:tab w:val="left" w:pos="567"/>
          <w:tab w:val="clear" w:pos="426"/>
        </w:tabs>
        <w:spacing w:line="360" w:lineRule="auto"/>
        <w:ind w:left="420"/>
        <w:jc w:val="left"/>
        <w:rPr>
          <w:rFonts w:ascii="宋体" w:hAnsi="宋体" w:cs="宋体"/>
          <w:sz w:val="22"/>
        </w:rPr>
      </w:pPr>
      <w:r>
        <w:rPr>
          <w:rFonts w:hint="eastAsia" w:ascii="宋体" w:hAnsi="宋体" w:cs="宋体"/>
          <w:sz w:val="22"/>
        </w:rPr>
        <w:t>（十二）参与本项目政府采购活动时存在处于被有关部门禁止参与政府采购活动且在有效期内的情况；</w:t>
      </w:r>
    </w:p>
    <w:p w14:paraId="06563B00">
      <w:pPr>
        <w:spacing w:line="360" w:lineRule="auto"/>
        <w:ind w:firstLine="440" w:firstLineChars="200"/>
        <w:rPr>
          <w:rFonts w:ascii="宋体" w:hAnsi="宋体" w:cs="宋体"/>
          <w:sz w:val="22"/>
        </w:rPr>
      </w:pPr>
      <w:r>
        <w:rPr>
          <w:rFonts w:hint="eastAsia" w:ascii="宋体" w:hAnsi="宋体" w:cs="宋体"/>
          <w:sz w:val="22"/>
        </w:rPr>
        <w:t>（十三）主管部门认定的其他情形。</w:t>
      </w:r>
    </w:p>
    <w:p w14:paraId="18D02C4E">
      <w:pPr>
        <w:spacing w:line="360" w:lineRule="auto"/>
        <w:ind w:firstLine="440" w:firstLineChars="200"/>
        <w:rPr>
          <w:rFonts w:ascii="宋体" w:hAnsi="宋体" w:cs="宋体"/>
          <w:sz w:val="22"/>
        </w:rPr>
      </w:pPr>
      <w:r>
        <w:rPr>
          <w:rFonts w:hint="eastAsia" w:ascii="宋体" w:hAnsi="宋体" w:cs="宋体"/>
          <w:sz w:val="22"/>
        </w:rPr>
        <w:t>如我司在开标日前三年内存在上述行为超出法定追诉时效未被追诉、或者上述情节轻微未给予禁止参加政府采购的行政处罚，我司自愿承担虚假应标以及其他一切不利的法律后果。</w:t>
      </w:r>
    </w:p>
    <w:p w14:paraId="72372D8C">
      <w:pPr>
        <w:spacing w:line="360" w:lineRule="auto"/>
        <w:ind w:firstLine="440" w:firstLineChars="200"/>
        <w:rPr>
          <w:rFonts w:ascii="宋体" w:hAnsi="宋体" w:cs="宋体"/>
          <w:sz w:val="22"/>
        </w:rPr>
      </w:pPr>
      <w:r>
        <w:rPr>
          <w:rFonts w:hint="eastAsia" w:ascii="宋体" w:hAnsi="宋体" w:cs="宋体"/>
          <w:sz w:val="22"/>
        </w:rPr>
        <w:t>特此承诺。</w:t>
      </w:r>
    </w:p>
    <w:p w14:paraId="7E800A33">
      <w:pPr>
        <w:spacing w:line="360" w:lineRule="auto"/>
        <w:ind w:firstLine="480" w:firstLineChars="200"/>
        <w:rPr>
          <w:rFonts w:ascii="宋体" w:hAnsi="宋体" w:cs="宋体"/>
          <w:sz w:val="24"/>
        </w:rPr>
      </w:pPr>
    </w:p>
    <w:p w14:paraId="3A0491CD">
      <w:pPr>
        <w:spacing w:line="360" w:lineRule="auto"/>
        <w:rPr>
          <w:sz w:val="22"/>
        </w:rPr>
      </w:pPr>
      <w:r>
        <w:rPr>
          <w:rFonts w:hint="eastAsia" w:ascii="宋体" w:hAnsi="宋体"/>
          <w:sz w:val="22"/>
          <w:lang w:val="zh-CN"/>
        </w:rPr>
        <w:t>法定代表人（</w:t>
      </w:r>
      <w:r>
        <w:rPr>
          <w:rFonts w:hint="eastAsia" w:ascii="宋体" w:hAnsi="宋体"/>
          <w:sz w:val="22"/>
        </w:rPr>
        <w:t>单位负责人</w:t>
      </w:r>
      <w:r>
        <w:rPr>
          <w:rFonts w:hint="eastAsia" w:ascii="宋体" w:hAnsi="宋体"/>
          <w:sz w:val="22"/>
          <w:lang w:val="zh-CN"/>
        </w:rPr>
        <w:t>）或其授权代表（签字</w:t>
      </w:r>
      <w:r>
        <w:rPr>
          <w:rFonts w:hint="eastAsia" w:ascii="宋体" w:hAnsi="宋体"/>
          <w:sz w:val="22"/>
        </w:rPr>
        <w:t>或盖章</w:t>
      </w:r>
      <w:r>
        <w:rPr>
          <w:rFonts w:hint="eastAsia" w:ascii="宋体" w:hAnsi="宋体"/>
          <w:sz w:val="22"/>
          <w:lang w:val="zh-CN"/>
        </w:rPr>
        <w:t>）</w:t>
      </w:r>
      <w:r>
        <w:rPr>
          <w:rFonts w:hint="eastAsia"/>
          <w:sz w:val="22"/>
        </w:rPr>
        <w:t xml:space="preserve">：                   </w:t>
      </w:r>
    </w:p>
    <w:p w14:paraId="3B24C369">
      <w:pPr>
        <w:spacing w:line="360" w:lineRule="auto"/>
        <w:rPr>
          <w:sz w:val="22"/>
        </w:rPr>
      </w:pPr>
      <w:r>
        <w:rPr>
          <w:rFonts w:hint="eastAsia"/>
          <w:sz w:val="22"/>
        </w:rPr>
        <w:t xml:space="preserve">投标人名称（盖章）：                        </w:t>
      </w:r>
    </w:p>
    <w:p w14:paraId="0B13B1D4">
      <w:pPr>
        <w:spacing w:line="360" w:lineRule="auto"/>
        <w:rPr>
          <w:rFonts w:hint="eastAsia"/>
          <w:sz w:val="22"/>
        </w:rPr>
      </w:pPr>
      <w:r>
        <w:rPr>
          <w:rFonts w:hint="eastAsia"/>
          <w:sz w:val="22"/>
        </w:rPr>
        <w:t>日期：   年   月   日</w:t>
      </w:r>
    </w:p>
    <w:p w14:paraId="736FF66E">
      <w:pPr>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br w:type="page"/>
      </w:r>
    </w:p>
    <w:p w14:paraId="3B2D7126">
      <w:pPr>
        <w:numPr>
          <w:ilvl w:val="0"/>
          <w:numId w:val="0"/>
        </w:numPr>
        <w:tabs>
          <w:tab w:val="left" w:pos="0"/>
          <w:tab w:val="clear" w:pos="426"/>
        </w:tabs>
        <w:ind w:left="0" w:leftChars="0" w:firstLine="0" w:firstLineChars="0"/>
        <w:jc w:val="left"/>
        <w:outlineLvl w:val="2"/>
        <w:rPr>
          <w:sz w:val="24"/>
        </w:rPr>
      </w:pPr>
      <w:r>
        <w:rPr>
          <w:rFonts w:hint="eastAsia" w:ascii="Arial" w:hAnsi="Arial" w:eastAsia="黑体" w:cs="Times New Roman"/>
          <w:b/>
          <w:bCs/>
          <w:kern w:val="2"/>
          <w:sz w:val="28"/>
          <w:szCs w:val="28"/>
          <w:highlight w:val="none"/>
          <w:lang w:val="en-US" w:eastAsia="zh-CN" w:bidi="ar-SA"/>
        </w:rPr>
        <w:t>四、政府采购违法行为风险知悉确认书</w:t>
      </w:r>
    </w:p>
    <w:p w14:paraId="35339116">
      <w:pPr>
        <w:widowControl w:val="0"/>
        <w:shd w:val="clear" w:color="auto" w:fill="auto"/>
        <w:tabs>
          <w:tab w:val="clear" w:pos="426"/>
        </w:tabs>
        <w:adjustRightInd/>
        <w:snapToGrid/>
        <w:spacing w:line="300" w:lineRule="auto"/>
        <w:jc w:val="center"/>
        <w:rPr>
          <w:rFonts w:hint="eastAsia" w:ascii="宋体" w:hAnsi="Times New Roman" w:eastAsia="宋体" w:cs="Times New Roman"/>
          <w:bCs/>
          <w:kern w:val="2"/>
          <w:sz w:val="32"/>
          <w:szCs w:val="32"/>
          <w:highlight w:val="none"/>
        </w:rPr>
      </w:pPr>
      <w:r>
        <w:rPr>
          <w:rFonts w:hint="eastAsia" w:ascii="宋体" w:hAnsi="Times New Roman" w:eastAsia="宋体" w:cs="Times New Roman"/>
          <w:bCs/>
          <w:kern w:val="2"/>
          <w:sz w:val="32"/>
          <w:szCs w:val="32"/>
          <w:highlight w:val="none"/>
          <w:lang w:val="en-US" w:eastAsia="zh-CN"/>
        </w:rPr>
        <w:t>政府采购违法行为风险知悉确认书</w:t>
      </w:r>
    </w:p>
    <w:p w14:paraId="42ED130B">
      <w:pPr>
        <w:ind w:firstLine="440" w:firstLineChars="200"/>
        <w:rPr>
          <w:rFonts w:hint="eastAsia" w:ascii="宋体" w:hAnsi="宋体" w:cs="宋体"/>
          <w:sz w:val="22"/>
        </w:rPr>
      </w:pPr>
    </w:p>
    <w:p w14:paraId="1C3CA35A">
      <w:pPr>
        <w:ind w:firstLine="440" w:firstLineChars="200"/>
        <w:rPr>
          <w:rFonts w:ascii="宋体" w:hAnsi="宋体" w:cs="宋体"/>
          <w:sz w:val="22"/>
        </w:rPr>
      </w:pPr>
      <w:r>
        <w:rPr>
          <w:rFonts w:hint="eastAsia" w:ascii="宋体" w:hAnsi="宋体" w:cs="宋体"/>
          <w:sz w:val="22"/>
        </w:rPr>
        <w:t>本公司在投标前已充分知悉以下情形为参与政府采购活动时的重大风险事项，并承诺已对下述风险提示事项重点排查，做到严谨、诚信、依法依规参与政府采购活动。</w:t>
      </w:r>
      <w:r>
        <w:rPr>
          <w:rFonts w:hint="eastAsia" w:ascii="宋体" w:hAnsi="宋体" w:cs="宋体"/>
          <w:color w:val="000000"/>
          <w:sz w:val="22"/>
        </w:rPr>
        <w:t xml:space="preserve"> </w:t>
      </w:r>
    </w:p>
    <w:p w14:paraId="29A97840">
      <w:pPr>
        <w:rPr>
          <w:rFonts w:ascii="宋体" w:hAnsi="宋体" w:cs="宋体"/>
          <w:sz w:val="22"/>
        </w:rPr>
      </w:pPr>
      <w:r>
        <w:rPr>
          <w:rFonts w:hint="eastAsia" w:ascii="宋体" w:hAnsi="宋体" w:cs="宋体"/>
          <w:b/>
          <w:bCs/>
          <w:color w:val="000000"/>
          <w:sz w:val="22"/>
        </w:rPr>
        <w:t>一、本公司已充分知悉“隐瞒真实情况，提供虚假资料”的法定情形，相关情形包括但不限于</w:t>
      </w:r>
      <w:r>
        <w:rPr>
          <w:rFonts w:hint="eastAsia" w:ascii="宋体" w:hAnsi="宋体" w:cs="宋体"/>
          <w:color w:val="000000"/>
          <w:sz w:val="22"/>
        </w:rPr>
        <w:t xml:space="preserve">： </w:t>
      </w:r>
    </w:p>
    <w:p w14:paraId="0FF201C5">
      <w:pPr>
        <w:ind w:firstLine="440" w:firstLineChars="200"/>
        <w:rPr>
          <w:rFonts w:ascii="宋体" w:hAnsi="宋体" w:cs="宋体"/>
          <w:sz w:val="22"/>
        </w:rPr>
      </w:pPr>
      <w:r>
        <w:rPr>
          <w:rFonts w:hint="eastAsia" w:ascii="宋体" w:hAnsi="宋体" w:cs="宋体"/>
          <w:sz w:val="22"/>
        </w:rPr>
        <w:t xml:space="preserve">（一）通过转让或者租借等方式从其他单位获取资格或者资质证书投标的。 </w:t>
      </w:r>
    </w:p>
    <w:p w14:paraId="4C23D3DD">
      <w:pPr>
        <w:ind w:firstLine="440" w:firstLineChars="200"/>
        <w:rPr>
          <w:rFonts w:ascii="宋体" w:hAnsi="宋体" w:cs="宋体"/>
          <w:sz w:val="22"/>
        </w:rPr>
      </w:pPr>
      <w:r>
        <w:rPr>
          <w:rFonts w:hint="eastAsia" w:ascii="宋体" w:hAnsi="宋体" w:cs="宋体"/>
          <w:sz w:val="22"/>
        </w:rPr>
        <w:t xml:space="preserve">（二）由其他单位或者其他单位负责人在投标供应商编制的投标文件上加盖印章或者签字的。 </w:t>
      </w:r>
    </w:p>
    <w:p w14:paraId="4FF058FF">
      <w:pPr>
        <w:ind w:firstLine="440" w:firstLineChars="200"/>
        <w:rPr>
          <w:rFonts w:ascii="宋体" w:hAnsi="宋体" w:cs="宋体"/>
          <w:sz w:val="22"/>
        </w:rPr>
      </w:pPr>
      <w:r>
        <w:rPr>
          <w:rFonts w:hint="eastAsia" w:ascii="宋体" w:hAnsi="宋体" w:cs="宋体"/>
          <w:sz w:val="22"/>
        </w:rPr>
        <w:t xml:space="preserve">（三）项目负责人或者主要技术人员不是本单位人员的。 </w:t>
      </w:r>
    </w:p>
    <w:p w14:paraId="0A15FC25">
      <w:pPr>
        <w:ind w:firstLine="440" w:firstLineChars="200"/>
        <w:rPr>
          <w:rFonts w:ascii="宋体" w:hAnsi="宋体" w:cs="宋体"/>
          <w:sz w:val="22"/>
        </w:rPr>
      </w:pPr>
      <w:r>
        <w:rPr>
          <w:rFonts w:hint="eastAsia" w:ascii="宋体" w:hAnsi="宋体" w:cs="宋体"/>
          <w:sz w:val="22"/>
        </w:rPr>
        <w:t xml:space="preserve">（四）投标保证金不是从投标供应商基本账户转出的。 </w:t>
      </w:r>
    </w:p>
    <w:p w14:paraId="3ADFFFB1">
      <w:pPr>
        <w:ind w:firstLine="440" w:firstLineChars="200"/>
        <w:rPr>
          <w:rFonts w:ascii="宋体" w:hAnsi="宋体" w:cs="宋体"/>
          <w:sz w:val="22"/>
        </w:rPr>
      </w:pPr>
      <w:r>
        <w:rPr>
          <w:rFonts w:hint="eastAsia" w:ascii="宋体" w:hAnsi="宋体" w:cs="宋体"/>
          <w:sz w:val="22"/>
        </w:rPr>
        <w:t xml:space="preserve">（五）其他隐瞒真实情况、提供虚假资料的行为。 </w:t>
      </w:r>
    </w:p>
    <w:p w14:paraId="2BDF2810">
      <w:pPr>
        <w:rPr>
          <w:rFonts w:ascii="宋体" w:hAnsi="宋体" w:cs="宋体"/>
          <w:sz w:val="22"/>
        </w:rPr>
      </w:pPr>
      <w:r>
        <w:rPr>
          <w:rFonts w:hint="eastAsia" w:ascii="宋体" w:hAnsi="宋体" w:cs="宋体"/>
          <w:b/>
          <w:bCs/>
          <w:color w:val="000000"/>
          <w:sz w:val="22"/>
        </w:rPr>
        <w:t xml:space="preserve">二、本公司已充分知悉“与其他采购参加人串通投标”的法定情形，相关情形包括但不限于： </w:t>
      </w:r>
    </w:p>
    <w:p w14:paraId="113DE2A6">
      <w:pPr>
        <w:ind w:firstLine="440" w:firstLineChars="200"/>
        <w:rPr>
          <w:rFonts w:ascii="宋体" w:hAnsi="宋体" w:cs="宋体"/>
          <w:sz w:val="22"/>
        </w:rPr>
      </w:pPr>
      <w:r>
        <w:rPr>
          <w:rFonts w:hint="eastAsia" w:ascii="宋体" w:hAnsi="宋体" w:cs="宋体"/>
          <w:color w:val="000000"/>
          <w:sz w:val="22"/>
        </w:rPr>
        <w:t>（一）投标供应商之间相互约定给予未中标的供应商利益补偿。</w:t>
      </w:r>
    </w:p>
    <w:p w14:paraId="61303ECB">
      <w:pPr>
        <w:ind w:firstLine="440" w:firstLineChars="200"/>
        <w:rPr>
          <w:rFonts w:ascii="宋体" w:hAnsi="宋体" w:cs="宋体"/>
          <w:sz w:val="22"/>
        </w:rPr>
      </w:pPr>
      <w:r>
        <w:rPr>
          <w:rFonts w:hint="eastAsia" w:ascii="宋体" w:hAnsi="宋体" w:cs="宋体"/>
          <w:color w:val="000000"/>
          <w:sz w:val="22"/>
        </w:rPr>
        <w:t xml:space="preserve">（二）不同投标供应商的法定代表人、主要经营负责人、项目投标授权代表人、项目负责人、主要技术人员为同一人、属同一单位或者在同一单位缴纳社会保险。 </w:t>
      </w:r>
    </w:p>
    <w:p w14:paraId="6E90297D">
      <w:pPr>
        <w:ind w:firstLine="440" w:firstLineChars="200"/>
        <w:rPr>
          <w:rFonts w:ascii="宋体" w:hAnsi="宋体" w:cs="宋体"/>
          <w:sz w:val="22"/>
        </w:rPr>
      </w:pPr>
      <w:r>
        <w:rPr>
          <w:rFonts w:hint="eastAsia" w:ascii="宋体" w:hAnsi="宋体" w:cs="宋体"/>
          <w:color w:val="000000"/>
          <w:sz w:val="22"/>
        </w:rPr>
        <w:t xml:space="preserve">（三）不同投标供应商的投标文件由同一单位或者同一人编制，或者由同一人分阶段参与编制的。 </w:t>
      </w:r>
    </w:p>
    <w:p w14:paraId="3CF9B19E">
      <w:pPr>
        <w:ind w:firstLine="440" w:firstLineChars="200"/>
        <w:rPr>
          <w:rFonts w:ascii="宋体" w:hAnsi="宋体" w:cs="宋体"/>
          <w:sz w:val="22"/>
        </w:rPr>
      </w:pPr>
      <w:r>
        <w:rPr>
          <w:rFonts w:hint="eastAsia" w:ascii="宋体" w:hAnsi="宋体" w:cs="宋体"/>
          <w:color w:val="000000"/>
          <w:sz w:val="22"/>
        </w:rPr>
        <w:t>（四）不同投标供应商的投标文件或部分投标文件相互混装。</w:t>
      </w:r>
    </w:p>
    <w:p w14:paraId="4BF5E219">
      <w:pPr>
        <w:ind w:firstLine="440" w:firstLineChars="200"/>
        <w:rPr>
          <w:rFonts w:ascii="宋体" w:hAnsi="宋体" w:cs="宋体"/>
          <w:sz w:val="22"/>
        </w:rPr>
      </w:pPr>
      <w:r>
        <w:rPr>
          <w:rFonts w:hint="eastAsia" w:ascii="宋体" w:hAnsi="宋体" w:cs="宋体"/>
          <w:color w:val="000000"/>
          <w:sz w:val="22"/>
        </w:rPr>
        <w:t xml:space="preserve">（五）不同投标供应商的投标文件内容存在非正常一致。 </w:t>
      </w:r>
    </w:p>
    <w:p w14:paraId="08B110C4">
      <w:pPr>
        <w:ind w:firstLine="440" w:firstLineChars="200"/>
        <w:rPr>
          <w:rFonts w:ascii="宋体" w:hAnsi="宋体" w:cs="宋体"/>
          <w:sz w:val="22"/>
        </w:rPr>
      </w:pPr>
      <w:r>
        <w:rPr>
          <w:rFonts w:hint="eastAsia" w:ascii="宋体" w:hAnsi="宋体" w:cs="宋体"/>
          <w:color w:val="000000"/>
          <w:sz w:val="22"/>
        </w:rPr>
        <w:t xml:space="preserve">（六）由同一单位工作人员为两家以上（含两家）供应商进行同一项投标活动的。 </w:t>
      </w:r>
    </w:p>
    <w:p w14:paraId="7FEBD68F">
      <w:pPr>
        <w:ind w:firstLine="440" w:firstLineChars="200"/>
        <w:rPr>
          <w:rFonts w:ascii="宋体" w:hAnsi="宋体" w:cs="宋体"/>
          <w:sz w:val="22"/>
        </w:rPr>
      </w:pPr>
      <w:r>
        <w:rPr>
          <w:rFonts w:hint="eastAsia" w:ascii="宋体" w:hAnsi="宋体" w:cs="宋体"/>
          <w:color w:val="000000"/>
          <w:sz w:val="22"/>
        </w:rPr>
        <w:t xml:space="preserve">（七）不同投标人的投标报价呈规律性差异。 </w:t>
      </w:r>
    </w:p>
    <w:p w14:paraId="6223C464">
      <w:pPr>
        <w:ind w:firstLine="440" w:firstLineChars="200"/>
        <w:rPr>
          <w:rFonts w:ascii="宋体" w:hAnsi="宋体" w:cs="宋体"/>
          <w:sz w:val="22"/>
        </w:rPr>
      </w:pPr>
      <w:r>
        <w:rPr>
          <w:rFonts w:hint="eastAsia" w:ascii="宋体" w:hAnsi="宋体" w:cs="宋体"/>
          <w:color w:val="000000"/>
          <w:sz w:val="22"/>
        </w:rPr>
        <w:t>（八）不同投标人的投标保证金从同一单位或者个人的账户转出。</w:t>
      </w:r>
    </w:p>
    <w:p w14:paraId="68867E4E">
      <w:pPr>
        <w:ind w:firstLine="440" w:firstLineChars="200"/>
        <w:rPr>
          <w:rFonts w:ascii="宋体" w:hAnsi="宋体" w:cs="宋体"/>
          <w:sz w:val="22"/>
        </w:rPr>
      </w:pPr>
      <w:r>
        <w:rPr>
          <w:rFonts w:hint="eastAsia" w:ascii="宋体" w:hAnsi="宋体" w:cs="宋体"/>
          <w:color w:val="000000"/>
          <w:sz w:val="22"/>
        </w:rPr>
        <w:t xml:space="preserve">（九）主管部门依照法律、法规认定的其他情形。 </w:t>
      </w:r>
    </w:p>
    <w:p w14:paraId="52128B4A">
      <w:pPr>
        <w:rPr>
          <w:rFonts w:ascii="宋体" w:hAnsi="宋体" w:cs="宋体"/>
          <w:sz w:val="22"/>
        </w:rPr>
      </w:pPr>
      <w:r>
        <w:rPr>
          <w:rFonts w:hint="eastAsia" w:ascii="宋体" w:hAnsi="宋体" w:cs="宋体"/>
          <w:b/>
          <w:bCs/>
          <w:color w:val="000000"/>
          <w:sz w:val="22"/>
        </w:rPr>
        <w:t xml:space="preserve">三、本公司已充分知悉下列情形所对应的法律风险，并在投标前已对相关风险事项进行排查。 </w:t>
      </w:r>
    </w:p>
    <w:p w14:paraId="1E7D8154">
      <w:pPr>
        <w:ind w:firstLine="440" w:firstLineChars="200"/>
        <w:rPr>
          <w:rFonts w:ascii="宋体" w:hAnsi="宋体" w:cs="宋体"/>
          <w:sz w:val="22"/>
        </w:rPr>
      </w:pPr>
      <w:r>
        <w:rPr>
          <w:rFonts w:hint="eastAsia" w:ascii="宋体" w:hAnsi="宋体" w:cs="宋体"/>
          <w:color w:val="000000"/>
          <w:sz w:val="22"/>
        </w:rPr>
        <w:t>（一）对于从其他主体获取的投标资料，供应商应审慎核查，确保投标资料的真实性。</w:t>
      </w:r>
      <w:r>
        <w:rPr>
          <w:rFonts w:hint="eastAsia" w:ascii="宋体" w:hAnsi="宋体" w:cs="宋体"/>
          <w:b/>
          <w:bCs/>
          <w:color w:val="000000"/>
          <w:sz w:val="22"/>
        </w:rPr>
        <w:t xml:space="preserve">如主管部门查实投标文件中存在虚假资料的，无论相关资料是否由第三方或本公司员工提供，均不影响主管部门对供应商存在“隐瞒真实情况，提供虚假资料”违法行为的认定。 </w:t>
      </w:r>
    </w:p>
    <w:p w14:paraId="2F49C08A">
      <w:pPr>
        <w:ind w:firstLine="440" w:firstLineChars="200"/>
        <w:rPr>
          <w:rFonts w:ascii="宋体" w:hAnsi="宋体" w:cs="宋体"/>
          <w:sz w:val="22"/>
        </w:rPr>
      </w:pPr>
      <w:r>
        <w:rPr>
          <w:rFonts w:hint="eastAsia" w:ascii="宋体" w:hAnsi="宋体" w:cs="宋体"/>
          <w:color w:val="000000"/>
          <w:sz w:val="22"/>
        </w:rPr>
        <w:t xml:space="preserve">（二）对于涉及国家机关出具的公文、证件、证明材料等文件，一旦涉嫌虚假，经查实，主管部门将依法从严处理，并移送有关部门追究法律责任；涉嫌犯罪的，主管部门将一并移送司法机关追究法律责任。 </w:t>
      </w:r>
    </w:p>
    <w:p w14:paraId="7245CDE7">
      <w:pPr>
        <w:ind w:firstLine="440" w:firstLineChars="200"/>
        <w:rPr>
          <w:rFonts w:ascii="宋体" w:hAnsi="宋体" w:cs="宋体"/>
          <w:sz w:val="22"/>
        </w:rPr>
      </w:pPr>
      <w:r>
        <w:rPr>
          <w:rFonts w:hint="eastAsia" w:ascii="宋体" w:hAnsi="宋体" w:cs="宋体"/>
          <w:color w:val="000000"/>
          <w:sz w:val="22"/>
        </w:rPr>
        <w:t xml:space="preserve">（三）对于涉及安全生产、特种作业、抢险救灾、防疫等政府采购项目，供应商实施提供虚假资料、串通投标等违法行为的，主管部门将依法从严处理。 </w:t>
      </w:r>
    </w:p>
    <w:p w14:paraId="65C337F4">
      <w:pPr>
        <w:ind w:firstLine="440" w:firstLineChars="200"/>
        <w:rPr>
          <w:rFonts w:ascii="宋体" w:hAnsi="宋体" w:cs="宋体"/>
          <w:sz w:val="22"/>
        </w:rPr>
      </w:pPr>
      <w:r>
        <w:rPr>
          <w:rFonts w:hint="eastAsia" w:ascii="宋体" w:hAnsi="宋体" w:cs="宋体"/>
          <w:color w:val="000000"/>
          <w:sz w:val="22"/>
        </w:rPr>
        <w:t xml:space="preserve">（四）供应商应严格规范项目授权代表、员工参与招标投标的行为，加强对投标文件的审核。项目授权代表、员工编制、上传投标文件等行为违反政府采购法律法规或招标文件要求的，投标供应商应当依法承担相应法律责任。 </w:t>
      </w:r>
    </w:p>
    <w:p w14:paraId="1FE86AC2">
      <w:pPr>
        <w:ind w:firstLine="440" w:firstLineChars="200"/>
        <w:rPr>
          <w:rFonts w:ascii="宋体" w:hAnsi="宋体" w:cs="宋体"/>
          <w:sz w:val="22"/>
        </w:rPr>
      </w:pPr>
      <w:r>
        <w:rPr>
          <w:rFonts w:hint="eastAsia" w:ascii="宋体" w:hAnsi="宋体" w:cs="宋体"/>
          <w:color w:val="000000"/>
          <w:sz w:val="22"/>
        </w:rPr>
        <w:t>（</w:t>
      </w:r>
      <w:r>
        <w:rPr>
          <w:rFonts w:hint="eastAsia" w:ascii="宋体" w:hAnsi="宋体" w:cs="宋体"/>
          <w:color w:val="000000"/>
          <w:sz w:val="22"/>
          <w:lang w:val="en-US" w:eastAsia="zh-CN"/>
        </w:rPr>
        <w:t>五</w:t>
      </w:r>
      <w:r>
        <w:rPr>
          <w:rFonts w:hint="eastAsia" w:ascii="宋体" w:hAnsi="宋体" w:cs="宋体"/>
          <w:color w:val="000000"/>
          <w:sz w:val="22"/>
        </w:rPr>
        <w:t xml:space="preserve">）单位负责人为同一人或者存在直接控股、管理关系的不同供应商，不得参加同一合同项下的政府采购活动。相关情形如查实，依法作投标无效处理；涉嫌串通投标等违法行为的，主管部门将依法调查处理。 </w:t>
      </w:r>
    </w:p>
    <w:p w14:paraId="49BF2225">
      <w:pPr>
        <w:rPr>
          <w:rFonts w:ascii="宋体" w:hAnsi="宋体" w:cs="宋体"/>
          <w:sz w:val="22"/>
        </w:rPr>
      </w:pPr>
      <w:r>
        <w:rPr>
          <w:rFonts w:hint="eastAsia" w:ascii="宋体" w:hAnsi="宋体" w:cs="宋体"/>
          <w:b/>
          <w:bCs/>
          <w:color w:val="000000"/>
          <w:sz w:val="22"/>
        </w:rPr>
        <w:t>四、本公司已充分知悉政府采购违法、违规行为的法律后果。</w:t>
      </w:r>
    </w:p>
    <w:p w14:paraId="35A5319A">
      <w:pPr>
        <w:ind w:firstLine="440" w:firstLineChars="200"/>
        <w:rPr>
          <w:rFonts w:ascii="宋体" w:hAnsi="宋体" w:cs="宋体"/>
          <w:sz w:val="22"/>
        </w:rPr>
      </w:pPr>
      <w:r>
        <w:rPr>
          <w:rFonts w:hint="eastAsia" w:ascii="宋体" w:hAnsi="宋体" w:cs="宋体"/>
          <w:color w:val="000000"/>
          <w:sz w:val="22"/>
        </w:rPr>
        <w:t>经查实，若投标供应商存在政府采购违法、违规行为，主管部门将依法</w:t>
      </w:r>
      <w:r>
        <w:rPr>
          <w:rFonts w:hint="eastAsia" w:ascii="宋体" w:hAnsi="宋体" w:cs="宋体"/>
          <w:color w:val="000000"/>
          <w:sz w:val="22"/>
          <w:lang w:val="en-US" w:eastAsia="zh-CN"/>
        </w:rPr>
        <w:t>处理</w:t>
      </w:r>
      <w:r>
        <w:rPr>
          <w:rFonts w:hint="eastAsia" w:ascii="宋体" w:hAnsi="宋体" w:cs="宋体"/>
          <w:color w:val="000000"/>
          <w:sz w:val="22"/>
        </w:rPr>
        <w:t xml:space="preserve">。 </w:t>
      </w:r>
    </w:p>
    <w:p w14:paraId="23BEE2E2">
      <w:pPr>
        <w:ind w:firstLine="442" w:firstLineChars="200"/>
        <w:rPr>
          <w:rFonts w:ascii="宋体" w:hAnsi="宋体" w:cs="宋体"/>
          <w:b/>
          <w:bCs/>
          <w:color w:val="FF0000"/>
          <w:sz w:val="22"/>
        </w:rPr>
      </w:pPr>
      <w:r>
        <w:rPr>
          <w:rFonts w:hint="eastAsia" w:ascii="宋体" w:hAnsi="宋体" w:cs="宋体"/>
          <w:b/>
          <w:bCs/>
          <w:color w:val="FF0000"/>
          <w:sz w:val="22"/>
        </w:rPr>
        <w:t xml:space="preserve">以下文字请投标供应商抄写并确认：“本公司已仔细阅读《政府采购违法行为风险知悉确认书》，充分知悉违法行为的法律后果，并承诺将严谨、诚信、依法依规参与政府采购活动”。 </w:t>
      </w:r>
    </w:p>
    <w:p w14:paraId="554FBF67">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13813F47">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39BF54D6">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469BA84F">
      <w:pPr>
        <w:pStyle w:val="145"/>
        <w:rPr>
          <w:rFonts w:ascii="宋体" w:hAnsi="宋体" w:eastAsia="宋体" w:cs="宋体"/>
          <w:sz w:val="22"/>
          <w:szCs w:val="22"/>
          <w:u w:val="single"/>
        </w:rPr>
      </w:pPr>
      <w:r>
        <w:rPr>
          <w:rFonts w:hint="eastAsia" w:ascii="宋体" w:hAnsi="宋体" w:eastAsia="宋体" w:cs="宋体"/>
          <w:sz w:val="22"/>
          <w:szCs w:val="22"/>
          <w:u w:val="single"/>
        </w:rPr>
        <w:t xml:space="preserve">                                                                           </w:t>
      </w:r>
    </w:p>
    <w:p w14:paraId="5A26D0A6">
      <w:pPr>
        <w:pStyle w:val="145"/>
        <w:rPr>
          <w:rFonts w:ascii="宋体" w:hAnsi="宋体" w:eastAsia="宋体" w:cs="宋体"/>
          <w:sz w:val="22"/>
          <w:szCs w:val="22"/>
        </w:rPr>
      </w:pPr>
    </w:p>
    <w:p w14:paraId="3153DBAB">
      <w:pPr>
        <w:jc w:val="right"/>
        <w:rPr>
          <w:rFonts w:ascii="宋体" w:hAnsi="宋体" w:cs="宋体"/>
          <w:sz w:val="22"/>
        </w:rPr>
      </w:pPr>
      <w:r>
        <w:rPr>
          <w:rFonts w:hint="eastAsia" w:ascii="宋体" w:hAnsi="宋体" w:cs="宋体"/>
          <w:color w:val="000000"/>
          <w:sz w:val="22"/>
        </w:rPr>
        <w:t xml:space="preserve">负责人/投标授权代表签名： </w:t>
      </w:r>
    </w:p>
    <w:p w14:paraId="4575A908">
      <w:pPr>
        <w:jc w:val="right"/>
        <w:rPr>
          <w:rFonts w:ascii="宋体" w:hAnsi="宋体" w:cs="宋体"/>
          <w:sz w:val="22"/>
        </w:rPr>
      </w:pPr>
      <w:r>
        <w:rPr>
          <w:rFonts w:hint="eastAsia" w:ascii="宋体" w:hAnsi="宋体" w:cs="宋体"/>
          <w:color w:val="000000"/>
          <w:sz w:val="22"/>
        </w:rPr>
        <w:t xml:space="preserve">知悉人（公章）： </w:t>
      </w:r>
    </w:p>
    <w:p w14:paraId="55C6434B">
      <w:pPr>
        <w:jc w:val="right"/>
        <w:rPr>
          <w:rFonts w:ascii="宋体" w:hAnsi="宋体" w:cs="宋体"/>
          <w:sz w:val="22"/>
        </w:rPr>
      </w:pPr>
      <w:r>
        <w:rPr>
          <w:rFonts w:hint="eastAsia" w:ascii="宋体" w:hAnsi="宋体" w:cs="宋体"/>
          <w:color w:val="000000"/>
          <w:sz w:val="22"/>
        </w:rPr>
        <w:t>日期：</w:t>
      </w:r>
    </w:p>
    <w:p w14:paraId="12E75AA5">
      <w:pPr>
        <w:rPr>
          <w:rFonts w:ascii="宋体" w:hAnsi="宋体" w:cs="宋体"/>
          <w:b/>
          <w:bCs/>
        </w:rPr>
      </w:pPr>
    </w:p>
    <w:p w14:paraId="1AB2FC61">
      <w:pPr>
        <w:pStyle w:val="84"/>
        <w:ind w:firstLine="0" w:firstLineChars="0"/>
      </w:pPr>
      <w:r>
        <w:rPr>
          <w:rFonts w:hint="eastAsia" w:ascii="宋体" w:hAnsi="宋体" w:cs="宋体"/>
          <w:b/>
          <w:bCs/>
        </w:rPr>
        <w:t>注：该风险知悉确认书用于对供应商违法行为的警示，不作为供应商资格性审查及符合性审查条件。</w:t>
      </w:r>
    </w:p>
    <w:p w14:paraId="0FAED599">
      <w:pPr>
        <w:rPr>
          <w:rFonts w:hAnsi="Calibri"/>
          <w:sz w:val="22"/>
          <w:szCs w:val="21"/>
          <w:highlight w:val="none"/>
        </w:rPr>
      </w:pPr>
      <w:r>
        <w:rPr>
          <w:rFonts w:hAnsi="Calibri"/>
          <w:sz w:val="22"/>
          <w:szCs w:val="21"/>
          <w:highlight w:val="none"/>
        </w:rPr>
        <w:br w:type="page"/>
      </w:r>
    </w:p>
    <w:bookmarkEnd w:id="66"/>
    <w:p w14:paraId="0A337D4D">
      <w:pPr>
        <w:numPr>
          <w:ilvl w:val="0"/>
          <w:numId w:val="0"/>
        </w:numPr>
        <w:shd w:val="clear" w:color="auto" w:fill="FFFFFF"/>
        <w:tabs>
          <w:tab w:val="left" w:pos="0"/>
          <w:tab w:val="clear" w:pos="426"/>
        </w:tabs>
        <w:ind w:left="0" w:leftChars="0" w:firstLine="0" w:firstLineChars="0"/>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五、法定代表人证明书</w:t>
      </w:r>
    </w:p>
    <w:p w14:paraId="5883CCD7">
      <w:pPr>
        <w:spacing w:line="360" w:lineRule="exact"/>
        <w:rPr>
          <w:rFonts w:hint="eastAsia" w:cs="宋体"/>
          <w:sz w:val="22"/>
        </w:rPr>
      </w:pPr>
    </w:p>
    <w:p w14:paraId="22C32E5D">
      <w:pPr>
        <w:spacing w:line="360" w:lineRule="exact"/>
        <w:rPr>
          <w:rFonts w:hint="eastAsia" w:cs="宋体"/>
          <w:sz w:val="22"/>
        </w:rPr>
      </w:pPr>
      <w:r>
        <w:rPr>
          <w:rFonts w:hint="eastAsia" w:cs="宋体"/>
          <w:sz w:val="22"/>
        </w:rPr>
        <w:t xml:space="preserve">   </w:t>
      </w:r>
      <w:r>
        <w:rPr>
          <w:rFonts w:hint="eastAsia" w:cs="宋体"/>
          <w:sz w:val="22"/>
          <w:u w:val="single"/>
        </w:rPr>
        <w:t xml:space="preserve">         </w:t>
      </w:r>
      <w:r>
        <w:rPr>
          <w:rFonts w:hint="eastAsia" w:cs="宋体"/>
          <w:sz w:val="22"/>
        </w:rPr>
        <w:t>同志，现任我单位</w:t>
      </w:r>
      <w:r>
        <w:rPr>
          <w:rFonts w:hint="eastAsia" w:cs="宋体"/>
          <w:sz w:val="22"/>
          <w:u w:val="single"/>
        </w:rPr>
        <w:t xml:space="preserve">         </w:t>
      </w:r>
      <w:r>
        <w:rPr>
          <w:rFonts w:hint="eastAsia" w:cs="宋体"/>
          <w:sz w:val="22"/>
        </w:rPr>
        <w:t>职务，为法定代表人，特此证明。</w:t>
      </w:r>
    </w:p>
    <w:p w14:paraId="1C99C7F6">
      <w:pPr>
        <w:spacing w:line="360" w:lineRule="exact"/>
        <w:rPr>
          <w:rFonts w:hint="eastAsia" w:cs="宋体"/>
          <w:sz w:val="22"/>
        </w:rPr>
      </w:pPr>
      <w:r>
        <w:rPr>
          <w:rFonts w:hint="eastAsia" w:cs="宋体"/>
          <w:sz w:val="22"/>
        </w:rPr>
        <w:t xml:space="preserve">有效日期：         签发日期：         单位：              </w:t>
      </w:r>
    </w:p>
    <w:p w14:paraId="7FF35587">
      <w:pPr>
        <w:spacing w:line="360" w:lineRule="exact"/>
        <w:rPr>
          <w:rFonts w:hint="eastAsia" w:cs="宋体"/>
          <w:sz w:val="22"/>
        </w:rPr>
      </w:pPr>
      <w:r>
        <w:rPr>
          <w:rFonts w:hint="eastAsia" w:cs="宋体"/>
          <w:sz w:val="22"/>
        </w:rPr>
        <w:t>附：代表人性别：   年龄：      身份证号码：</w:t>
      </w:r>
    </w:p>
    <w:p w14:paraId="5D76FD14">
      <w:pPr>
        <w:spacing w:line="360" w:lineRule="exact"/>
        <w:rPr>
          <w:rFonts w:hint="eastAsia" w:cs="宋体"/>
          <w:sz w:val="22"/>
        </w:rPr>
      </w:pPr>
      <w:r>
        <w:rPr>
          <w:rFonts w:hint="eastAsia" w:cs="宋体"/>
          <w:sz w:val="22"/>
        </w:rPr>
        <w:t>营业执照号码：                 经济性质：</w:t>
      </w:r>
    </w:p>
    <w:p w14:paraId="1D98E735">
      <w:pPr>
        <w:spacing w:line="360" w:lineRule="exact"/>
        <w:rPr>
          <w:rFonts w:hint="eastAsia" w:cs="宋体"/>
          <w:sz w:val="22"/>
        </w:rPr>
      </w:pPr>
      <w:r>
        <w:rPr>
          <w:rFonts w:hint="eastAsia" w:cs="宋体"/>
          <w:sz w:val="22"/>
        </w:rPr>
        <w:t>主营（产）：</w:t>
      </w:r>
    </w:p>
    <w:p w14:paraId="5B73C0B8">
      <w:pPr>
        <w:spacing w:line="360" w:lineRule="exact"/>
        <w:rPr>
          <w:rFonts w:hint="eastAsia" w:cs="宋体"/>
          <w:sz w:val="22"/>
        </w:rPr>
      </w:pPr>
      <w:r>
        <w:rPr>
          <w:rFonts w:hint="eastAsia" w:cs="宋体"/>
          <w:sz w:val="22"/>
        </w:rPr>
        <w:t>兼营（产）：</w:t>
      </w:r>
    </w:p>
    <w:p w14:paraId="37F8C9A8">
      <w:pPr>
        <w:spacing w:line="360" w:lineRule="exact"/>
        <w:rPr>
          <w:rFonts w:hint="eastAsia" w:cs="宋体"/>
          <w:sz w:val="22"/>
        </w:rPr>
      </w:pPr>
      <w:r>
        <w:rPr>
          <w:rFonts w:hint="eastAsia" w:cs="宋体"/>
          <w:sz w:val="22"/>
        </w:rPr>
        <w:t>进口物品经营许可证号码：</w:t>
      </w:r>
    </w:p>
    <w:p w14:paraId="20A7E93E">
      <w:pPr>
        <w:spacing w:line="360" w:lineRule="exact"/>
        <w:rPr>
          <w:rFonts w:hint="eastAsia" w:cs="宋体"/>
          <w:sz w:val="22"/>
        </w:rPr>
      </w:pPr>
      <w:r>
        <w:rPr>
          <w:rFonts w:hint="eastAsia" w:cs="宋体"/>
          <w:sz w:val="22"/>
        </w:rPr>
        <w:t>主营：</w:t>
      </w:r>
    </w:p>
    <w:p w14:paraId="14306BA0">
      <w:pPr>
        <w:spacing w:line="360" w:lineRule="exact"/>
        <w:rPr>
          <w:rFonts w:hint="eastAsia" w:cs="宋体"/>
          <w:sz w:val="22"/>
        </w:rPr>
      </w:pPr>
      <w:r>
        <w:rPr>
          <w:rFonts w:hint="eastAsia" w:cs="宋体"/>
          <w:sz w:val="22"/>
        </w:rPr>
        <w:t>兼营：</w:t>
      </w:r>
    </w:p>
    <w:p w14:paraId="48AEFB3D">
      <w:pPr>
        <w:spacing w:line="360" w:lineRule="exact"/>
        <w:rPr>
          <w:rFonts w:hint="eastAsia" w:cs="宋体"/>
          <w:sz w:val="22"/>
        </w:rPr>
      </w:pPr>
      <w:r>
        <w:rPr>
          <w:rFonts w:hint="eastAsia" w:cs="宋体"/>
          <w:sz w:val="22"/>
        </w:rPr>
        <w:t>说明：1、法定代表人为企业事业单位、国家机关、社会团体的主要行政负责人。</w:t>
      </w:r>
    </w:p>
    <w:p w14:paraId="4922986A">
      <w:pPr>
        <w:spacing w:line="360" w:lineRule="exact"/>
        <w:rPr>
          <w:rFonts w:hint="eastAsia" w:cs="宋体"/>
          <w:sz w:val="22"/>
        </w:rPr>
      </w:pPr>
      <w:r>
        <w:rPr>
          <w:rFonts w:hint="eastAsia" w:cs="宋体"/>
          <w:sz w:val="22"/>
        </w:rPr>
        <w:t xml:space="preserve">      2、内容必须填写真实、清楚，涂改无效，不得转让、买卖。</w:t>
      </w:r>
    </w:p>
    <w:p w14:paraId="045CD529">
      <w:pPr>
        <w:spacing w:line="360" w:lineRule="exact"/>
        <w:ind w:left="660"/>
        <w:rPr>
          <w:rFonts w:hint="eastAsia" w:cs="宋体"/>
          <w:sz w:val="22"/>
        </w:rPr>
      </w:pPr>
      <w:r>
        <w:rPr>
          <w:rFonts w:hint="eastAsia" w:cs="宋体"/>
          <w:sz w:val="22"/>
        </w:rPr>
        <w:t>3、提供法定代表人的身份证复印件（附后）。</w:t>
      </w:r>
    </w:p>
    <w:p w14:paraId="56F86047"/>
    <w:p w14:paraId="4FD65C64">
      <w:pPr>
        <w:spacing w:line="360" w:lineRule="auto"/>
        <w:rPr>
          <w:sz w:val="22"/>
        </w:rPr>
      </w:pPr>
      <w:r>
        <w:rPr>
          <w:rFonts w:hint="eastAsia"/>
          <w:sz w:val="22"/>
        </w:rPr>
        <w:t xml:space="preserve">投标人名称（盖章）：                        </w:t>
      </w:r>
    </w:p>
    <w:p w14:paraId="6504EACA">
      <w:pPr>
        <w:spacing w:line="360" w:lineRule="auto"/>
        <w:rPr>
          <w:rFonts w:hint="eastAsia"/>
          <w:sz w:val="22"/>
        </w:rPr>
      </w:pPr>
      <w:r>
        <w:rPr>
          <w:rFonts w:hint="eastAsia"/>
          <w:sz w:val="22"/>
        </w:rPr>
        <w:t>日期：   年   月   日</w:t>
      </w:r>
    </w:p>
    <w:p w14:paraId="197B0314">
      <w:pPr>
        <w:spacing w:line="360" w:lineRule="auto"/>
        <w:rPr>
          <w:rFonts w:hint="eastAsia"/>
          <w:sz w:val="22"/>
        </w:rPr>
      </w:pPr>
    </w:p>
    <w:p w14:paraId="45B8E4B6">
      <w:pPr>
        <w:numPr>
          <w:ilvl w:val="0"/>
          <w:numId w:val="0"/>
        </w:numPr>
        <w:tabs>
          <w:tab w:val="left" w:pos="0"/>
          <w:tab w:val="clear" w:pos="426"/>
        </w:tabs>
        <w:ind w:left="0" w:leftChars="0" w:firstLine="397" w:firstLineChars="0"/>
        <w:jc w:val="left"/>
        <w:outlineLvl w:val="2"/>
        <w:rPr>
          <w:b/>
        </w:rPr>
      </w:pPr>
      <w:r>
        <w:rPr>
          <w:bCs/>
          <w:sz w:val="24"/>
        </w:rPr>
        <w:br w:type="page"/>
      </w:r>
      <w:r>
        <w:rPr>
          <w:rFonts w:hint="eastAsia" w:ascii="Arial" w:hAnsi="Arial" w:eastAsia="黑体" w:cs="Times New Roman"/>
          <w:b/>
          <w:bCs/>
          <w:kern w:val="2"/>
          <w:sz w:val="28"/>
          <w:szCs w:val="28"/>
          <w:highlight w:val="none"/>
          <w:lang w:val="en-US" w:eastAsia="zh-CN" w:bidi="ar-SA"/>
        </w:rPr>
        <w:t>六、法定代表人授权书</w:t>
      </w:r>
    </w:p>
    <w:p w14:paraId="70A047C9">
      <w:pPr>
        <w:rPr>
          <w:bCs/>
          <w:sz w:val="24"/>
        </w:rPr>
      </w:pPr>
    </w:p>
    <w:p w14:paraId="16A350D9">
      <w:pPr>
        <w:spacing w:line="360" w:lineRule="exact"/>
        <w:rPr>
          <w:bCs/>
          <w:sz w:val="22"/>
        </w:rPr>
      </w:pPr>
      <w:r>
        <w:rPr>
          <w:bCs/>
          <w:sz w:val="22"/>
        </w:rPr>
        <w:t>致：</w:t>
      </w:r>
      <w:r>
        <w:rPr>
          <w:kern w:val="0"/>
          <w:sz w:val="22"/>
        </w:rPr>
        <w:t>深圳市东海国际招标有限公司</w:t>
      </w:r>
    </w:p>
    <w:p w14:paraId="1B81F6E9">
      <w:pPr>
        <w:spacing w:line="360" w:lineRule="exact"/>
        <w:rPr>
          <w:bCs/>
          <w:sz w:val="22"/>
        </w:rPr>
      </w:pPr>
    </w:p>
    <w:p w14:paraId="55C134C0">
      <w:pPr>
        <w:spacing w:line="360" w:lineRule="exact"/>
        <w:rPr>
          <w:bCs/>
          <w:sz w:val="22"/>
        </w:rPr>
      </w:pPr>
      <w:r>
        <w:rPr>
          <w:bCs/>
          <w:sz w:val="22"/>
        </w:rPr>
        <w:t xml:space="preserve">     </w:t>
      </w:r>
      <w:r>
        <w:rPr>
          <w:bCs/>
          <w:sz w:val="22"/>
          <w:u w:val="single"/>
        </w:rPr>
        <w:t xml:space="preserve">          （投标人全称）     </w:t>
      </w:r>
      <w:r>
        <w:rPr>
          <w:bCs/>
          <w:sz w:val="22"/>
        </w:rPr>
        <w:t xml:space="preserve"> 法定代表人</w:t>
      </w:r>
      <w:r>
        <w:rPr>
          <w:bCs/>
          <w:sz w:val="22"/>
          <w:u w:val="single"/>
        </w:rPr>
        <w:t xml:space="preserve">  （姓名、职务）              </w:t>
      </w:r>
      <w:r>
        <w:rPr>
          <w:bCs/>
          <w:sz w:val="22"/>
        </w:rPr>
        <w:t xml:space="preserve">授权 </w:t>
      </w:r>
      <w:r>
        <w:rPr>
          <w:bCs/>
          <w:sz w:val="22"/>
          <w:u w:val="single"/>
        </w:rPr>
        <w:t xml:space="preserve">  （被授权代表姓名、职务）              </w:t>
      </w:r>
      <w:r>
        <w:rPr>
          <w:bCs/>
          <w:sz w:val="22"/>
        </w:rPr>
        <w:t>为本公司合法代理人，参加贵招标代理公司组织的</w:t>
      </w:r>
      <w:r>
        <w:rPr>
          <w:bCs/>
          <w:sz w:val="22"/>
          <w:u w:val="single"/>
        </w:rPr>
        <w:t xml:space="preserve">   (项目名称)（项目编号）                      </w:t>
      </w:r>
      <w:r>
        <w:rPr>
          <w:bCs/>
          <w:sz w:val="22"/>
        </w:rPr>
        <w:t xml:space="preserve"> 项目的招标投标活动，代表本公司处理招标投标活动中的一切事宜。包括但不限于：投标、参与开标、谈判、签约等。投标人代表在投标过程中所签署的一切文件和处理与之有关的一切事务，本公司均予以认可并对此承担责任。投标人代表无转委权。特此授权。</w:t>
      </w:r>
    </w:p>
    <w:p w14:paraId="033E7818">
      <w:pPr>
        <w:spacing w:line="360" w:lineRule="exact"/>
        <w:rPr>
          <w:bCs/>
          <w:sz w:val="22"/>
        </w:rPr>
      </w:pPr>
      <w:r>
        <w:rPr>
          <w:bCs/>
          <w:sz w:val="22"/>
        </w:rPr>
        <w:t xml:space="preserve">     本授权书于</w:t>
      </w:r>
      <w:r>
        <w:rPr>
          <w:bCs/>
          <w:sz w:val="22"/>
          <w:u w:val="single"/>
        </w:rPr>
        <w:t xml:space="preserve">       </w:t>
      </w:r>
      <w:r>
        <w:rPr>
          <w:bCs/>
          <w:sz w:val="22"/>
        </w:rPr>
        <w:t>年</w:t>
      </w:r>
      <w:r>
        <w:rPr>
          <w:bCs/>
          <w:sz w:val="22"/>
          <w:u w:val="single"/>
        </w:rPr>
        <w:t xml:space="preserve">   </w:t>
      </w:r>
      <w:r>
        <w:rPr>
          <w:bCs/>
          <w:sz w:val="22"/>
        </w:rPr>
        <w:t>月</w:t>
      </w:r>
      <w:r>
        <w:rPr>
          <w:bCs/>
          <w:sz w:val="22"/>
          <w:u w:val="single"/>
        </w:rPr>
        <w:t xml:space="preserve">    </w:t>
      </w:r>
      <w:r>
        <w:rPr>
          <w:bCs/>
          <w:sz w:val="22"/>
        </w:rPr>
        <w:t>日签字生效，特此声明。</w:t>
      </w:r>
    </w:p>
    <w:p w14:paraId="5D445EDF">
      <w:pPr>
        <w:spacing w:line="360" w:lineRule="exact"/>
        <w:rPr>
          <w:bCs/>
          <w:sz w:val="22"/>
        </w:rPr>
      </w:pPr>
    </w:p>
    <w:p w14:paraId="3E3ED89E">
      <w:pPr>
        <w:spacing w:line="360" w:lineRule="exact"/>
        <w:ind w:firstLine="110" w:firstLineChars="50"/>
        <w:rPr>
          <w:bCs/>
          <w:sz w:val="22"/>
          <w:u w:val="single"/>
        </w:rPr>
      </w:pPr>
      <w:r>
        <w:rPr>
          <w:bCs/>
          <w:sz w:val="22"/>
        </w:rPr>
        <w:t>被授权人：</w:t>
      </w:r>
      <w:r>
        <w:rPr>
          <w:bCs/>
          <w:sz w:val="22"/>
          <w:u w:val="single"/>
        </w:rPr>
        <w:t xml:space="preserve">                  </w:t>
      </w:r>
      <w:r>
        <w:rPr>
          <w:bCs/>
          <w:sz w:val="22"/>
        </w:rPr>
        <w:t xml:space="preserve">   职务：</w:t>
      </w:r>
      <w:r>
        <w:rPr>
          <w:bCs/>
          <w:sz w:val="22"/>
          <w:u w:val="single"/>
        </w:rPr>
        <w:t xml:space="preserve">                  </w:t>
      </w:r>
    </w:p>
    <w:p w14:paraId="7D7FB268">
      <w:pPr>
        <w:spacing w:line="360" w:lineRule="exact"/>
        <w:ind w:firstLine="110" w:firstLineChars="50"/>
        <w:rPr>
          <w:bCs/>
          <w:sz w:val="22"/>
          <w:u w:val="single"/>
        </w:rPr>
      </w:pPr>
      <w:r>
        <w:rPr>
          <w:bCs/>
          <w:sz w:val="22"/>
        </w:rPr>
        <w:t>联系电话：</w:t>
      </w:r>
      <w:r>
        <w:rPr>
          <w:bCs/>
          <w:sz w:val="22"/>
          <w:u w:val="single"/>
        </w:rPr>
        <w:t xml:space="preserve">                  </w:t>
      </w:r>
      <w:r>
        <w:rPr>
          <w:bCs/>
          <w:sz w:val="22"/>
        </w:rPr>
        <w:t xml:space="preserve">   手机：</w:t>
      </w:r>
      <w:r>
        <w:rPr>
          <w:bCs/>
          <w:sz w:val="22"/>
          <w:u w:val="single"/>
        </w:rPr>
        <w:t xml:space="preserve">                  </w:t>
      </w:r>
    </w:p>
    <w:p w14:paraId="15D7E827">
      <w:pPr>
        <w:spacing w:line="360" w:lineRule="exact"/>
        <w:ind w:firstLine="110" w:firstLineChars="50"/>
        <w:rPr>
          <w:bCs/>
          <w:sz w:val="22"/>
        </w:rPr>
      </w:pPr>
      <w:r>
        <w:rPr>
          <w:bCs/>
          <w:sz w:val="22"/>
        </w:rPr>
        <w:t>身份证号码：</w:t>
      </w:r>
      <w:r>
        <w:rPr>
          <w:bCs/>
          <w:sz w:val="22"/>
          <w:u w:val="single"/>
        </w:rPr>
        <w:t xml:space="preserve">                                           </w:t>
      </w:r>
    </w:p>
    <w:p w14:paraId="2BF7C269">
      <w:pPr>
        <w:spacing w:line="360" w:lineRule="exact"/>
        <w:ind w:firstLine="110" w:firstLineChars="50"/>
        <w:rPr>
          <w:bCs/>
          <w:sz w:val="22"/>
          <w:u w:val="single"/>
        </w:rPr>
      </w:pPr>
      <w:r>
        <w:rPr>
          <w:bCs/>
          <w:sz w:val="22"/>
        </w:rPr>
        <w:t>投标人（盖章）：</w:t>
      </w:r>
      <w:r>
        <w:rPr>
          <w:bCs/>
          <w:sz w:val="22"/>
          <w:u w:val="single"/>
        </w:rPr>
        <w:t xml:space="preserve">                                        </w:t>
      </w:r>
    </w:p>
    <w:p w14:paraId="67BDE97E">
      <w:pPr>
        <w:spacing w:line="360" w:lineRule="exact"/>
        <w:ind w:firstLine="110" w:firstLineChars="50"/>
        <w:rPr>
          <w:bCs/>
          <w:sz w:val="22"/>
          <w:u w:val="single"/>
        </w:rPr>
      </w:pPr>
      <w:r>
        <w:rPr>
          <w:bCs/>
          <w:sz w:val="22"/>
        </w:rPr>
        <w:t>法定代表人（签名</w:t>
      </w:r>
      <w:r>
        <w:rPr>
          <w:rFonts w:hint="eastAsia"/>
          <w:bCs/>
          <w:sz w:val="22"/>
          <w:lang w:val="en-US" w:eastAsia="zh-CN"/>
        </w:rPr>
        <w:t>或盖章</w:t>
      </w:r>
      <w:r>
        <w:rPr>
          <w:bCs/>
          <w:sz w:val="22"/>
        </w:rPr>
        <w:t>）：</w:t>
      </w:r>
      <w:r>
        <w:rPr>
          <w:bCs/>
          <w:sz w:val="22"/>
          <w:u w:val="single"/>
        </w:rPr>
        <w:t xml:space="preserve">                                    </w:t>
      </w:r>
    </w:p>
    <w:p w14:paraId="5D330C2D">
      <w:pPr>
        <w:spacing w:line="360" w:lineRule="exact"/>
        <w:ind w:firstLine="110" w:firstLineChars="50"/>
        <w:rPr>
          <w:bCs/>
          <w:sz w:val="22"/>
          <w:u w:val="single"/>
        </w:rPr>
      </w:pPr>
      <w:r>
        <w:rPr>
          <w:bCs/>
          <w:sz w:val="22"/>
        </w:rPr>
        <w:t>被授权人（签名</w:t>
      </w:r>
      <w:r>
        <w:rPr>
          <w:rFonts w:hint="eastAsia"/>
          <w:bCs/>
          <w:sz w:val="22"/>
          <w:lang w:val="en-US" w:eastAsia="zh-CN"/>
        </w:rPr>
        <w:t>或盖章</w:t>
      </w:r>
      <w:r>
        <w:rPr>
          <w:bCs/>
          <w:sz w:val="22"/>
        </w:rPr>
        <w:t>）：</w:t>
      </w:r>
      <w:r>
        <w:rPr>
          <w:bCs/>
          <w:sz w:val="22"/>
          <w:u w:val="single"/>
        </w:rPr>
        <w:t xml:space="preserve">                                      </w:t>
      </w:r>
    </w:p>
    <w:p w14:paraId="582D87CF">
      <w:pPr>
        <w:spacing w:line="360" w:lineRule="exact"/>
        <w:rPr>
          <w:bCs/>
          <w:sz w:val="22"/>
        </w:rPr>
      </w:pPr>
    </w:p>
    <w:p w14:paraId="40A71684">
      <w:pPr>
        <w:spacing w:line="360" w:lineRule="exact"/>
        <w:rPr>
          <w:bCs/>
          <w:sz w:val="22"/>
        </w:rPr>
      </w:pPr>
      <w:r>
        <w:rPr>
          <w:bCs/>
          <w:sz w:val="22"/>
        </w:rPr>
        <w:t>说明：1.本授权委托书要求投标人提供有</w:t>
      </w:r>
      <w:r>
        <w:rPr>
          <w:b/>
          <w:bCs/>
          <w:sz w:val="22"/>
        </w:rPr>
        <w:t>代理人签字、法定代表人的签字（或盖私章）和加盖公章</w:t>
      </w:r>
      <w:r>
        <w:rPr>
          <w:bCs/>
          <w:sz w:val="22"/>
        </w:rPr>
        <w:t>后的原件方为有效；</w:t>
      </w:r>
    </w:p>
    <w:p w14:paraId="6D8D49EF">
      <w:pPr>
        <w:spacing w:line="360" w:lineRule="exact"/>
        <w:ind w:firstLine="660" w:firstLineChars="300"/>
        <w:rPr>
          <w:rFonts w:hint="eastAsia"/>
          <w:bCs/>
          <w:sz w:val="22"/>
        </w:rPr>
      </w:pPr>
      <w:r>
        <w:rPr>
          <w:bCs/>
          <w:sz w:val="22"/>
        </w:rPr>
        <w:t>2.</w:t>
      </w:r>
      <w:r>
        <w:rPr>
          <w:rFonts w:hint="eastAsia"/>
          <w:b/>
          <w:sz w:val="22"/>
        </w:rPr>
        <w:t>提供投标单位为其缴纳的近一个月社保（若供应商成立不足一个月的，需提供成立情况说明函（格式自拟））如为退休返聘人员则提供劳动合同或返聘协议扫描件；</w:t>
      </w:r>
    </w:p>
    <w:p w14:paraId="658F0E87">
      <w:pPr>
        <w:spacing w:line="360" w:lineRule="exact"/>
        <w:ind w:firstLine="660" w:firstLineChars="300"/>
        <w:rPr>
          <w:bCs/>
          <w:sz w:val="22"/>
        </w:rPr>
      </w:pPr>
      <w:r>
        <w:rPr>
          <w:rFonts w:hint="eastAsia"/>
          <w:bCs/>
          <w:sz w:val="22"/>
        </w:rPr>
        <w:t>3.</w:t>
      </w:r>
      <w:r>
        <w:rPr>
          <w:bCs/>
          <w:sz w:val="22"/>
        </w:rPr>
        <w:t>提供代理人的身份证复印件（附后）。</w:t>
      </w:r>
    </w:p>
    <w:p w14:paraId="009DDFF0">
      <w:pPr>
        <w:rPr>
          <w:rFonts w:hint="eastAsia" w:ascii="Arial" w:hAnsi="Arial" w:eastAsia="黑体" w:cs="Times New Roman"/>
          <w:b/>
          <w:bCs/>
          <w:kern w:val="2"/>
          <w:sz w:val="28"/>
          <w:szCs w:val="28"/>
          <w:highlight w:val="none"/>
          <w:lang w:val="en-US" w:eastAsia="zh-CN" w:bidi="ar-SA"/>
        </w:rPr>
      </w:pPr>
      <w:bookmarkStart w:id="67" w:name="_Toc36822691"/>
      <w:r>
        <w:rPr>
          <w:rFonts w:hint="eastAsia" w:ascii="Arial" w:hAnsi="Arial" w:eastAsia="黑体" w:cs="Times New Roman"/>
          <w:b/>
          <w:bCs/>
          <w:kern w:val="2"/>
          <w:sz w:val="28"/>
          <w:szCs w:val="28"/>
          <w:highlight w:val="none"/>
          <w:lang w:val="en-US" w:eastAsia="zh-CN" w:bidi="ar-SA"/>
        </w:rPr>
        <w:br w:type="page"/>
      </w:r>
    </w:p>
    <w:p w14:paraId="60AB6D7C">
      <w:pPr>
        <w:numPr>
          <w:ilvl w:val="0"/>
          <w:numId w:val="0"/>
        </w:numPr>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七、招标代理服务费承诺函</w:t>
      </w:r>
    </w:p>
    <w:p w14:paraId="10E89D3F">
      <w:pPr>
        <w:spacing w:line="360" w:lineRule="auto"/>
        <w:rPr>
          <w:sz w:val="24"/>
        </w:rPr>
      </w:pPr>
    </w:p>
    <w:p w14:paraId="760816A3">
      <w:pPr>
        <w:spacing w:line="360" w:lineRule="exact"/>
        <w:rPr>
          <w:b/>
          <w:sz w:val="22"/>
        </w:rPr>
      </w:pPr>
      <w:r>
        <w:rPr>
          <w:sz w:val="22"/>
        </w:rPr>
        <w:t>致：深圳市东海国际招标有限公司</w:t>
      </w:r>
    </w:p>
    <w:p w14:paraId="0BA9792C">
      <w:pPr>
        <w:widowControl/>
        <w:autoSpaceDE w:val="0"/>
        <w:autoSpaceDN w:val="0"/>
        <w:spacing w:line="360" w:lineRule="exact"/>
        <w:ind w:right="17" w:firstLine="440" w:firstLineChars="200"/>
        <w:textAlignment w:val="bottom"/>
        <w:rPr>
          <w:sz w:val="22"/>
        </w:rPr>
      </w:pPr>
    </w:p>
    <w:p w14:paraId="28D2C882">
      <w:pPr>
        <w:pStyle w:val="84"/>
        <w:spacing w:line="360" w:lineRule="exact"/>
        <w:ind w:left="0" w:leftChars="0" w:firstLine="415" w:firstLineChars="189"/>
        <w:rPr>
          <w:rFonts w:ascii="Times New Roman" w:hAnsi="Times New Roman"/>
          <w:sz w:val="22"/>
          <w:szCs w:val="22"/>
        </w:rPr>
      </w:pPr>
      <w:r>
        <w:rPr>
          <w:rFonts w:ascii="Times New Roman" w:hAnsi="Times New Roman"/>
          <w:sz w:val="22"/>
          <w:szCs w:val="22"/>
        </w:rPr>
        <w:t>我们在贵司代理的</w:t>
      </w:r>
      <w:r>
        <w:rPr>
          <w:rFonts w:ascii="Times New Roman" w:hAnsi="Times New Roman"/>
          <w:sz w:val="22"/>
          <w:szCs w:val="22"/>
          <w:u w:val="single"/>
        </w:rPr>
        <w:t xml:space="preserve">         </w:t>
      </w:r>
      <w:r>
        <w:rPr>
          <w:rFonts w:ascii="Times New Roman" w:hAnsi="Times New Roman"/>
          <w:sz w:val="22"/>
          <w:szCs w:val="22"/>
        </w:rPr>
        <w:t>项目（</w:t>
      </w:r>
      <w:r>
        <w:rPr>
          <w:rFonts w:hint="eastAsia" w:ascii="Times New Roman" w:hAnsi="Times New Roman"/>
          <w:sz w:val="22"/>
          <w:szCs w:val="22"/>
          <w:lang w:val="en-US" w:eastAsia="zh-CN"/>
        </w:rPr>
        <w:t>服务</w:t>
      </w:r>
      <w:r>
        <w:rPr>
          <w:rFonts w:ascii="Times New Roman" w:hAnsi="Times New Roman"/>
          <w:sz w:val="22"/>
          <w:szCs w:val="22"/>
        </w:rPr>
        <w:t>）招标中若获中标（项目编号：</w:t>
      </w:r>
      <w:r>
        <w:rPr>
          <w:rFonts w:ascii="Times New Roman" w:hAnsi="Times New Roman"/>
          <w:sz w:val="22"/>
          <w:szCs w:val="22"/>
          <w:u w:val="single"/>
        </w:rPr>
        <w:t xml:space="preserve">         </w:t>
      </w:r>
      <w:r>
        <w:rPr>
          <w:rFonts w:ascii="Times New Roman" w:hAnsi="Times New Roman"/>
          <w:sz w:val="22"/>
          <w:szCs w:val="22"/>
        </w:rPr>
        <w:t>），我们保证在收到中标通知书原件的同时按招标文件的规定，以转账、支票、汇票、电汇、现金或经贵公司认可的一种方式，向贵公司即深圳市东海国际招标有限公司指定的银行账号，一次性支付招标代理服务费。</w:t>
      </w:r>
      <w:r>
        <w:rPr>
          <w:rFonts w:hint="eastAsia" w:ascii="Times New Roman" w:hAnsi="Times New Roman"/>
          <w:sz w:val="22"/>
          <w:szCs w:val="22"/>
        </w:rPr>
        <w:t>招标代理服务费依据计价格[2002]1980号</w:t>
      </w:r>
      <w:r>
        <w:rPr>
          <w:rFonts w:hint="eastAsia" w:ascii="Times New Roman" w:hAnsi="Times New Roman"/>
          <w:sz w:val="22"/>
          <w:szCs w:val="22"/>
          <w:lang w:eastAsia="zh-CN"/>
        </w:rPr>
        <w:t>、发改价格[2011]534号</w:t>
      </w:r>
      <w:r>
        <w:rPr>
          <w:rFonts w:hint="eastAsia" w:ascii="Times New Roman" w:hAnsi="Times New Roman"/>
          <w:sz w:val="22"/>
          <w:szCs w:val="22"/>
        </w:rPr>
        <w:t>及相关规定</w:t>
      </w:r>
      <w:r>
        <w:rPr>
          <w:rFonts w:hint="eastAsia" w:ascii="Times New Roman" w:hAnsi="Times New Roman"/>
          <w:sz w:val="22"/>
          <w:szCs w:val="22"/>
          <w:lang w:val="en-US" w:eastAsia="zh-CN"/>
        </w:rPr>
        <w:t>*0.9</w:t>
      </w:r>
      <w:r>
        <w:rPr>
          <w:rFonts w:hint="eastAsia" w:ascii="Times New Roman" w:hAnsi="Times New Roman"/>
          <w:sz w:val="22"/>
          <w:szCs w:val="22"/>
        </w:rPr>
        <w:t>收费。</w:t>
      </w:r>
    </w:p>
    <w:p w14:paraId="2C4F1166">
      <w:pPr>
        <w:widowControl/>
        <w:autoSpaceDE w:val="0"/>
        <w:autoSpaceDN w:val="0"/>
        <w:spacing w:line="360" w:lineRule="exact"/>
        <w:ind w:right="893" w:firstLine="440" w:firstLineChars="200"/>
        <w:textAlignment w:val="bottom"/>
        <w:rPr>
          <w:sz w:val="22"/>
        </w:rPr>
      </w:pPr>
      <w:r>
        <w:rPr>
          <w:sz w:val="22"/>
        </w:rPr>
        <w:t>特此承诺。</w:t>
      </w:r>
    </w:p>
    <w:p w14:paraId="1085CE6E">
      <w:pPr>
        <w:widowControl/>
        <w:autoSpaceDE w:val="0"/>
        <w:autoSpaceDN w:val="0"/>
        <w:spacing w:line="360" w:lineRule="exact"/>
        <w:ind w:right="893"/>
        <w:textAlignment w:val="bottom"/>
        <w:rPr>
          <w:sz w:val="22"/>
        </w:rPr>
      </w:pPr>
    </w:p>
    <w:p w14:paraId="33835EFA">
      <w:pPr>
        <w:widowControl/>
        <w:autoSpaceDE w:val="0"/>
        <w:autoSpaceDN w:val="0"/>
        <w:spacing w:line="360" w:lineRule="exact"/>
        <w:ind w:right="893"/>
        <w:textAlignment w:val="bottom"/>
        <w:rPr>
          <w:sz w:val="22"/>
        </w:rPr>
      </w:pPr>
    </w:p>
    <w:p w14:paraId="19607C4C">
      <w:pPr>
        <w:spacing w:line="360" w:lineRule="exact"/>
        <w:rPr>
          <w:sz w:val="22"/>
        </w:rPr>
      </w:pPr>
    </w:p>
    <w:p w14:paraId="649DDE7A">
      <w:pPr>
        <w:spacing w:line="360" w:lineRule="exact"/>
        <w:ind w:right="440"/>
        <w:jc w:val="right"/>
        <w:rPr>
          <w:bCs/>
          <w:sz w:val="22"/>
        </w:rPr>
      </w:pPr>
      <w:r>
        <w:rPr>
          <w:rFonts w:hint="eastAsia"/>
          <w:bCs/>
          <w:sz w:val="22"/>
        </w:rPr>
        <w:t xml:space="preserve"> </w:t>
      </w:r>
      <w:r>
        <w:rPr>
          <w:bCs/>
          <w:sz w:val="22"/>
        </w:rPr>
        <w:t>投标人（公章）：</w:t>
      </w:r>
    </w:p>
    <w:p w14:paraId="5860147E">
      <w:pPr>
        <w:spacing w:line="360" w:lineRule="exact"/>
        <w:jc w:val="right"/>
        <w:rPr>
          <w:bCs/>
          <w:sz w:val="22"/>
        </w:rPr>
      </w:pPr>
    </w:p>
    <w:p w14:paraId="71178536">
      <w:pPr>
        <w:spacing w:line="360" w:lineRule="exact"/>
        <w:jc w:val="center"/>
        <w:rPr>
          <w:bCs/>
          <w:sz w:val="22"/>
        </w:rPr>
      </w:pPr>
      <w:r>
        <w:rPr>
          <w:rFonts w:hint="eastAsia"/>
          <w:bCs/>
          <w:sz w:val="22"/>
        </w:rPr>
        <w:t xml:space="preserve">                                                        </w:t>
      </w:r>
      <w:r>
        <w:rPr>
          <w:bCs/>
          <w:sz w:val="22"/>
        </w:rPr>
        <w:t>日期：   年  月  日</w:t>
      </w:r>
    </w:p>
    <w:p w14:paraId="0EE19951"/>
    <w:p w14:paraId="656FEA47">
      <w:pPr>
        <w:rPr>
          <w:rFonts w:hint="eastAsia"/>
        </w:rPr>
      </w:pPr>
    </w:p>
    <w:p w14:paraId="66658D68">
      <w:pPr>
        <w:rPr>
          <w:rFonts w:hint="eastAsia" w:ascii="宋体" w:hAnsi="宋体" w:cs="宋体"/>
          <w:sz w:val="22"/>
          <w:szCs w:val="24"/>
        </w:rPr>
      </w:pPr>
      <w:r>
        <w:rPr>
          <w:rFonts w:hint="eastAsia" w:ascii="宋体" w:hAnsi="宋体" w:cs="宋体"/>
          <w:sz w:val="22"/>
          <w:szCs w:val="24"/>
        </w:rPr>
        <w:t>(注：按要求填写，不得更改承诺内容)</w:t>
      </w:r>
    </w:p>
    <w:p w14:paraId="6F96B456">
      <w:pPr>
        <w:rPr>
          <w:highlight w:val="none"/>
        </w:rPr>
      </w:pPr>
      <w:r>
        <w:rPr>
          <w:highlight w:val="none"/>
        </w:rPr>
        <w:br w:type="page"/>
      </w:r>
    </w:p>
    <w:p w14:paraId="7354D28D">
      <w:pPr>
        <w:numPr>
          <w:ilvl w:val="0"/>
          <w:numId w:val="0"/>
        </w:numPr>
        <w:shd w:val="clear" w:color="auto" w:fill="FFFFFF"/>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八、报价清单表</w:t>
      </w:r>
    </w:p>
    <w:p w14:paraId="1E2CC442">
      <w:pPr>
        <w:pStyle w:val="4"/>
        <w:numPr>
          <w:ilvl w:val="0"/>
          <w:numId w:val="0"/>
        </w:numPr>
        <w:ind w:left="0" w:leftChars="0" w:firstLine="420" w:firstLineChars="0"/>
        <w:jc w:val="center"/>
        <w:rPr>
          <w:rFonts w:hint="eastAsia" w:cs="宋体"/>
          <w:sz w:val="32"/>
          <w:szCs w:val="32"/>
        </w:rPr>
      </w:pPr>
      <w:r>
        <w:rPr>
          <w:rFonts w:hint="eastAsia" w:ascii="宋体" w:hAnsi="Times New Roman" w:eastAsia="宋体" w:cs="宋体"/>
          <w:b w:val="0"/>
          <w:bCs w:val="0"/>
          <w:kern w:val="0"/>
          <w:sz w:val="32"/>
          <w:szCs w:val="32"/>
          <w:lang w:val="en-US" w:eastAsia="zh-CN" w:bidi="ar-SA"/>
        </w:rPr>
        <w:t>（一）</w:t>
      </w:r>
      <w:r>
        <w:rPr>
          <w:rFonts w:hint="eastAsia" w:cs="宋体"/>
          <w:sz w:val="32"/>
          <w:szCs w:val="32"/>
        </w:rPr>
        <w:t>开标一览表</w:t>
      </w:r>
    </w:p>
    <w:tbl>
      <w:tblPr>
        <w:tblStyle w:val="8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6"/>
        <w:gridCol w:w="3686"/>
      </w:tblGrid>
      <w:tr w14:paraId="28D4A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755" w:type="dxa"/>
            <w:noWrap w:val="0"/>
            <w:vAlign w:val="center"/>
          </w:tcPr>
          <w:p w14:paraId="6883ED81">
            <w:pPr>
              <w:spacing w:line="360" w:lineRule="exact"/>
              <w:jc w:val="center"/>
              <w:rPr>
                <w:snapToGrid w:val="0"/>
                <w:kern w:val="0"/>
                <w:sz w:val="22"/>
              </w:rPr>
            </w:pPr>
            <w:r>
              <w:rPr>
                <w:bCs/>
                <w:snapToGrid w:val="0"/>
                <w:kern w:val="0"/>
                <w:sz w:val="22"/>
              </w:rPr>
              <w:t>项目编号</w:t>
            </w:r>
          </w:p>
        </w:tc>
        <w:tc>
          <w:tcPr>
            <w:tcW w:w="3086" w:type="dxa"/>
            <w:noWrap w:val="0"/>
            <w:vAlign w:val="center"/>
          </w:tcPr>
          <w:p w14:paraId="7C697ACD">
            <w:pPr>
              <w:spacing w:line="360" w:lineRule="exact"/>
              <w:jc w:val="center"/>
              <w:rPr>
                <w:snapToGrid w:val="0"/>
                <w:kern w:val="0"/>
                <w:sz w:val="22"/>
              </w:rPr>
            </w:pPr>
            <w:r>
              <w:rPr>
                <w:snapToGrid w:val="0"/>
                <w:kern w:val="0"/>
                <w:sz w:val="22"/>
              </w:rPr>
              <w:t>项目名称</w:t>
            </w:r>
          </w:p>
        </w:tc>
        <w:tc>
          <w:tcPr>
            <w:tcW w:w="3686" w:type="dxa"/>
            <w:noWrap w:val="0"/>
            <w:vAlign w:val="center"/>
          </w:tcPr>
          <w:p w14:paraId="42093A95">
            <w:pPr>
              <w:spacing w:line="360" w:lineRule="exact"/>
              <w:jc w:val="center"/>
              <w:rPr>
                <w:rFonts w:hint="eastAsia" w:eastAsia="宋体"/>
                <w:snapToGrid w:val="0"/>
                <w:kern w:val="0"/>
                <w:sz w:val="22"/>
                <w:lang w:eastAsia="zh-CN"/>
              </w:rPr>
            </w:pPr>
            <w:r>
              <w:rPr>
                <w:snapToGrid w:val="0"/>
                <w:kern w:val="0"/>
                <w:sz w:val="22"/>
              </w:rPr>
              <w:t>投标</w:t>
            </w:r>
            <w:r>
              <w:rPr>
                <w:rFonts w:hint="eastAsia"/>
                <w:snapToGrid w:val="0"/>
                <w:kern w:val="0"/>
                <w:sz w:val="22"/>
                <w:lang w:val="en-US" w:eastAsia="zh-CN"/>
              </w:rPr>
              <w:t>折扣率</w:t>
            </w:r>
          </w:p>
        </w:tc>
      </w:tr>
      <w:tr w14:paraId="4BEB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755" w:type="dxa"/>
            <w:noWrap w:val="0"/>
            <w:vAlign w:val="center"/>
          </w:tcPr>
          <w:p w14:paraId="227E5068">
            <w:pPr>
              <w:spacing w:line="360" w:lineRule="exact"/>
              <w:jc w:val="center"/>
              <w:rPr>
                <w:snapToGrid w:val="0"/>
                <w:kern w:val="0"/>
                <w:sz w:val="22"/>
              </w:rPr>
            </w:pPr>
          </w:p>
        </w:tc>
        <w:tc>
          <w:tcPr>
            <w:tcW w:w="3086" w:type="dxa"/>
            <w:noWrap w:val="0"/>
            <w:vAlign w:val="center"/>
          </w:tcPr>
          <w:p w14:paraId="1D126667">
            <w:pPr>
              <w:widowControl/>
              <w:spacing w:line="360" w:lineRule="exact"/>
              <w:jc w:val="center"/>
              <w:rPr>
                <w:kern w:val="0"/>
                <w:sz w:val="22"/>
              </w:rPr>
            </w:pPr>
          </w:p>
        </w:tc>
        <w:tc>
          <w:tcPr>
            <w:tcW w:w="3686" w:type="dxa"/>
            <w:noWrap w:val="0"/>
            <w:vAlign w:val="center"/>
          </w:tcPr>
          <w:p w14:paraId="188B9355">
            <w:pPr>
              <w:spacing w:line="360" w:lineRule="exact"/>
              <w:rPr>
                <w:snapToGrid w:val="0"/>
                <w:kern w:val="0"/>
                <w:sz w:val="22"/>
              </w:rPr>
            </w:pPr>
          </w:p>
        </w:tc>
      </w:tr>
    </w:tbl>
    <w:p w14:paraId="7BC4D86B">
      <w:pPr>
        <w:spacing w:line="360" w:lineRule="exact"/>
        <w:rPr>
          <w:snapToGrid w:val="0"/>
          <w:kern w:val="0"/>
          <w:sz w:val="22"/>
        </w:rPr>
      </w:pPr>
    </w:p>
    <w:p w14:paraId="4A960EF6">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rPr>
      </w:pPr>
      <w:r>
        <w:rPr>
          <w:rFonts w:hint="eastAsia" w:ascii="宋体" w:hAnsi="宋体" w:eastAsia="宋体" w:cs="仿宋"/>
          <w:b/>
          <w:bCs/>
          <w:sz w:val="20"/>
          <w:szCs w:val="20"/>
          <w:lang w:val="en-US" w:eastAsia="zh-CN"/>
        </w:rPr>
        <w:t>【</w:t>
      </w:r>
      <w:r>
        <w:rPr>
          <w:rFonts w:hint="eastAsia" w:ascii="宋体" w:hAnsi="宋体" w:eastAsia="宋体" w:cs="仿宋"/>
          <w:b/>
          <w:bCs/>
          <w:sz w:val="20"/>
          <w:szCs w:val="20"/>
        </w:rPr>
        <w:t>注：</w:t>
      </w:r>
      <w:r>
        <w:rPr>
          <w:rFonts w:hint="eastAsia" w:ascii="宋体" w:hAnsi="宋体" w:eastAsia="宋体" w:cs="仿宋"/>
          <w:b/>
          <w:bCs/>
          <w:sz w:val="20"/>
          <w:szCs w:val="20"/>
          <w:lang w:val="en-US" w:eastAsia="zh-CN"/>
        </w:rPr>
        <w:t>1.</w:t>
      </w:r>
      <w:r>
        <w:rPr>
          <w:rFonts w:hint="eastAsia" w:ascii="宋体" w:hAnsi="宋体" w:eastAsia="宋体" w:cs="仿宋"/>
          <w:b/>
          <w:bCs/>
          <w:sz w:val="20"/>
          <w:szCs w:val="20"/>
        </w:rPr>
        <w:t>本项目投标报价以折扣率报价。报价要求：折扣率大于0且小于等于1，是固定唯一值，填写的折扣率应为小数，且只填报到小数点后最多两位（如折扣率为九折填写0.90，八八折填写0.88）。投标折扣率不满足招标文件报价要求的，将作投标无效处理。</w:t>
      </w:r>
    </w:p>
    <w:p w14:paraId="1A3175B2">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2.“折扣率”填写要求：</w:t>
      </w:r>
    </w:p>
    <w:p w14:paraId="4D5AB7A3">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1）填写的“折扣率”为小数，如0.90、0.88、0.77（保留小数点后两位）；超过2位的，代理机构将按四舍五入自动修正保留小数点后两位，不作投标无效处理。</w:t>
      </w:r>
    </w:p>
    <w:p w14:paraId="26145CCA">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2）不得报区间值（如0.88-0.99），否则将作投标无效处理；</w:t>
      </w:r>
    </w:p>
    <w:p w14:paraId="061C4BB1">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3）0＜折扣率≤1。</w:t>
      </w:r>
    </w:p>
    <w:p w14:paraId="11E06A63">
      <w:pPr>
        <w:keepNext w:val="0"/>
        <w:keepLines w:val="0"/>
        <w:pageBreakBefore w:val="0"/>
        <w:kinsoku/>
        <w:wordWrap/>
        <w:overflowPunct/>
        <w:topLinePunct w:val="0"/>
        <w:autoSpaceDE/>
        <w:autoSpaceDN/>
        <w:bidi w:val="0"/>
        <w:spacing w:line="360" w:lineRule="exact"/>
        <w:ind w:firstLine="402" w:firstLineChars="200"/>
        <w:jc w:val="left"/>
        <w:textAlignment w:val="auto"/>
        <w:rPr>
          <w:rFonts w:hint="eastAsia" w:ascii="宋体" w:hAnsi="宋体" w:eastAsia="宋体" w:cs="仿宋"/>
          <w:b/>
          <w:bCs/>
          <w:sz w:val="20"/>
          <w:szCs w:val="20"/>
          <w:lang w:val="en-US" w:eastAsia="zh-CN"/>
        </w:rPr>
      </w:pPr>
      <w:r>
        <w:rPr>
          <w:rFonts w:hint="eastAsia" w:ascii="宋体" w:hAnsi="宋体" w:eastAsia="宋体" w:cs="仿宋"/>
          <w:b/>
          <w:bCs/>
          <w:sz w:val="20"/>
          <w:szCs w:val="20"/>
          <w:lang w:val="en-US" w:eastAsia="zh-CN"/>
        </w:rPr>
        <w:t>4）投标人参与投标只允许填报唯一1个“折扣率”，不允许填报2个（或以上）的“折扣率”；填报了2个或以上“折扣率”的，其投标将直接作为无效标处理；</w:t>
      </w:r>
    </w:p>
    <w:p w14:paraId="7498A572">
      <w:pPr>
        <w:spacing w:line="360" w:lineRule="exact"/>
        <w:rPr>
          <w:snapToGrid w:val="0"/>
          <w:kern w:val="0"/>
          <w:sz w:val="22"/>
        </w:rPr>
      </w:pPr>
      <w:r>
        <w:rPr>
          <w:rFonts w:hint="eastAsia" w:ascii="宋体" w:hAnsi="宋体" w:eastAsia="宋体" w:cs="仿宋"/>
          <w:b/>
          <w:bCs/>
          <w:sz w:val="20"/>
          <w:szCs w:val="20"/>
          <w:lang w:val="en-US" w:eastAsia="zh-CN"/>
        </w:rPr>
        <w:t>5）“折扣率”缺填、漏填将直接作无效标处理。】</w:t>
      </w:r>
    </w:p>
    <w:p w14:paraId="1FA4F88B">
      <w:pPr>
        <w:spacing w:line="360" w:lineRule="exact"/>
        <w:rPr>
          <w:snapToGrid w:val="0"/>
          <w:kern w:val="0"/>
          <w:sz w:val="22"/>
        </w:rPr>
      </w:pPr>
    </w:p>
    <w:p w14:paraId="39C8419F">
      <w:pPr>
        <w:spacing w:line="360" w:lineRule="exact"/>
        <w:rPr>
          <w:snapToGrid w:val="0"/>
          <w:kern w:val="0"/>
          <w:sz w:val="22"/>
        </w:rPr>
      </w:pPr>
    </w:p>
    <w:p w14:paraId="795B1573">
      <w:pPr>
        <w:spacing w:line="360" w:lineRule="exact"/>
        <w:rPr>
          <w:snapToGrid w:val="0"/>
          <w:kern w:val="0"/>
          <w:sz w:val="22"/>
        </w:rPr>
      </w:pPr>
    </w:p>
    <w:p w14:paraId="4A1BC89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6443310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4EEE3019">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2D606BFA">
      <w:pPr>
        <w:pStyle w:val="4"/>
        <w:numPr>
          <w:ilvl w:val="0"/>
          <w:numId w:val="0"/>
        </w:numPr>
        <w:ind w:left="0" w:leftChars="0" w:firstLine="420" w:firstLineChars="0"/>
        <w:jc w:val="center"/>
        <w:rPr>
          <w:rFonts w:cs="宋体"/>
          <w:sz w:val="32"/>
          <w:szCs w:val="32"/>
        </w:rPr>
      </w:pPr>
      <w:r>
        <w:rPr>
          <w:b w:val="0"/>
          <w:sz w:val="22"/>
          <w:highlight w:val="yellow"/>
        </w:rPr>
        <w:br w:type="page"/>
      </w:r>
      <w:r>
        <w:rPr>
          <w:rFonts w:hint="eastAsia" w:ascii="宋体" w:hAnsi="Times New Roman" w:eastAsia="宋体" w:cs="宋体"/>
          <w:b w:val="0"/>
          <w:bCs w:val="0"/>
          <w:kern w:val="0"/>
          <w:sz w:val="32"/>
          <w:szCs w:val="32"/>
          <w:lang w:val="en-US" w:eastAsia="zh-CN" w:bidi="ar-SA"/>
        </w:rPr>
        <w:t>（二）</w:t>
      </w:r>
      <w:r>
        <w:rPr>
          <w:rFonts w:hint="eastAsia" w:cs="宋体"/>
          <w:sz w:val="32"/>
          <w:szCs w:val="32"/>
        </w:rPr>
        <w:t>分项报价清单表</w:t>
      </w:r>
      <w:r>
        <w:rPr>
          <w:rFonts w:hint="eastAsia" w:cs="宋体"/>
          <w:sz w:val="32"/>
          <w:szCs w:val="32"/>
          <w:lang w:eastAsia="zh-CN"/>
        </w:rPr>
        <w:t>（</w:t>
      </w:r>
      <w:r>
        <w:rPr>
          <w:rFonts w:hint="eastAsia" w:cs="宋体"/>
          <w:sz w:val="32"/>
          <w:szCs w:val="32"/>
          <w:lang w:val="en-US" w:eastAsia="zh-CN"/>
        </w:rPr>
        <w:t>如有</w:t>
      </w:r>
      <w:r>
        <w:rPr>
          <w:rFonts w:hint="eastAsia" w:cs="宋体"/>
          <w:sz w:val="32"/>
          <w:szCs w:val="32"/>
          <w:lang w:eastAsia="zh-CN"/>
        </w:rPr>
        <w:t>）</w:t>
      </w:r>
    </w:p>
    <w:p w14:paraId="6DD7FB41">
      <w:pPr>
        <w:spacing w:line="360" w:lineRule="exact"/>
        <w:rPr>
          <w:rFonts w:hint="eastAsia" w:ascii="宋体" w:hAnsi="宋体" w:cs="宋体"/>
          <w:sz w:val="22"/>
          <w:szCs w:val="22"/>
        </w:rPr>
      </w:pPr>
    </w:p>
    <w:p w14:paraId="0C3F6932">
      <w:pPr>
        <w:spacing w:line="360" w:lineRule="exact"/>
        <w:ind w:firstLine="220" w:firstLineChars="100"/>
        <w:rPr>
          <w:rFonts w:hint="eastAsia" w:ascii="宋体" w:hAnsi="宋体" w:cs="宋体"/>
          <w:sz w:val="22"/>
          <w:szCs w:val="22"/>
        </w:rPr>
      </w:pPr>
    </w:p>
    <w:p w14:paraId="212F686C">
      <w:pPr>
        <w:spacing w:line="360" w:lineRule="exact"/>
        <w:ind w:right="2100" w:rightChars="1000"/>
        <w:jc w:val="left"/>
        <w:rPr>
          <w:rFonts w:hint="eastAsia" w:ascii="宋体" w:hAnsi="宋体" w:cs="宋体"/>
          <w:snapToGrid w:val="0"/>
          <w:kern w:val="0"/>
          <w:sz w:val="22"/>
          <w:lang w:val="zh-CN"/>
        </w:rPr>
      </w:pPr>
    </w:p>
    <w:p w14:paraId="0FFAEDD0">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1CBB2D3B">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6380DDBA">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60677482">
      <w:pPr>
        <w:rPr>
          <w:rFonts w:hint="eastAsia"/>
          <w:highlight w:val="none"/>
        </w:rPr>
      </w:pPr>
      <w:r>
        <w:rPr>
          <w:rFonts w:hint="eastAsia"/>
          <w:highlight w:val="none"/>
        </w:rPr>
        <w:br w:type="page"/>
      </w:r>
    </w:p>
    <w:bookmarkEnd w:id="67"/>
    <w:p w14:paraId="52F4F73A">
      <w:pPr>
        <w:numPr>
          <w:ilvl w:val="0"/>
          <w:numId w:val="0"/>
        </w:numPr>
        <w:shd w:val="clear" w:color="auto" w:fill="FFFFFF"/>
        <w:tabs>
          <w:tab w:val="left" w:pos="0"/>
          <w:tab w:val="clear" w:pos="426"/>
        </w:tabs>
        <w:jc w:val="left"/>
        <w:outlineLvl w:val="2"/>
        <w:rPr>
          <w:rFonts w:hint="eastAsia" w:ascii="Arial" w:hAnsi="Arial" w:eastAsia="黑体" w:cs="Times New Roman"/>
          <w:b/>
          <w:bCs/>
          <w:kern w:val="2"/>
          <w:sz w:val="28"/>
          <w:szCs w:val="28"/>
          <w:highlight w:val="none"/>
          <w:lang w:val="en-US" w:eastAsia="zh-CN" w:bidi="ar-SA"/>
        </w:rPr>
      </w:pPr>
      <w:r>
        <w:rPr>
          <w:rFonts w:hint="eastAsia" w:ascii="Arial" w:hAnsi="Arial" w:eastAsia="黑体" w:cs="Times New Roman"/>
          <w:b/>
          <w:bCs/>
          <w:kern w:val="2"/>
          <w:sz w:val="28"/>
          <w:szCs w:val="28"/>
          <w:highlight w:val="none"/>
          <w:lang w:val="en-US" w:eastAsia="zh-CN" w:bidi="ar-SA"/>
        </w:rPr>
        <w:t>九、供应商情况介绍</w:t>
      </w:r>
    </w:p>
    <w:p w14:paraId="1D95D851">
      <w:pPr>
        <w:numPr>
          <w:ilvl w:val="0"/>
          <w:numId w:val="0"/>
        </w:numPr>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r>
        <w:rPr>
          <w:rFonts w:hint="eastAsia" w:ascii="宋体" w:hAnsi="Times New Roman" w:eastAsia="宋体" w:cs="宋体"/>
          <w:b w:val="0"/>
          <w:bCs w:val="0"/>
          <w:kern w:val="0"/>
          <w:sz w:val="32"/>
          <w:szCs w:val="32"/>
          <w:lang w:val="en-US" w:eastAsia="zh-CN" w:bidi="ar-SA"/>
        </w:rPr>
        <w:t>（一）供应商一览表</w:t>
      </w:r>
    </w:p>
    <w:p w14:paraId="258D9364">
      <w:pPr>
        <w:pStyle w:val="8"/>
        <w:rPr>
          <w:rFonts w:hint="eastAsia"/>
          <w:lang w:val="en-US" w:eastAsia="zh-CN"/>
        </w:rPr>
      </w:pP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708"/>
        <w:gridCol w:w="4657"/>
        <w:gridCol w:w="1468"/>
      </w:tblGrid>
      <w:tr w14:paraId="015F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0BB741B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序号</w:t>
            </w:r>
          </w:p>
        </w:tc>
        <w:tc>
          <w:tcPr>
            <w:tcW w:w="1415" w:type="pct"/>
            <w:noWrap w:val="0"/>
            <w:vAlign w:val="top"/>
          </w:tcPr>
          <w:p w14:paraId="338219A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项  目</w:t>
            </w:r>
          </w:p>
        </w:tc>
        <w:tc>
          <w:tcPr>
            <w:tcW w:w="2433" w:type="pct"/>
            <w:noWrap w:val="0"/>
            <w:vAlign w:val="top"/>
          </w:tcPr>
          <w:p w14:paraId="4CC9EF1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内容及说明</w:t>
            </w:r>
          </w:p>
        </w:tc>
        <w:tc>
          <w:tcPr>
            <w:tcW w:w="767" w:type="pct"/>
            <w:noWrap w:val="0"/>
            <w:vAlign w:val="top"/>
          </w:tcPr>
          <w:p w14:paraId="4C656CD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备注</w:t>
            </w:r>
          </w:p>
        </w:tc>
      </w:tr>
      <w:tr w14:paraId="7E268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3" w:type="pct"/>
            <w:vMerge w:val="restart"/>
            <w:noWrap w:val="0"/>
            <w:vAlign w:val="top"/>
          </w:tcPr>
          <w:p w14:paraId="258597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一</w:t>
            </w:r>
          </w:p>
        </w:tc>
        <w:tc>
          <w:tcPr>
            <w:tcW w:w="1415" w:type="pct"/>
            <w:noWrap w:val="0"/>
            <w:vAlign w:val="top"/>
          </w:tcPr>
          <w:p w14:paraId="5CB665B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营业执照</w:t>
            </w:r>
          </w:p>
        </w:tc>
        <w:tc>
          <w:tcPr>
            <w:tcW w:w="2433" w:type="pct"/>
            <w:noWrap w:val="0"/>
            <w:vAlign w:val="top"/>
          </w:tcPr>
          <w:p w14:paraId="1CACE09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restart"/>
            <w:noWrap w:val="0"/>
            <w:vAlign w:val="top"/>
          </w:tcPr>
          <w:p w14:paraId="1CA89C8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tc>
      </w:tr>
      <w:tr w14:paraId="3EB4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2DE393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4A963C7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1.注册年度及注册编号</w:t>
            </w:r>
          </w:p>
        </w:tc>
        <w:tc>
          <w:tcPr>
            <w:tcW w:w="2433" w:type="pct"/>
            <w:noWrap w:val="0"/>
            <w:vAlign w:val="top"/>
          </w:tcPr>
          <w:p w14:paraId="59C5DA2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17130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412D1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67057DC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190DA45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2.注册资金（万元）：</w:t>
            </w:r>
          </w:p>
        </w:tc>
        <w:tc>
          <w:tcPr>
            <w:tcW w:w="2433" w:type="pct"/>
            <w:noWrap w:val="0"/>
            <w:vAlign w:val="top"/>
          </w:tcPr>
          <w:p w14:paraId="28A4D29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71BA954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A34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161E7AF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1D2994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3.经营场所：</w:t>
            </w:r>
          </w:p>
        </w:tc>
        <w:tc>
          <w:tcPr>
            <w:tcW w:w="2433" w:type="pct"/>
            <w:noWrap w:val="0"/>
            <w:vAlign w:val="top"/>
          </w:tcPr>
          <w:p w14:paraId="59B168E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84FDB2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52DB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83" w:type="pct"/>
            <w:vMerge w:val="continue"/>
            <w:noWrap w:val="0"/>
            <w:vAlign w:val="top"/>
          </w:tcPr>
          <w:p w14:paraId="2728D6B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200637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4.有效期：</w:t>
            </w:r>
          </w:p>
        </w:tc>
        <w:tc>
          <w:tcPr>
            <w:tcW w:w="2433" w:type="pct"/>
            <w:noWrap w:val="0"/>
            <w:vAlign w:val="top"/>
          </w:tcPr>
          <w:p w14:paraId="0768660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590AFB3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543B3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restart"/>
            <w:noWrap w:val="0"/>
            <w:vAlign w:val="top"/>
          </w:tcPr>
          <w:p w14:paraId="34950DD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二</w:t>
            </w:r>
          </w:p>
        </w:tc>
        <w:tc>
          <w:tcPr>
            <w:tcW w:w="1415" w:type="pct"/>
            <w:noWrap w:val="0"/>
            <w:vAlign w:val="top"/>
          </w:tcPr>
          <w:p w14:paraId="774B637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税务登记证</w:t>
            </w:r>
          </w:p>
        </w:tc>
        <w:tc>
          <w:tcPr>
            <w:tcW w:w="2433" w:type="pct"/>
            <w:noWrap w:val="0"/>
            <w:vAlign w:val="top"/>
          </w:tcPr>
          <w:p w14:paraId="22859F2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restart"/>
            <w:noWrap w:val="0"/>
            <w:vAlign w:val="top"/>
          </w:tcPr>
          <w:p w14:paraId="40AB2E2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tc>
      </w:tr>
      <w:tr w14:paraId="5C03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22115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781945C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1.税务登记证编号：</w:t>
            </w:r>
          </w:p>
        </w:tc>
        <w:tc>
          <w:tcPr>
            <w:tcW w:w="2433" w:type="pct"/>
            <w:noWrap w:val="0"/>
            <w:vAlign w:val="top"/>
          </w:tcPr>
          <w:p w14:paraId="23ECCA0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14A914C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01916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246D590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三</w:t>
            </w:r>
            <w:r>
              <w:rPr>
                <w:rFonts w:hint="eastAsia" w:ascii="宋体" w:hAnsi="宋体" w:eastAsia="宋体" w:cs="宋体"/>
                <w:bCs/>
                <w:sz w:val="22"/>
                <w:szCs w:val="22"/>
              </w:rPr>
              <w:tab/>
            </w:r>
          </w:p>
        </w:tc>
        <w:tc>
          <w:tcPr>
            <w:tcW w:w="1415" w:type="pct"/>
            <w:noWrap w:val="0"/>
            <w:vAlign w:val="top"/>
          </w:tcPr>
          <w:p w14:paraId="42141BD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其他资格（质）证书</w:t>
            </w:r>
          </w:p>
        </w:tc>
        <w:tc>
          <w:tcPr>
            <w:tcW w:w="2433" w:type="pct"/>
            <w:noWrap w:val="0"/>
            <w:vAlign w:val="top"/>
          </w:tcPr>
          <w:p w14:paraId="5319C7C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lang w:eastAsia="zh-CN"/>
              </w:rPr>
            </w:pPr>
            <w:r>
              <w:rPr>
                <w:rFonts w:hint="eastAsia" w:ascii="宋体" w:hAnsi="宋体" w:eastAsia="宋体" w:cs="宋体"/>
                <w:bCs/>
                <w:sz w:val="22"/>
                <w:szCs w:val="22"/>
              </w:rPr>
              <w:t>（若有其他资质证书，可按表格格式扩展</w:t>
            </w:r>
            <w:r>
              <w:rPr>
                <w:rFonts w:hint="eastAsia" w:hAnsi="宋体" w:cs="宋体"/>
                <w:bCs/>
                <w:sz w:val="22"/>
                <w:szCs w:val="22"/>
                <w:lang w:eastAsia="zh-CN"/>
              </w:rPr>
              <w:t>）</w:t>
            </w:r>
          </w:p>
        </w:tc>
        <w:tc>
          <w:tcPr>
            <w:tcW w:w="767" w:type="pct"/>
            <w:vMerge w:val="restart"/>
            <w:noWrap w:val="0"/>
            <w:vAlign w:val="top"/>
          </w:tcPr>
          <w:p w14:paraId="383BA2E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提供复印件</w:t>
            </w:r>
          </w:p>
          <w:p w14:paraId="53EB6C4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90F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restart"/>
            <w:noWrap w:val="0"/>
            <w:vAlign w:val="top"/>
          </w:tcPr>
          <w:p w14:paraId="4BBA1A3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55717B4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1.证书名称</w:t>
            </w:r>
            <w:r>
              <w:rPr>
                <w:rFonts w:hint="eastAsia" w:ascii="宋体" w:hAnsi="宋体" w:eastAsia="宋体" w:cs="宋体"/>
                <w:bCs/>
                <w:sz w:val="22"/>
                <w:szCs w:val="22"/>
              </w:rPr>
              <w:tab/>
            </w:r>
          </w:p>
        </w:tc>
        <w:tc>
          <w:tcPr>
            <w:tcW w:w="2433" w:type="pct"/>
            <w:noWrap w:val="0"/>
            <w:vAlign w:val="top"/>
          </w:tcPr>
          <w:p w14:paraId="73D4E72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62D2E5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2305C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350C8F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3E25E7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2.批准单位</w:t>
            </w:r>
          </w:p>
        </w:tc>
        <w:tc>
          <w:tcPr>
            <w:tcW w:w="2433" w:type="pct"/>
            <w:noWrap w:val="0"/>
            <w:vAlign w:val="top"/>
          </w:tcPr>
          <w:p w14:paraId="5CDC462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5BAC0E6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01031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B89DCE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38D5A0B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3.等级</w:t>
            </w:r>
          </w:p>
        </w:tc>
        <w:tc>
          <w:tcPr>
            <w:tcW w:w="2433" w:type="pct"/>
            <w:noWrap w:val="0"/>
            <w:vAlign w:val="top"/>
          </w:tcPr>
          <w:p w14:paraId="18E7DA6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4AECB35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146E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13EA35D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20F0B9B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4.批准时间及编号</w:t>
            </w:r>
          </w:p>
        </w:tc>
        <w:tc>
          <w:tcPr>
            <w:tcW w:w="2433" w:type="pct"/>
            <w:noWrap w:val="0"/>
            <w:vAlign w:val="top"/>
          </w:tcPr>
          <w:p w14:paraId="28134CF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AD8E25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7E37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Merge w:val="continue"/>
            <w:noWrap w:val="0"/>
            <w:vAlign w:val="top"/>
          </w:tcPr>
          <w:p w14:paraId="651C868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2B1513A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5.有效期</w:t>
            </w:r>
            <w:r>
              <w:rPr>
                <w:rFonts w:hint="eastAsia" w:ascii="宋体" w:hAnsi="宋体" w:eastAsia="宋体" w:cs="宋体"/>
                <w:bCs/>
                <w:sz w:val="22"/>
                <w:szCs w:val="22"/>
              </w:rPr>
              <w:tab/>
            </w:r>
          </w:p>
        </w:tc>
        <w:tc>
          <w:tcPr>
            <w:tcW w:w="2433" w:type="pct"/>
            <w:noWrap w:val="0"/>
            <w:vAlign w:val="top"/>
          </w:tcPr>
          <w:p w14:paraId="60554DE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vMerge w:val="continue"/>
            <w:noWrap w:val="0"/>
            <w:vAlign w:val="top"/>
          </w:tcPr>
          <w:p w14:paraId="03CDD67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3BBF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1B56A7E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四</w:t>
            </w:r>
          </w:p>
        </w:tc>
        <w:tc>
          <w:tcPr>
            <w:tcW w:w="1415" w:type="pct"/>
            <w:noWrap w:val="0"/>
            <w:vAlign w:val="top"/>
          </w:tcPr>
          <w:p w14:paraId="2C19B3F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其他</w:t>
            </w:r>
          </w:p>
        </w:tc>
        <w:tc>
          <w:tcPr>
            <w:tcW w:w="2433" w:type="pct"/>
            <w:noWrap w:val="0"/>
            <w:vAlign w:val="top"/>
          </w:tcPr>
          <w:p w14:paraId="1C37AC5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投标人认为需补充的其他说明</w:t>
            </w:r>
          </w:p>
        </w:tc>
        <w:tc>
          <w:tcPr>
            <w:tcW w:w="767" w:type="pct"/>
            <w:noWrap w:val="0"/>
            <w:vAlign w:val="top"/>
          </w:tcPr>
          <w:p w14:paraId="452E254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r w14:paraId="7271E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noWrap w:val="0"/>
            <w:vAlign w:val="top"/>
          </w:tcPr>
          <w:p w14:paraId="4743A04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1415" w:type="pct"/>
            <w:noWrap w:val="0"/>
            <w:vAlign w:val="top"/>
          </w:tcPr>
          <w:p w14:paraId="6422501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r>
              <w:rPr>
                <w:rFonts w:hint="eastAsia" w:ascii="宋体" w:hAnsi="宋体" w:eastAsia="宋体" w:cs="宋体"/>
                <w:bCs/>
                <w:sz w:val="22"/>
                <w:szCs w:val="22"/>
              </w:rPr>
              <w:t>1.……………………</w:t>
            </w:r>
          </w:p>
        </w:tc>
        <w:tc>
          <w:tcPr>
            <w:tcW w:w="2433" w:type="pct"/>
            <w:noWrap w:val="0"/>
            <w:vAlign w:val="top"/>
          </w:tcPr>
          <w:p w14:paraId="2BC5CD7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c>
          <w:tcPr>
            <w:tcW w:w="767" w:type="pct"/>
            <w:noWrap w:val="0"/>
            <w:vAlign w:val="top"/>
          </w:tcPr>
          <w:p w14:paraId="695F731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bCs/>
                <w:sz w:val="22"/>
                <w:szCs w:val="22"/>
              </w:rPr>
            </w:pPr>
          </w:p>
        </w:tc>
      </w:tr>
    </w:tbl>
    <w:p w14:paraId="631BE6C5">
      <w:pPr>
        <w:adjustRightInd w:val="0"/>
        <w:snapToGrid w:val="0"/>
        <w:spacing w:line="360" w:lineRule="exact"/>
        <w:rPr>
          <w:rFonts w:hint="eastAsia" w:ascii="宋体" w:hAnsi="宋体" w:cs="宋体"/>
          <w:b/>
          <w:sz w:val="22"/>
        </w:rPr>
      </w:pPr>
      <w:r>
        <w:rPr>
          <w:rFonts w:hint="eastAsia" w:ascii="宋体" w:hAnsi="宋体" w:cs="宋体"/>
          <w:bCs/>
          <w:sz w:val="22"/>
        </w:rPr>
        <w:tab/>
      </w:r>
      <w:r>
        <w:rPr>
          <w:rFonts w:hint="eastAsia" w:ascii="宋体" w:hAnsi="宋体" w:cs="宋体"/>
          <w:bCs/>
          <w:sz w:val="22"/>
        </w:rPr>
        <w:t>注：在按要求填写好此表格后，各投标单位可以用其它的方式，就公司整体情况作出详细的介绍（可以提供相应文字、照片等）。</w:t>
      </w:r>
    </w:p>
    <w:p w14:paraId="2A9012E6">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p>
    <w:p w14:paraId="6D65063E">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p>
    <w:p w14:paraId="7CCF3A84">
      <w:pPr>
        <w:numPr>
          <w:ilvl w:val="0"/>
          <w:numId w:val="0"/>
        </w:numPr>
        <w:shd w:val="clear" w:color="auto" w:fill="FFFFFF"/>
        <w:spacing w:line="360" w:lineRule="exact"/>
        <w:ind w:left="0" w:leftChars="0" w:firstLine="420" w:firstLineChars="0"/>
        <w:jc w:val="center"/>
        <w:rPr>
          <w:rFonts w:hint="eastAsia" w:ascii="宋体" w:hAnsi="Times New Roman" w:eastAsia="宋体" w:cs="宋体"/>
          <w:b w:val="0"/>
          <w:bCs w:val="0"/>
          <w:kern w:val="0"/>
          <w:sz w:val="32"/>
          <w:szCs w:val="32"/>
          <w:lang w:val="en-US" w:eastAsia="zh-CN" w:bidi="ar-SA"/>
        </w:rPr>
      </w:pPr>
      <w:r>
        <w:rPr>
          <w:rFonts w:hint="eastAsia" w:ascii="宋体" w:hAnsi="Times New Roman" w:eastAsia="宋体" w:cs="宋体"/>
          <w:b w:val="0"/>
          <w:bCs w:val="0"/>
          <w:kern w:val="0"/>
          <w:sz w:val="32"/>
          <w:szCs w:val="32"/>
          <w:lang w:val="en-US" w:eastAsia="zh-CN" w:bidi="ar-SA"/>
        </w:rPr>
        <w:t>（二）供应商资格证明文件</w:t>
      </w:r>
    </w:p>
    <w:p w14:paraId="3AFB8C46">
      <w:pPr>
        <w:pStyle w:val="84"/>
        <w:spacing w:after="0" w:line="360" w:lineRule="exact"/>
        <w:ind w:left="0" w:leftChars="0" w:firstLine="0" w:firstLineChars="0"/>
        <w:rPr>
          <w:rFonts w:hint="eastAsia" w:ascii="宋体" w:hAnsi="宋体" w:eastAsia="宋体" w:cs="宋体"/>
          <w:color w:val="000000"/>
          <w:sz w:val="22"/>
          <w:szCs w:val="22"/>
        </w:rPr>
      </w:pPr>
    </w:p>
    <w:p w14:paraId="6475EAF7">
      <w:pPr>
        <w:pStyle w:val="84"/>
        <w:spacing w:after="0" w:line="360" w:lineRule="exact"/>
        <w:ind w:left="0" w:leftChars="0" w:firstLine="0" w:firstLineChars="0"/>
        <w:rPr>
          <w:rFonts w:hint="eastAsia" w:ascii="宋体" w:hAnsi="宋体" w:eastAsia="宋体" w:cs="宋体"/>
          <w:bCs/>
          <w:color w:val="000000"/>
          <w:sz w:val="22"/>
          <w:szCs w:val="22"/>
        </w:rPr>
      </w:pPr>
      <w:r>
        <w:rPr>
          <w:rFonts w:hint="eastAsia" w:ascii="宋体" w:hAnsi="宋体" w:eastAsia="宋体" w:cs="宋体"/>
          <w:color w:val="000000"/>
          <w:sz w:val="22"/>
          <w:szCs w:val="22"/>
        </w:rPr>
        <w:t>（</w:t>
      </w:r>
      <w:r>
        <w:rPr>
          <w:rFonts w:hint="eastAsia" w:ascii="宋体" w:hAnsi="宋体" w:eastAsia="宋体" w:cs="宋体"/>
          <w:bCs/>
          <w:color w:val="000000"/>
          <w:sz w:val="22"/>
          <w:szCs w:val="22"/>
        </w:rPr>
        <w:t>1）营业执照（或单位法人登记证等）复印件；</w:t>
      </w:r>
    </w:p>
    <w:p w14:paraId="43A8D1CC">
      <w:pPr>
        <w:pStyle w:val="84"/>
        <w:shd w:val="clear" w:color="auto" w:fill="auto"/>
        <w:tabs>
          <w:tab w:val="left" w:pos="426"/>
        </w:tabs>
        <w:spacing w:after="0" w:line="360" w:lineRule="exact"/>
        <w:ind w:left="0" w:leftChars="0" w:firstLine="0" w:firstLineChars="0"/>
        <w:rPr>
          <w:rFonts w:hint="eastAsia" w:ascii="宋体" w:hAnsi="宋体" w:eastAsia="宋体" w:cs="宋体"/>
          <w:color w:val="000000"/>
          <w:sz w:val="22"/>
          <w:szCs w:val="22"/>
        </w:rPr>
      </w:pPr>
      <w:r>
        <w:rPr>
          <w:rFonts w:hint="eastAsia" w:ascii="宋体" w:hAnsi="宋体" w:eastAsia="宋体" w:cs="宋体"/>
          <w:color w:val="000000"/>
          <w:sz w:val="22"/>
          <w:szCs w:val="22"/>
        </w:rPr>
        <w:t>（2）提供招标公告中关于投标人资格要求的相关资格证明文件复印件。</w:t>
      </w:r>
    </w:p>
    <w:p w14:paraId="48E9572E">
      <w:pPr>
        <w:shd w:val="clear" w:color="auto" w:fill="auto"/>
        <w:tabs>
          <w:tab w:val="clear" w:pos="426"/>
        </w:tabs>
        <w:adjustRightInd/>
        <w:snapToGrid/>
        <w:spacing w:line="240" w:lineRule="auto"/>
        <w:jc w:val="left"/>
        <w:rPr>
          <w:b/>
          <w:highlight w:val="none"/>
        </w:rPr>
      </w:pPr>
      <w:r>
        <w:rPr>
          <w:b/>
          <w:highlight w:val="none"/>
        </w:rPr>
        <w:br w:type="page"/>
      </w:r>
    </w:p>
    <w:p w14:paraId="79C27CC5">
      <w:pPr>
        <w:pStyle w:val="6"/>
        <w:numPr>
          <w:ilvl w:val="0"/>
          <w:numId w:val="0"/>
        </w:numPr>
        <w:tabs>
          <w:tab w:val="clear" w:pos="1680"/>
        </w:tabs>
        <w:ind w:left="0" w:leftChars="0" w:firstLine="0" w:firstLineChars="0"/>
        <w:jc w:val="left"/>
        <w:rPr>
          <w:highlight w:val="none"/>
        </w:rPr>
      </w:pPr>
      <w:bookmarkStart w:id="68" w:name="_Toc4943774"/>
      <w:bookmarkStart w:id="69" w:name="_Toc36822692"/>
      <w:bookmarkStart w:id="70" w:name="_Toc14427251"/>
      <w:bookmarkStart w:id="71" w:name="_Toc11165666"/>
      <w:bookmarkStart w:id="72" w:name="_Toc192662843"/>
      <w:bookmarkStart w:id="73" w:name="_Toc480789480"/>
      <w:bookmarkStart w:id="74" w:name="_Toc275865611"/>
      <w:bookmarkStart w:id="75" w:name="_Toc480755930"/>
      <w:bookmarkStart w:id="76" w:name="_Toc480756076"/>
      <w:bookmarkStart w:id="77" w:name="_Toc480754209"/>
      <w:r>
        <w:rPr>
          <w:rFonts w:hint="eastAsia" w:cs="Times New Roman"/>
          <w:b/>
          <w:bCs w:val="0"/>
          <w:kern w:val="2"/>
          <w:sz w:val="28"/>
          <w:szCs w:val="28"/>
          <w:lang w:val="en-US" w:eastAsia="zh-CN" w:bidi="ar-SA"/>
        </w:rPr>
        <w:t>十</w:t>
      </w:r>
      <w:r>
        <w:rPr>
          <w:rFonts w:hint="eastAsia"/>
          <w:highlight w:val="none"/>
        </w:rPr>
        <w:t>、实质性响应条款偏离表</w:t>
      </w:r>
      <w:bookmarkEnd w:id="68"/>
      <w:bookmarkEnd w:id="69"/>
      <w:bookmarkEnd w:id="70"/>
      <w:bookmarkEnd w:id="71"/>
    </w:p>
    <w:bookmarkEnd w:id="72"/>
    <w:bookmarkEnd w:id="73"/>
    <w:bookmarkEnd w:id="74"/>
    <w:bookmarkEnd w:id="75"/>
    <w:bookmarkEnd w:id="76"/>
    <w:bookmarkEnd w:id="77"/>
    <w:tbl>
      <w:tblPr>
        <w:tblStyle w:val="8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5221"/>
        <w:gridCol w:w="3413"/>
      </w:tblGrid>
      <w:tr w14:paraId="5A8A8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88" w:type="pct"/>
            <w:noWrap w:val="0"/>
            <w:vAlign w:val="center"/>
          </w:tcPr>
          <w:p w14:paraId="38E8E5C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bookmarkStart w:id="78" w:name="_Toc50703730"/>
            <w:bookmarkStart w:id="79" w:name="_Toc50691037"/>
            <w:bookmarkStart w:id="80" w:name="_Toc43264525"/>
            <w:bookmarkStart w:id="81" w:name="_Toc43264518"/>
            <w:r>
              <w:rPr>
                <w:rFonts w:hint="eastAsia" w:ascii="宋体" w:hAnsi="宋体" w:eastAsia="宋体" w:cs="宋体"/>
                <w:sz w:val="22"/>
                <w:szCs w:val="22"/>
              </w:rPr>
              <w:t>序号</w:t>
            </w:r>
          </w:p>
        </w:tc>
        <w:tc>
          <w:tcPr>
            <w:tcW w:w="2728" w:type="pct"/>
            <w:noWrap w:val="0"/>
            <w:vAlign w:val="center"/>
          </w:tcPr>
          <w:p w14:paraId="44C260D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采购人要求内容</w:t>
            </w:r>
          </w:p>
        </w:tc>
        <w:tc>
          <w:tcPr>
            <w:tcW w:w="1783" w:type="pct"/>
            <w:noWrap w:val="0"/>
            <w:vAlign w:val="center"/>
          </w:tcPr>
          <w:p w14:paraId="4ECABF01">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投标人响应情况</w:t>
            </w:r>
          </w:p>
        </w:tc>
      </w:tr>
      <w:tr w14:paraId="2E4D1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0525F6B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b w:val="0"/>
                <w:bCs w:val="0"/>
                <w:sz w:val="22"/>
                <w:szCs w:val="22"/>
              </w:rPr>
              <w:t>1</w:t>
            </w:r>
          </w:p>
        </w:tc>
        <w:tc>
          <w:tcPr>
            <w:tcW w:w="5221" w:type="dxa"/>
            <w:noWrap w:val="0"/>
            <w:vAlign w:val="center"/>
          </w:tcPr>
          <w:p w14:paraId="73052911">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sz w:val="22"/>
                <w:szCs w:val="22"/>
              </w:rPr>
            </w:pPr>
            <w:r>
              <w:rPr>
                <w:rFonts w:hint="eastAsia" w:ascii="宋体" w:hAnsi="宋体" w:eastAsia="宋体" w:cs="宋体"/>
                <w:b w:val="0"/>
                <w:bCs w:val="0"/>
                <w:sz w:val="22"/>
                <w:szCs w:val="22"/>
              </w:rPr>
              <w:t>本项目服务期限：</w:t>
            </w:r>
            <w:r>
              <w:rPr>
                <w:rFonts w:hint="eastAsia" w:hAnsi="宋体" w:cs="宋体"/>
                <w:b w:val="0"/>
                <w:bCs w:val="0"/>
                <w:sz w:val="22"/>
                <w:szCs w:val="22"/>
                <w:lang w:eastAsia="zh-CN"/>
              </w:rPr>
              <w:t>本次合同签订服务期限为一年</w:t>
            </w:r>
            <w:r>
              <w:rPr>
                <w:rFonts w:hint="eastAsia" w:ascii="宋体" w:hAnsi="宋体" w:eastAsia="宋体" w:cs="宋体"/>
                <w:b w:val="0"/>
                <w:bCs w:val="0"/>
                <w:sz w:val="22"/>
                <w:szCs w:val="22"/>
                <w:lang w:eastAsia="zh-CN"/>
              </w:rPr>
              <w:t>。</w:t>
            </w:r>
          </w:p>
        </w:tc>
        <w:tc>
          <w:tcPr>
            <w:tcW w:w="1783" w:type="pct"/>
            <w:noWrap w:val="0"/>
            <w:vAlign w:val="center"/>
          </w:tcPr>
          <w:p w14:paraId="229AAA7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r w14:paraId="5AC6E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1CE46C4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b w:val="0"/>
                <w:bCs w:val="0"/>
                <w:sz w:val="22"/>
                <w:szCs w:val="22"/>
                <w:lang w:val="en-US" w:eastAsia="zh-CN"/>
              </w:rPr>
              <w:t>2</w:t>
            </w:r>
          </w:p>
        </w:tc>
        <w:tc>
          <w:tcPr>
            <w:tcW w:w="5221" w:type="dxa"/>
            <w:noWrap w:val="0"/>
            <w:vAlign w:val="center"/>
          </w:tcPr>
          <w:p w14:paraId="0AD3B5EB">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sz w:val="22"/>
                <w:szCs w:val="22"/>
              </w:rPr>
            </w:pPr>
            <w:r>
              <w:rPr>
                <w:rFonts w:hint="eastAsia" w:ascii="宋体" w:hAnsi="宋体" w:eastAsia="宋体" w:cs="宋体"/>
                <w:color w:val="000000"/>
                <w:sz w:val="22"/>
                <w:szCs w:val="22"/>
              </w:rPr>
              <w:t>完全满足本项目的</w:t>
            </w:r>
            <w:r>
              <w:rPr>
                <w:rFonts w:hint="eastAsia" w:ascii="宋体" w:hAnsi="宋体" w:eastAsia="宋体" w:cs="宋体"/>
                <w:sz w:val="22"/>
                <w:szCs w:val="22"/>
              </w:rPr>
              <w:t>技术要求</w:t>
            </w:r>
            <w:r>
              <w:rPr>
                <w:rFonts w:hint="eastAsia" w:ascii="宋体" w:hAnsi="宋体" w:eastAsia="宋体" w:cs="宋体"/>
                <w:sz w:val="22"/>
                <w:szCs w:val="22"/>
                <w:lang w:val="en-US" w:eastAsia="zh-CN"/>
              </w:rPr>
              <w:t>和</w:t>
            </w:r>
            <w:r>
              <w:rPr>
                <w:rFonts w:hint="eastAsia" w:ascii="宋体" w:hAnsi="宋体" w:eastAsia="宋体" w:cs="宋体"/>
                <w:sz w:val="22"/>
                <w:szCs w:val="22"/>
              </w:rPr>
              <w:t>商务要求</w:t>
            </w:r>
            <w:r>
              <w:rPr>
                <w:rFonts w:hint="eastAsia" w:ascii="宋体" w:hAnsi="宋体" w:eastAsia="宋体" w:cs="宋体"/>
                <w:sz w:val="22"/>
                <w:szCs w:val="22"/>
                <w:lang w:eastAsia="zh-CN"/>
              </w:rPr>
              <w:t>。</w:t>
            </w:r>
          </w:p>
        </w:tc>
        <w:tc>
          <w:tcPr>
            <w:tcW w:w="1783" w:type="pct"/>
            <w:noWrap w:val="0"/>
            <w:vAlign w:val="center"/>
          </w:tcPr>
          <w:p w14:paraId="788AAA8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r w14:paraId="79F3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34" w:type="dxa"/>
            <w:noWrap w:val="0"/>
            <w:vAlign w:val="center"/>
          </w:tcPr>
          <w:p w14:paraId="452F86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b w:val="0"/>
                <w:bCs w:val="0"/>
                <w:sz w:val="22"/>
                <w:szCs w:val="22"/>
                <w:lang w:val="en-US" w:eastAsia="zh-CN"/>
              </w:rPr>
              <w:t>3</w:t>
            </w:r>
          </w:p>
        </w:tc>
        <w:tc>
          <w:tcPr>
            <w:tcW w:w="5221" w:type="dxa"/>
            <w:noWrap w:val="0"/>
            <w:vAlign w:val="center"/>
          </w:tcPr>
          <w:p w14:paraId="380C3463">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完全满足本项目★标记条款的要求。</w:t>
            </w:r>
          </w:p>
        </w:tc>
        <w:tc>
          <w:tcPr>
            <w:tcW w:w="1783" w:type="pct"/>
            <w:noWrap w:val="0"/>
            <w:vAlign w:val="center"/>
          </w:tcPr>
          <w:p w14:paraId="1EF8C0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宋体" w:hAnsi="宋体" w:eastAsia="宋体" w:cs="宋体"/>
                <w:sz w:val="22"/>
                <w:szCs w:val="22"/>
              </w:rPr>
            </w:pPr>
          </w:p>
        </w:tc>
      </w:tr>
    </w:tbl>
    <w:p w14:paraId="68C592D1">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b/>
          <w:lang w:eastAsia="zh-CN"/>
        </w:rPr>
      </w:pPr>
      <w:r>
        <w:rPr>
          <w:b/>
        </w:rPr>
        <w:t>注：1.</w:t>
      </w:r>
      <w:r>
        <w:rPr>
          <w:rFonts w:hint="eastAsia"/>
          <w:b/>
        </w:rPr>
        <w:t>上表所列内容为不可负偏离条款，负偏离将视为未实质性满足招标文件要求作投标无效处理</w:t>
      </w:r>
      <w:r>
        <w:rPr>
          <w:rFonts w:hint="eastAsia" w:eastAsia="宋体"/>
          <w:b/>
          <w:lang w:eastAsia="zh-CN"/>
        </w:rPr>
        <w:t>；</w:t>
      </w:r>
    </w:p>
    <w:p w14:paraId="4A4DACE8">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b/>
          <w:lang w:eastAsia="zh-CN"/>
        </w:rPr>
      </w:pPr>
      <w:r>
        <w:rPr>
          <w:rFonts w:hint="eastAsia" w:eastAsia="宋体"/>
          <w:b/>
          <w:lang w:val="en-US" w:eastAsia="zh-CN"/>
        </w:rPr>
        <w:t>2</w:t>
      </w:r>
      <w:r>
        <w:rPr>
          <w:rFonts w:hint="eastAsia"/>
          <w:b/>
        </w:rPr>
        <w:t>.“投标人响应情况”一栏应如实填写“响应”或“不响应”</w:t>
      </w:r>
      <w:r>
        <w:rPr>
          <w:rFonts w:hint="eastAsia" w:eastAsia="宋体"/>
          <w:b/>
          <w:lang w:eastAsia="zh-CN"/>
        </w:rPr>
        <w:t>；</w:t>
      </w:r>
    </w:p>
    <w:p w14:paraId="243BB49F">
      <w:pPr>
        <w:keepNext w:val="0"/>
        <w:keepLines w:val="0"/>
        <w:pageBreakBefore w:val="0"/>
        <w:widowControl/>
        <w:kinsoku/>
        <w:wordWrap/>
        <w:overflowPunct/>
        <w:topLinePunct w:val="0"/>
        <w:autoSpaceDE/>
        <w:autoSpaceDN/>
        <w:bidi w:val="0"/>
        <w:adjustRightInd/>
        <w:snapToGrid/>
        <w:spacing w:line="360" w:lineRule="exact"/>
        <w:ind w:firstLine="422" w:firstLineChars="200"/>
        <w:textAlignment w:val="auto"/>
        <w:rPr>
          <w:rFonts w:hint="eastAsia" w:eastAsia="宋体"/>
        </w:rPr>
      </w:pPr>
      <w:r>
        <w:rPr>
          <w:rFonts w:hint="eastAsia" w:eastAsia="宋体"/>
          <w:b/>
          <w:lang w:val="en-US" w:eastAsia="zh-CN"/>
        </w:rPr>
        <w:t>3</w:t>
      </w:r>
      <w:r>
        <w:rPr>
          <w:rFonts w:hint="eastAsia"/>
          <w:b/>
        </w:rPr>
        <w:t>.“实质性条款响应情况”与投标文件其它内容冲突的，以不利于投标人的响应情况为准</w:t>
      </w:r>
      <w:r>
        <w:rPr>
          <w:rFonts w:hint="eastAsia" w:eastAsia="宋体"/>
          <w:b/>
        </w:rPr>
        <w:t>。</w:t>
      </w:r>
    </w:p>
    <w:p w14:paraId="243958E7">
      <w:pPr>
        <w:ind w:right="84" w:rightChars="40" w:firstLine="420" w:firstLineChars="200"/>
        <w:rPr>
          <w:rFonts w:hAnsi="宋体"/>
          <w:bCs/>
          <w:highlight w:val="none"/>
        </w:rPr>
      </w:pPr>
    </w:p>
    <w:p w14:paraId="2421BC63">
      <w:pPr>
        <w:rPr>
          <w:highlight w:val="none"/>
        </w:rPr>
      </w:pPr>
      <w:bookmarkStart w:id="82" w:name="_Toc36822701"/>
      <w:r>
        <w:rPr>
          <w:rFonts w:hint="eastAsia"/>
          <w:highlight w:val="none"/>
        </w:rPr>
        <w:br w:type="page"/>
      </w:r>
    </w:p>
    <w:p w14:paraId="51B508A5">
      <w:pPr>
        <w:pStyle w:val="6"/>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3" w:name="_Toc16055"/>
      <w:r>
        <w:rPr>
          <w:rFonts w:hint="eastAsia" w:cs="Times New Roman"/>
          <w:b/>
          <w:bCs w:val="0"/>
          <w:kern w:val="2"/>
          <w:sz w:val="28"/>
          <w:szCs w:val="28"/>
          <w:lang w:val="en-US" w:eastAsia="zh-CN" w:bidi="ar-SA"/>
        </w:rPr>
        <w:t>十一、投标人同类项目业绩情况</w:t>
      </w:r>
      <w:bookmarkEnd w:id="83"/>
    </w:p>
    <w:p w14:paraId="5F89C1F6">
      <w:pPr>
        <w:spacing w:after="60"/>
        <w:jc w:val="center"/>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（参考格式，投标人可根据招标文件要求和自身实际情况修改）</w:t>
      </w:r>
    </w:p>
    <w:p w14:paraId="2FED322A">
      <w:pPr>
        <w:spacing w:after="60"/>
        <w:jc w:val="center"/>
        <w:rPr>
          <w:rFonts w:hint="eastAsia" w:ascii="宋体" w:hAnsi="宋体" w:eastAsia="宋体" w:cs="宋体"/>
          <w:b/>
          <w:bCs/>
          <w:color w:val="000000"/>
          <w:sz w:val="24"/>
          <w:szCs w:val="32"/>
          <w:highlight w:val="none"/>
        </w:rPr>
      </w:pPr>
      <w:r>
        <w:rPr>
          <w:rFonts w:hint="eastAsia" w:ascii="宋体" w:hAnsi="宋体" w:eastAsia="宋体" w:cs="宋体"/>
          <w:b/>
          <w:bCs/>
          <w:color w:val="000000"/>
          <w:sz w:val="24"/>
          <w:szCs w:val="32"/>
          <w:highlight w:val="none"/>
        </w:rPr>
        <w:t>同类项目业绩清单</w:t>
      </w:r>
    </w:p>
    <w:tbl>
      <w:tblPr>
        <w:tblStyle w:val="8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153"/>
        <w:gridCol w:w="1292"/>
        <w:gridCol w:w="1327"/>
        <w:gridCol w:w="1310"/>
        <w:gridCol w:w="1310"/>
        <w:gridCol w:w="1017"/>
        <w:gridCol w:w="1310"/>
      </w:tblGrid>
      <w:tr w14:paraId="53E1F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noWrap w:val="0"/>
            <w:vAlign w:val="center"/>
          </w:tcPr>
          <w:p w14:paraId="0BF7B17A">
            <w:pPr>
              <w:adjustRightInd w:val="0"/>
              <w:snapToGrid w:val="0"/>
              <w:spacing w:line="360" w:lineRule="exact"/>
              <w:jc w:val="center"/>
              <w:rPr>
                <w:bCs/>
                <w:sz w:val="22"/>
              </w:rPr>
            </w:pPr>
            <w:r>
              <w:rPr>
                <w:bCs/>
                <w:sz w:val="22"/>
              </w:rPr>
              <w:t>序号</w:t>
            </w:r>
          </w:p>
        </w:tc>
        <w:tc>
          <w:tcPr>
            <w:tcW w:w="602" w:type="pct"/>
            <w:noWrap w:val="0"/>
            <w:vAlign w:val="center"/>
          </w:tcPr>
          <w:p w14:paraId="63D3C8D0">
            <w:pPr>
              <w:adjustRightInd w:val="0"/>
              <w:snapToGrid w:val="0"/>
              <w:spacing w:line="360" w:lineRule="exact"/>
              <w:jc w:val="center"/>
              <w:rPr>
                <w:bCs/>
                <w:sz w:val="22"/>
              </w:rPr>
            </w:pPr>
            <w:r>
              <w:rPr>
                <w:bCs/>
                <w:sz w:val="22"/>
              </w:rPr>
              <w:t>采购人</w:t>
            </w:r>
          </w:p>
        </w:tc>
        <w:tc>
          <w:tcPr>
            <w:tcW w:w="675" w:type="pct"/>
            <w:noWrap w:val="0"/>
            <w:vAlign w:val="center"/>
          </w:tcPr>
          <w:p w14:paraId="4804526F">
            <w:pPr>
              <w:adjustRightInd w:val="0"/>
              <w:snapToGrid w:val="0"/>
              <w:spacing w:line="360" w:lineRule="exact"/>
              <w:jc w:val="center"/>
              <w:rPr>
                <w:bCs/>
                <w:sz w:val="22"/>
              </w:rPr>
            </w:pPr>
            <w:r>
              <w:rPr>
                <w:bCs/>
                <w:sz w:val="22"/>
              </w:rPr>
              <w:t>项目名称</w:t>
            </w:r>
          </w:p>
        </w:tc>
        <w:tc>
          <w:tcPr>
            <w:tcW w:w="693" w:type="pct"/>
            <w:noWrap w:val="0"/>
            <w:vAlign w:val="center"/>
          </w:tcPr>
          <w:p w14:paraId="1916ED50">
            <w:pPr>
              <w:adjustRightInd w:val="0"/>
              <w:snapToGrid w:val="0"/>
              <w:spacing w:line="360" w:lineRule="exact"/>
              <w:jc w:val="center"/>
              <w:rPr>
                <w:bCs/>
                <w:sz w:val="22"/>
              </w:rPr>
            </w:pPr>
            <w:r>
              <w:rPr>
                <w:bCs/>
                <w:sz w:val="22"/>
              </w:rPr>
              <w:t>规模（金额/元）</w:t>
            </w:r>
          </w:p>
        </w:tc>
        <w:tc>
          <w:tcPr>
            <w:tcW w:w="684" w:type="pct"/>
            <w:noWrap w:val="0"/>
            <w:vAlign w:val="center"/>
          </w:tcPr>
          <w:p w14:paraId="56CDF172">
            <w:pPr>
              <w:adjustRightInd w:val="0"/>
              <w:snapToGrid w:val="0"/>
              <w:spacing w:line="360" w:lineRule="exact"/>
              <w:jc w:val="center"/>
              <w:rPr>
                <w:bCs/>
                <w:sz w:val="22"/>
              </w:rPr>
            </w:pPr>
            <w:r>
              <w:rPr>
                <w:bCs/>
                <w:sz w:val="22"/>
              </w:rPr>
              <w:t>完成时间</w:t>
            </w:r>
          </w:p>
        </w:tc>
        <w:tc>
          <w:tcPr>
            <w:tcW w:w="684" w:type="pct"/>
            <w:noWrap w:val="0"/>
            <w:vAlign w:val="center"/>
          </w:tcPr>
          <w:p w14:paraId="2413266A">
            <w:pPr>
              <w:adjustRightInd w:val="0"/>
              <w:snapToGrid w:val="0"/>
              <w:spacing w:line="360" w:lineRule="exact"/>
              <w:jc w:val="center"/>
              <w:rPr>
                <w:bCs/>
                <w:sz w:val="22"/>
              </w:rPr>
            </w:pPr>
            <w:r>
              <w:rPr>
                <w:bCs/>
                <w:sz w:val="22"/>
              </w:rPr>
              <w:t>运行情况</w:t>
            </w:r>
          </w:p>
        </w:tc>
        <w:tc>
          <w:tcPr>
            <w:tcW w:w="531" w:type="pct"/>
            <w:noWrap w:val="0"/>
            <w:vAlign w:val="center"/>
          </w:tcPr>
          <w:p w14:paraId="21AAC381">
            <w:pPr>
              <w:adjustRightInd w:val="0"/>
              <w:snapToGrid w:val="0"/>
              <w:spacing w:line="360" w:lineRule="exact"/>
              <w:jc w:val="center"/>
              <w:rPr>
                <w:bCs/>
                <w:sz w:val="22"/>
              </w:rPr>
            </w:pPr>
            <w:r>
              <w:rPr>
                <w:bCs/>
                <w:sz w:val="22"/>
              </w:rPr>
              <w:t>联系人</w:t>
            </w:r>
          </w:p>
        </w:tc>
        <w:tc>
          <w:tcPr>
            <w:tcW w:w="684" w:type="pct"/>
            <w:noWrap w:val="0"/>
            <w:vAlign w:val="center"/>
          </w:tcPr>
          <w:p w14:paraId="7F540A48">
            <w:pPr>
              <w:adjustRightInd w:val="0"/>
              <w:snapToGrid w:val="0"/>
              <w:spacing w:line="360" w:lineRule="exact"/>
              <w:jc w:val="center"/>
              <w:rPr>
                <w:bCs/>
                <w:sz w:val="22"/>
              </w:rPr>
            </w:pPr>
            <w:r>
              <w:rPr>
                <w:bCs/>
                <w:sz w:val="22"/>
              </w:rPr>
              <w:t>联系方式</w:t>
            </w:r>
          </w:p>
        </w:tc>
      </w:tr>
      <w:tr w14:paraId="6DF7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noWrap w:val="0"/>
            <w:vAlign w:val="top"/>
          </w:tcPr>
          <w:p w14:paraId="664E422C">
            <w:pPr>
              <w:adjustRightInd w:val="0"/>
              <w:snapToGrid w:val="0"/>
              <w:spacing w:line="360" w:lineRule="exact"/>
              <w:rPr>
                <w:bCs/>
                <w:sz w:val="22"/>
              </w:rPr>
            </w:pPr>
          </w:p>
        </w:tc>
        <w:tc>
          <w:tcPr>
            <w:tcW w:w="602" w:type="pct"/>
            <w:noWrap w:val="0"/>
            <w:vAlign w:val="top"/>
          </w:tcPr>
          <w:p w14:paraId="21E93A6B">
            <w:pPr>
              <w:adjustRightInd w:val="0"/>
              <w:snapToGrid w:val="0"/>
              <w:spacing w:line="360" w:lineRule="exact"/>
              <w:rPr>
                <w:bCs/>
                <w:sz w:val="22"/>
              </w:rPr>
            </w:pPr>
          </w:p>
        </w:tc>
        <w:tc>
          <w:tcPr>
            <w:tcW w:w="675" w:type="pct"/>
            <w:noWrap w:val="0"/>
            <w:vAlign w:val="top"/>
          </w:tcPr>
          <w:p w14:paraId="7A09651F">
            <w:pPr>
              <w:adjustRightInd w:val="0"/>
              <w:snapToGrid w:val="0"/>
              <w:spacing w:line="360" w:lineRule="exact"/>
              <w:rPr>
                <w:bCs/>
                <w:sz w:val="22"/>
              </w:rPr>
            </w:pPr>
          </w:p>
        </w:tc>
        <w:tc>
          <w:tcPr>
            <w:tcW w:w="693" w:type="pct"/>
            <w:noWrap w:val="0"/>
            <w:vAlign w:val="top"/>
          </w:tcPr>
          <w:p w14:paraId="6DB94B6E">
            <w:pPr>
              <w:adjustRightInd w:val="0"/>
              <w:snapToGrid w:val="0"/>
              <w:spacing w:line="360" w:lineRule="exact"/>
              <w:rPr>
                <w:bCs/>
                <w:sz w:val="22"/>
              </w:rPr>
            </w:pPr>
          </w:p>
        </w:tc>
        <w:tc>
          <w:tcPr>
            <w:tcW w:w="684" w:type="pct"/>
            <w:noWrap w:val="0"/>
            <w:vAlign w:val="top"/>
          </w:tcPr>
          <w:p w14:paraId="1044CE86">
            <w:pPr>
              <w:adjustRightInd w:val="0"/>
              <w:snapToGrid w:val="0"/>
              <w:spacing w:line="360" w:lineRule="exact"/>
              <w:rPr>
                <w:bCs/>
                <w:sz w:val="22"/>
              </w:rPr>
            </w:pPr>
          </w:p>
        </w:tc>
        <w:tc>
          <w:tcPr>
            <w:tcW w:w="684" w:type="pct"/>
            <w:noWrap w:val="0"/>
            <w:vAlign w:val="top"/>
          </w:tcPr>
          <w:p w14:paraId="6AFC1889">
            <w:pPr>
              <w:adjustRightInd w:val="0"/>
              <w:snapToGrid w:val="0"/>
              <w:spacing w:line="360" w:lineRule="exact"/>
              <w:rPr>
                <w:bCs/>
                <w:sz w:val="22"/>
              </w:rPr>
            </w:pPr>
          </w:p>
        </w:tc>
        <w:tc>
          <w:tcPr>
            <w:tcW w:w="531" w:type="pct"/>
            <w:noWrap w:val="0"/>
            <w:vAlign w:val="top"/>
          </w:tcPr>
          <w:p w14:paraId="082E62A5">
            <w:pPr>
              <w:adjustRightInd w:val="0"/>
              <w:snapToGrid w:val="0"/>
              <w:spacing w:line="360" w:lineRule="exact"/>
              <w:rPr>
                <w:bCs/>
                <w:sz w:val="22"/>
              </w:rPr>
            </w:pPr>
          </w:p>
        </w:tc>
        <w:tc>
          <w:tcPr>
            <w:tcW w:w="684" w:type="pct"/>
            <w:noWrap w:val="0"/>
            <w:vAlign w:val="top"/>
          </w:tcPr>
          <w:p w14:paraId="6FBEFB05">
            <w:pPr>
              <w:adjustRightInd w:val="0"/>
              <w:snapToGrid w:val="0"/>
              <w:spacing w:line="360" w:lineRule="exact"/>
              <w:rPr>
                <w:bCs/>
                <w:sz w:val="22"/>
              </w:rPr>
            </w:pPr>
          </w:p>
        </w:tc>
      </w:tr>
    </w:tbl>
    <w:p w14:paraId="39C83C66">
      <w:pPr>
        <w:ind w:firstLine="420" w:firstLineChars="200"/>
        <w:jc w:val="left"/>
        <w:rPr>
          <w:rFonts w:hint="eastAsia" w:ascii="宋体" w:hAnsi="宋体" w:eastAsia="宋体" w:cs="宋体"/>
          <w:color w:val="000000"/>
          <w:highlight w:val="none"/>
        </w:rPr>
      </w:pPr>
    </w:p>
    <w:p w14:paraId="75F96B73">
      <w:pPr>
        <w:tabs>
          <w:tab w:val="left" w:pos="414"/>
          <w:tab w:val="left" w:pos="1974"/>
          <w:tab w:val="left" w:pos="3414"/>
          <w:tab w:val="left" w:pos="4854"/>
          <w:tab w:val="left" w:pos="6174"/>
          <w:tab w:val="left" w:pos="7614"/>
          <w:tab w:val="left" w:pos="9414"/>
          <w:tab w:val="clear" w:pos="426"/>
        </w:tabs>
        <w:adjustRightInd w:val="0"/>
        <w:snapToGrid w:val="0"/>
        <w:spacing w:line="360" w:lineRule="exact"/>
        <w:rPr>
          <w:sz w:val="22"/>
        </w:rPr>
      </w:pPr>
      <w:r>
        <w:rPr>
          <w:sz w:val="22"/>
        </w:rPr>
        <w:t>注：1、在</w:t>
      </w:r>
      <w:r>
        <w:rPr>
          <w:rFonts w:hint="eastAsia"/>
          <w:sz w:val="22"/>
        </w:rPr>
        <w:t>表格</w:t>
      </w:r>
      <w:r>
        <w:rPr>
          <w:sz w:val="22"/>
        </w:rPr>
        <w:t>中填写项目单位名称、联系人、联系方式等内容。</w:t>
      </w:r>
    </w:p>
    <w:p w14:paraId="0A3D69AA">
      <w:pPr>
        <w:tabs>
          <w:tab w:val="left" w:pos="414"/>
          <w:tab w:val="left" w:pos="1974"/>
          <w:tab w:val="left" w:pos="3414"/>
          <w:tab w:val="left" w:pos="4854"/>
          <w:tab w:val="left" w:pos="6174"/>
          <w:tab w:val="left" w:pos="7614"/>
          <w:tab w:val="left" w:pos="9414"/>
          <w:tab w:val="clear" w:pos="426"/>
        </w:tabs>
        <w:adjustRightInd w:val="0"/>
        <w:snapToGrid w:val="0"/>
        <w:spacing w:line="360" w:lineRule="exact"/>
        <w:ind w:firstLine="440" w:firstLineChars="200"/>
        <w:rPr>
          <w:sz w:val="22"/>
        </w:rPr>
      </w:pPr>
      <w:r>
        <w:rPr>
          <w:sz w:val="22"/>
        </w:rPr>
        <w:t>2、需递交上述项目的证明材料扫描件，原件备查。</w:t>
      </w:r>
    </w:p>
    <w:p w14:paraId="238B66AE">
      <w:pPr>
        <w:tabs>
          <w:tab w:val="left" w:pos="414"/>
          <w:tab w:val="left" w:pos="1974"/>
          <w:tab w:val="left" w:pos="3414"/>
          <w:tab w:val="left" w:pos="4854"/>
          <w:tab w:val="left" w:pos="6174"/>
          <w:tab w:val="left" w:pos="7614"/>
          <w:tab w:val="left" w:pos="9414"/>
          <w:tab w:val="clear" w:pos="426"/>
        </w:tabs>
        <w:adjustRightInd w:val="0"/>
        <w:snapToGrid w:val="0"/>
        <w:spacing w:line="360" w:lineRule="exact"/>
        <w:ind w:firstLine="440" w:firstLineChars="200"/>
        <w:rPr>
          <w:bCs/>
          <w:sz w:val="22"/>
        </w:rPr>
      </w:pPr>
      <w:r>
        <w:rPr>
          <w:sz w:val="22"/>
        </w:rPr>
        <w:t>3、提供的资料须齐全。</w:t>
      </w:r>
    </w:p>
    <w:p w14:paraId="38394A15">
      <w:pPr>
        <w:rPr>
          <w:rFonts w:hint="eastAsia" w:ascii="宋体" w:hAnsi="宋体" w:eastAsia="宋体" w:cs="宋体"/>
          <w:color w:val="000000"/>
          <w:sz w:val="28"/>
          <w:szCs w:val="28"/>
          <w:highlight w:val="none"/>
        </w:rPr>
      </w:pPr>
    </w:p>
    <w:p w14:paraId="342D5B02">
      <w:pPr>
        <w:pStyle w:val="2"/>
        <w:rPr>
          <w:rFonts w:hint="eastAsia" w:ascii="宋体" w:hAnsi="宋体" w:eastAsia="宋体" w:cs="宋体"/>
          <w:b w:val="0"/>
          <w:bCs w:val="0"/>
          <w:color w:val="000000"/>
          <w:highlight w:val="none"/>
        </w:rPr>
      </w:pPr>
    </w:p>
    <w:p w14:paraId="40D27D4C">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1087955C">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7892A5DF">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0F8EE5BD">
      <w:pP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rPr>
        <w:br w:type="page"/>
      </w:r>
    </w:p>
    <w:p w14:paraId="7EF62C86">
      <w:pPr>
        <w:pStyle w:val="6"/>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4" w:name="_Toc26051"/>
      <w:bookmarkStart w:id="85" w:name="_Toc29446"/>
      <w:r>
        <w:rPr>
          <w:rFonts w:hint="eastAsia" w:cs="Times New Roman"/>
          <w:b/>
          <w:bCs w:val="0"/>
          <w:kern w:val="2"/>
          <w:sz w:val="28"/>
          <w:szCs w:val="28"/>
          <w:lang w:val="en-US" w:eastAsia="zh-CN" w:bidi="ar-SA"/>
        </w:rPr>
        <w:t>十二、项目团队情况</w:t>
      </w:r>
      <w:bookmarkEnd w:id="84"/>
      <w:bookmarkEnd w:id="85"/>
    </w:p>
    <w:p w14:paraId="6125EAB2">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eastAsia" w:ascii="宋体" w:hAnsi="宋体" w:eastAsia="宋体" w:cs="宋体"/>
          <w:b/>
          <w:color w:val="000000"/>
          <w:szCs w:val="21"/>
          <w:highlight w:val="none"/>
        </w:rPr>
      </w:pPr>
      <w:r>
        <w:rPr>
          <w:rFonts w:hint="eastAsia" w:ascii="宋体" w:hAnsi="宋体" w:eastAsia="宋体" w:cs="宋体"/>
          <w:color w:val="000000"/>
          <w:highlight w:val="none"/>
          <w:lang w:eastAsia="zh-CN"/>
        </w:rPr>
        <w:t>（参考格式，投标人可根据招标文件要求和自身实际情况修改）</w:t>
      </w:r>
    </w:p>
    <w:p w14:paraId="6206FED9">
      <w:pPr>
        <w:keepNext w:val="0"/>
        <w:keepLines w:val="0"/>
        <w:pageBreakBefore w:val="0"/>
        <w:widowControl w:val="0"/>
        <w:kinsoku/>
        <w:wordWrap/>
        <w:overflowPunct/>
        <w:topLinePunct w:val="0"/>
        <w:autoSpaceDE/>
        <w:autoSpaceDN/>
        <w:bidi w:val="0"/>
        <w:adjustRightInd/>
        <w:snapToGrid w:val="0"/>
        <w:textAlignment w:val="auto"/>
        <w:outlineLvl w:val="9"/>
        <w:rPr>
          <w:rFonts w:hint="eastAsia" w:ascii="宋体" w:hAnsi="宋体" w:eastAsia="宋体" w:cs="宋体"/>
          <w:b/>
          <w:color w:val="000000"/>
          <w:szCs w:val="21"/>
          <w:highlight w:val="none"/>
        </w:rPr>
      </w:pPr>
    </w:p>
    <w:tbl>
      <w:tblPr>
        <w:tblStyle w:val="8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249"/>
        <w:gridCol w:w="875"/>
        <w:gridCol w:w="941"/>
        <w:gridCol w:w="959"/>
        <w:gridCol w:w="940"/>
        <w:gridCol w:w="1514"/>
        <w:gridCol w:w="1075"/>
        <w:gridCol w:w="1024"/>
        <w:gridCol w:w="987"/>
      </w:tblGrid>
      <w:tr w14:paraId="7A0ED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restart"/>
            <w:shd w:val="clear" w:color="auto" w:fill="FFFFFF" w:themeFill="background1"/>
            <w:noWrap w:val="0"/>
            <w:vAlign w:val="center"/>
          </w:tcPr>
          <w:p w14:paraId="49C832F4">
            <w:pPr>
              <w:spacing w:line="360" w:lineRule="exact"/>
              <w:jc w:val="center"/>
              <w:rPr>
                <w:rFonts w:hint="eastAsia" w:ascii="宋体" w:hAnsi="宋体" w:cs="宋体"/>
                <w:b/>
                <w:sz w:val="22"/>
              </w:rPr>
            </w:pPr>
            <w:r>
              <w:rPr>
                <w:rFonts w:hint="eastAsia" w:ascii="宋体" w:hAnsi="宋体" w:cs="宋体"/>
                <w:b/>
                <w:sz w:val="22"/>
              </w:rPr>
              <w:t>类别</w:t>
            </w:r>
          </w:p>
        </w:tc>
        <w:tc>
          <w:tcPr>
            <w:tcW w:w="457" w:type="pct"/>
            <w:vMerge w:val="restart"/>
            <w:shd w:val="clear" w:color="auto" w:fill="FFFFFF" w:themeFill="background1"/>
            <w:noWrap w:val="0"/>
            <w:vAlign w:val="center"/>
          </w:tcPr>
          <w:p w14:paraId="44AA52EA">
            <w:pPr>
              <w:spacing w:line="360" w:lineRule="exact"/>
              <w:jc w:val="center"/>
              <w:rPr>
                <w:rFonts w:hint="eastAsia" w:ascii="宋体" w:hAnsi="宋体" w:cs="宋体"/>
                <w:b/>
                <w:sz w:val="22"/>
              </w:rPr>
            </w:pPr>
            <w:r>
              <w:rPr>
                <w:rFonts w:hint="eastAsia" w:ascii="宋体" w:hAnsi="宋体" w:cs="宋体"/>
                <w:b/>
                <w:sz w:val="22"/>
              </w:rPr>
              <w:t>姓名</w:t>
            </w:r>
          </w:p>
        </w:tc>
        <w:tc>
          <w:tcPr>
            <w:tcW w:w="492" w:type="pct"/>
            <w:vMerge w:val="restart"/>
            <w:shd w:val="clear" w:color="auto" w:fill="FFFFFF" w:themeFill="background1"/>
            <w:noWrap w:val="0"/>
            <w:vAlign w:val="center"/>
          </w:tcPr>
          <w:p w14:paraId="51178D30">
            <w:pPr>
              <w:spacing w:line="360" w:lineRule="exact"/>
              <w:jc w:val="center"/>
              <w:rPr>
                <w:rFonts w:hint="eastAsia" w:ascii="宋体" w:hAnsi="宋体" w:cs="宋体"/>
                <w:b/>
                <w:sz w:val="22"/>
              </w:rPr>
            </w:pPr>
            <w:r>
              <w:rPr>
                <w:rFonts w:hint="eastAsia" w:ascii="宋体" w:hAnsi="宋体" w:cs="宋体"/>
                <w:b/>
                <w:sz w:val="22"/>
              </w:rPr>
              <w:t>职务</w:t>
            </w:r>
          </w:p>
        </w:tc>
        <w:tc>
          <w:tcPr>
            <w:tcW w:w="501" w:type="pct"/>
            <w:vMerge w:val="restart"/>
            <w:shd w:val="clear" w:color="auto" w:fill="FFFFFF" w:themeFill="background1"/>
            <w:noWrap w:val="0"/>
            <w:vAlign w:val="center"/>
          </w:tcPr>
          <w:p w14:paraId="51578FB5">
            <w:pPr>
              <w:spacing w:line="360" w:lineRule="exact"/>
              <w:jc w:val="center"/>
              <w:rPr>
                <w:rFonts w:hint="eastAsia" w:ascii="宋体" w:hAnsi="宋体" w:cs="宋体"/>
                <w:b/>
                <w:sz w:val="22"/>
              </w:rPr>
            </w:pPr>
            <w:r>
              <w:rPr>
                <w:rFonts w:hint="eastAsia" w:ascii="宋体" w:hAnsi="宋体" w:cs="宋体"/>
                <w:b/>
                <w:sz w:val="22"/>
              </w:rPr>
              <w:t>职称</w:t>
            </w:r>
          </w:p>
        </w:tc>
        <w:tc>
          <w:tcPr>
            <w:tcW w:w="491" w:type="pct"/>
            <w:vMerge w:val="restart"/>
            <w:shd w:val="clear" w:color="auto" w:fill="FFFFFF" w:themeFill="background1"/>
            <w:noWrap w:val="0"/>
            <w:vAlign w:val="center"/>
          </w:tcPr>
          <w:p w14:paraId="18DBAF03">
            <w:pPr>
              <w:spacing w:line="360" w:lineRule="exact"/>
              <w:jc w:val="center"/>
              <w:rPr>
                <w:rFonts w:hint="eastAsia" w:ascii="宋体" w:hAnsi="宋体" w:cs="宋体"/>
                <w:b/>
                <w:sz w:val="22"/>
              </w:rPr>
            </w:pPr>
            <w:r>
              <w:rPr>
                <w:rFonts w:hint="eastAsia" w:ascii="宋体" w:hAnsi="宋体" w:cs="宋体"/>
                <w:b/>
                <w:sz w:val="22"/>
              </w:rPr>
              <w:t>学历</w:t>
            </w:r>
          </w:p>
        </w:tc>
        <w:tc>
          <w:tcPr>
            <w:tcW w:w="2404" w:type="pct"/>
            <w:gridSpan w:val="4"/>
            <w:shd w:val="clear" w:color="auto" w:fill="FFFFFF" w:themeFill="background1"/>
            <w:noWrap w:val="0"/>
            <w:vAlign w:val="top"/>
          </w:tcPr>
          <w:p w14:paraId="0AE21A60">
            <w:pPr>
              <w:spacing w:line="360" w:lineRule="exact"/>
              <w:jc w:val="center"/>
              <w:rPr>
                <w:rFonts w:hint="eastAsia" w:ascii="宋体" w:hAnsi="宋体" w:cs="宋体"/>
                <w:b/>
                <w:sz w:val="22"/>
              </w:rPr>
            </w:pPr>
            <w:r>
              <w:rPr>
                <w:rFonts w:hint="eastAsia" w:ascii="宋体" w:hAnsi="宋体" w:cs="宋体"/>
                <w:b/>
                <w:sz w:val="22"/>
              </w:rPr>
              <w:t>上岗资格证明（执业资格或专业等级）</w:t>
            </w:r>
          </w:p>
        </w:tc>
      </w:tr>
      <w:tr w14:paraId="37D12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jc w:val="center"/>
        </w:trPr>
        <w:tc>
          <w:tcPr>
            <w:tcW w:w="653" w:type="pct"/>
            <w:vMerge w:val="continue"/>
            <w:shd w:val="clear" w:color="auto" w:fill="FFFFFF" w:themeFill="background1"/>
            <w:noWrap w:val="0"/>
            <w:vAlign w:val="top"/>
          </w:tcPr>
          <w:p w14:paraId="5FD85DD2">
            <w:pPr>
              <w:spacing w:line="360" w:lineRule="exact"/>
              <w:rPr>
                <w:rFonts w:hint="eastAsia" w:ascii="宋体" w:hAnsi="宋体" w:cs="宋体"/>
                <w:b/>
                <w:sz w:val="22"/>
              </w:rPr>
            </w:pPr>
          </w:p>
        </w:tc>
        <w:tc>
          <w:tcPr>
            <w:tcW w:w="457" w:type="pct"/>
            <w:vMerge w:val="continue"/>
            <w:shd w:val="clear" w:color="auto" w:fill="FFFFFF" w:themeFill="background1"/>
            <w:noWrap w:val="0"/>
            <w:vAlign w:val="top"/>
          </w:tcPr>
          <w:p w14:paraId="0740E3E2">
            <w:pPr>
              <w:spacing w:line="360" w:lineRule="exact"/>
              <w:rPr>
                <w:rFonts w:hint="eastAsia" w:ascii="宋体" w:hAnsi="宋体" w:cs="宋体"/>
                <w:b/>
                <w:sz w:val="22"/>
              </w:rPr>
            </w:pPr>
          </w:p>
        </w:tc>
        <w:tc>
          <w:tcPr>
            <w:tcW w:w="492" w:type="pct"/>
            <w:vMerge w:val="continue"/>
            <w:shd w:val="clear" w:color="auto" w:fill="FFFFFF" w:themeFill="background1"/>
            <w:noWrap w:val="0"/>
            <w:vAlign w:val="top"/>
          </w:tcPr>
          <w:p w14:paraId="1BBFAC7B">
            <w:pPr>
              <w:spacing w:line="360" w:lineRule="exact"/>
              <w:rPr>
                <w:rFonts w:hint="eastAsia" w:ascii="宋体" w:hAnsi="宋体" w:cs="宋体"/>
                <w:b/>
                <w:sz w:val="22"/>
              </w:rPr>
            </w:pPr>
          </w:p>
        </w:tc>
        <w:tc>
          <w:tcPr>
            <w:tcW w:w="501" w:type="pct"/>
            <w:vMerge w:val="continue"/>
            <w:shd w:val="clear" w:color="auto" w:fill="FFFFFF" w:themeFill="background1"/>
            <w:noWrap w:val="0"/>
            <w:vAlign w:val="top"/>
          </w:tcPr>
          <w:p w14:paraId="6F9DCE58">
            <w:pPr>
              <w:spacing w:line="360" w:lineRule="exact"/>
              <w:rPr>
                <w:rFonts w:hint="eastAsia" w:ascii="宋体" w:hAnsi="宋体" w:cs="宋体"/>
                <w:b/>
                <w:sz w:val="22"/>
              </w:rPr>
            </w:pPr>
          </w:p>
        </w:tc>
        <w:tc>
          <w:tcPr>
            <w:tcW w:w="491" w:type="pct"/>
            <w:vMerge w:val="continue"/>
            <w:shd w:val="clear" w:color="auto" w:fill="FFFFFF" w:themeFill="background1"/>
            <w:noWrap w:val="0"/>
            <w:vAlign w:val="top"/>
          </w:tcPr>
          <w:p w14:paraId="5390CB8E">
            <w:pPr>
              <w:spacing w:line="360" w:lineRule="exact"/>
              <w:rPr>
                <w:rFonts w:hint="eastAsia" w:ascii="宋体" w:hAnsi="宋体" w:cs="宋体"/>
                <w:b/>
                <w:sz w:val="22"/>
              </w:rPr>
            </w:pPr>
          </w:p>
        </w:tc>
        <w:tc>
          <w:tcPr>
            <w:tcW w:w="791" w:type="pct"/>
            <w:shd w:val="clear" w:color="auto" w:fill="FFFFFF" w:themeFill="background1"/>
            <w:noWrap w:val="0"/>
            <w:vAlign w:val="top"/>
          </w:tcPr>
          <w:p w14:paraId="53777B63">
            <w:pPr>
              <w:spacing w:line="360" w:lineRule="exact"/>
              <w:jc w:val="center"/>
              <w:rPr>
                <w:rFonts w:hint="eastAsia" w:ascii="宋体" w:hAnsi="宋体" w:cs="宋体"/>
                <w:b/>
                <w:sz w:val="22"/>
              </w:rPr>
            </w:pPr>
            <w:r>
              <w:rPr>
                <w:rFonts w:hint="eastAsia" w:ascii="宋体" w:hAnsi="宋体" w:cs="宋体"/>
                <w:b/>
                <w:sz w:val="22"/>
              </w:rPr>
              <w:t>证书名称</w:t>
            </w:r>
          </w:p>
        </w:tc>
        <w:tc>
          <w:tcPr>
            <w:tcW w:w="562" w:type="pct"/>
            <w:shd w:val="clear" w:color="auto" w:fill="FFFFFF" w:themeFill="background1"/>
            <w:noWrap w:val="0"/>
            <w:vAlign w:val="top"/>
          </w:tcPr>
          <w:p w14:paraId="293A112E">
            <w:pPr>
              <w:spacing w:line="360" w:lineRule="exact"/>
              <w:jc w:val="center"/>
              <w:rPr>
                <w:rFonts w:hint="eastAsia" w:ascii="宋体" w:hAnsi="宋体" w:cs="宋体"/>
                <w:b/>
                <w:sz w:val="22"/>
              </w:rPr>
            </w:pPr>
            <w:r>
              <w:rPr>
                <w:rFonts w:hint="eastAsia" w:ascii="宋体" w:hAnsi="宋体" w:cs="宋体"/>
                <w:b/>
                <w:sz w:val="22"/>
              </w:rPr>
              <w:t>级别</w:t>
            </w:r>
          </w:p>
        </w:tc>
        <w:tc>
          <w:tcPr>
            <w:tcW w:w="535" w:type="pct"/>
            <w:shd w:val="clear" w:color="auto" w:fill="FFFFFF" w:themeFill="background1"/>
            <w:noWrap w:val="0"/>
            <w:vAlign w:val="top"/>
          </w:tcPr>
          <w:p w14:paraId="057806ED">
            <w:pPr>
              <w:spacing w:line="360" w:lineRule="exact"/>
              <w:jc w:val="center"/>
              <w:rPr>
                <w:rFonts w:hint="eastAsia" w:ascii="宋体" w:hAnsi="宋体" w:cs="宋体"/>
                <w:b/>
                <w:sz w:val="22"/>
              </w:rPr>
            </w:pPr>
            <w:r>
              <w:rPr>
                <w:rFonts w:hint="eastAsia" w:ascii="宋体" w:hAnsi="宋体" w:cs="宋体"/>
                <w:b/>
                <w:sz w:val="22"/>
              </w:rPr>
              <w:t>证号</w:t>
            </w:r>
          </w:p>
        </w:tc>
        <w:tc>
          <w:tcPr>
            <w:tcW w:w="514" w:type="pct"/>
            <w:shd w:val="clear" w:color="auto" w:fill="FFFFFF" w:themeFill="background1"/>
            <w:noWrap w:val="0"/>
            <w:vAlign w:val="top"/>
          </w:tcPr>
          <w:p w14:paraId="03004724">
            <w:pPr>
              <w:spacing w:line="360" w:lineRule="exact"/>
              <w:jc w:val="center"/>
              <w:rPr>
                <w:rFonts w:hint="eastAsia" w:ascii="宋体" w:hAnsi="宋体" w:cs="宋体"/>
                <w:b/>
                <w:sz w:val="22"/>
              </w:rPr>
            </w:pPr>
            <w:r>
              <w:rPr>
                <w:rFonts w:hint="eastAsia" w:ascii="宋体" w:hAnsi="宋体" w:cs="宋体"/>
                <w:b/>
                <w:sz w:val="22"/>
              </w:rPr>
              <w:t>专业</w:t>
            </w:r>
          </w:p>
        </w:tc>
      </w:tr>
      <w:tr w14:paraId="6391F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250" w:hRule="atLeast"/>
          <w:jc w:val="center"/>
        </w:trPr>
        <w:tc>
          <w:tcPr>
            <w:tcW w:w="653" w:type="pct"/>
            <w:shd w:val="clear" w:color="auto" w:fill="FFFFFF" w:themeFill="background1"/>
            <w:noWrap w:val="0"/>
            <w:vAlign w:val="center"/>
          </w:tcPr>
          <w:p w14:paraId="16CDA5E5">
            <w:pPr>
              <w:spacing w:line="360" w:lineRule="exact"/>
              <w:jc w:val="center"/>
              <w:rPr>
                <w:rFonts w:hint="eastAsia" w:ascii="宋体" w:hAnsi="宋体" w:cs="宋体"/>
                <w:kern w:val="0"/>
                <w:sz w:val="22"/>
              </w:rPr>
            </w:pPr>
            <w:r>
              <w:rPr>
                <w:rFonts w:hint="eastAsia" w:ascii="宋体" w:hAnsi="宋体" w:cs="宋体"/>
                <w:kern w:val="0"/>
                <w:sz w:val="22"/>
              </w:rPr>
              <w:t>项目</w:t>
            </w:r>
          </w:p>
          <w:p w14:paraId="0EBDE9C1">
            <w:pPr>
              <w:spacing w:line="360" w:lineRule="exact"/>
              <w:jc w:val="center"/>
              <w:rPr>
                <w:rFonts w:hint="eastAsia" w:ascii="宋体" w:hAnsi="宋体" w:cs="宋体"/>
                <w:bCs/>
                <w:sz w:val="22"/>
              </w:rPr>
            </w:pPr>
            <w:r>
              <w:rPr>
                <w:rFonts w:hint="eastAsia" w:ascii="宋体" w:hAnsi="宋体" w:cs="宋体"/>
                <w:kern w:val="0"/>
                <w:sz w:val="22"/>
              </w:rPr>
              <w:t>负责人</w:t>
            </w:r>
          </w:p>
        </w:tc>
        <w:tc>
          <w:tcPr>
            <w:tcW w:w="457" w:type="pct"/>
            <w:shd w:val="clear" w:color="auto" w:fill="FFFFFF" w:themeFill="background1"/>
            <w:noWrap w:val="0"/>
            <w:vAlign w:val="top"/>
          </w:tcPr>
          <w:p w14:paraId="7E2601C0">
            <w:pPr>
              <w:spacing w:line="360" w:lineRule="exact"/>
              <w:rPr>
                <w:rFonts w:hint="eastAsia" w:ascii="宋体" w:hAnsi="宋体" w:cs="宋体"/>
                <w:bCs/>
                <w:sz w:val="22"/>
              </w:rPr>
            </w:pPr>
          </w:p>
        </w:tc>
        <w:tc>
          <w:tcPr>
            <w:tcW w:w="492" w:type="pct"/>
            <w:shd w:val="clear" w:color="auto" w:fill="FFFFFF" w:themeFill="background1"/>
            <w:noWrap w:val="0"/>
            <w:vAlign w:val="top"/>
          </w:tcPr>
          <w:p w14:paraId="01C9B1E4">
            <w:pPr>
              <w:spacing w:line="360" w:lineRule="exact"/>
              <w:rPr>
                <w:rFonts w:hint="eastAsia" w:ascii="宋体" w:hAnsi="宋体" w:cs="宋体"/>
                <w:bCs/>
                <w:sz w:val="22"/>
              </w:rPr>
            </w:pPr>
          </w:p>
        </w:tc>
        <w:tc>
          <w:tcPr>
            <w:tcW w:w="501" w:type="pct"/>
            <w:shd w:val="clear" w:color="auto" w:fill="FFFFFF" w:themeFill="background1"/>
            <w:noWrap w:val="0"/>
            <w:vAlign w:val="top"/>
          </w:tcPr>
          <w:p w14:paraId="0443081B">
            <w:pPr>
              <w:spacing w:line="360" w:lineRule="exact"/>
              <w:rPr>
                <w:rFonts w:hint="eastAsia" w:ascii="宋体" w:hAnsi="宋体" w:cs="宋体"/>
                <w:bCs/>
                <w:sz w:val="22"/>
              </w:rPr>
            </w:pPr>
          </w:p>
        </w:tc>
        <w:tc>
          <w:tcPr>
            <w:tcW w:w="491" w:type="pct"/>
            <w:shd w:val="clear" w:color="auto" w:fill="FFFFFF" w:themeFill="background1"/>
            <w:noWrap w:val="0"/>
            <w:vAlign w:val="top"/>
          </w:tcPr>
          <w:p w14:paraId="110E4F16">
            <w:pPr>
              <w:spacing w:line="360" w:lineRule="exact"/>
              <w:rPr>
                <w:rFonts w:hint="eastAsia" w:ascii="宋体" w:hAnsi="宋体" w:cs="宋体"/>
                <w:bCs/>
                <w:sz w:val="22"/>
              </w:rPr>
            </w:pPr>
          </w:p>
        </w:tc>
        <w:tc>
          <w:tcPr>
            <w:tcW w:w="791" w:type="pct"/>
            <w:shd w:val="clear" w:color="auto" w:fill="FFFFFF" w:themeFill="background1"/>
            <w:noWrap w:val="0"/>
            <w:vAlign w:val="top"/>
          </w:tcPr>
          <w:p w14:paraId="20EAA482">
            <w:pPr>
              <w:spacing w:line="360" w:lineRule="exact"/>
              <w:rPr>
                <w:rFonts w:hint="eastAsia" w:ascii="宋体" w:hAnsi="宋体" w:cs="宋体"/>
                <w:bCs/>
                <w:sz w:val="22"/>
              </w:rPr>
            </w:pPr>
          </w:p>
        </w:tc>
        <w:tc>
          <w:tcPr>
            <w:tcW w:w="562" w:type="pct"/>
            <w:shd w:val="clear" w:color="auto" w:fill="FFFFFF" w:themeFill="background1"/>
            <w:noWrap w:val="0"/>
            <w:vAlign w:val="top"/>
          </w:tcPr>
          <w:p w14:paraId="4A696C47">
            <w:pPr>
              <w:spacing w:line="360" w:lineRule="exact"/>
              <w:rPr>
                <w:rFonts w:hint="eastAsia" w:ascii="宋体" w:hAnsi="宋体" w:cs="宋体"/>
                <w:bCs/>
                <w:sz w:val="22"/>
              </w:rPr>
            </w:pPr>
          </w:p>
        </w:tc>
        <w:tc>
          <w:tcPr>
            <w:tcW w:w="535" w:type="pct"/>
            <w:shd w:val="clear" w:color="auto" w:fill="FFFFFF" w:themeFill="background1"/>
            <w:noWrap w:val="0"/>
            <w:vAlign w:val="top"/>
          </w:tcPr>
          <w:p w14:paraId="406E2E10">
            <w:pPr>
              <w:spacing w:line="360" w:lineRule="exact"/>
              <w:rPr>
                <w:rFonts w:hint="eastAsia" w:ascii="宋体" w:hAnsi="宋体" w:cs="宋体"/>
                <w:bCs/>
                <w:sz w:val="22"/>
              </w:rPr>
            </w:pPr>
          </w:p>
        </w:tc>
        <w:tc>
          <w:tcPr>
            <w:tcW w:w="514" w:type="pct"/>
            <w:shd w:val="clear" w:color="auto" w:fill="FFFFFF" w:themeFill="background1"/>
            <w:noWrap w:val="0"/>
            <w:vAlign w:val="top"/>
          </w:tcPr>
          <w:p w14:paraId="02A1792B">
            <w:pPr>
              <w:spacing w:line="360" w:lineRule="exact"/>
              <w:rPr>
                <w:rFonts w:hint="eastAsia" w:ascii="宋体" w:hAnsi="宋体" w:cs="宋体"/>
                <w:bCs/>
                <w:sz w:val="22"/>
              </w:rPr>
            </w:pPr>
          </w:p>
        </w:tc>
      </w:tr>
      <w:tr w14:paraId="24B7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restart"/>
            <w:shd w:val="clear" w:color="auto" w:fill="FFFFFF" w:themeFill="background1"/>
            <w:noWrap w:val="0"/>
            <w:vAlign w:val="center"/>
          </w:tcPr>
          <w:p w14:paraId="551D8199">
            <w:pPr>
              <w:spacing w:line="360" w:lineRule="exact"/>
              <w:jc w:val="center"/>
              <w:rPr>
                <w:rFonts w:hint="eastAsia" w:ascii="宋体" w:hAnsi="宋体" w:cs="宋体"/>
                <w:bCs/>
                <w:sz w:val="22"/>
              </w:rPr>
            </w:pPr>
            <w:r>
              <w:rPr>
                <w:rFonts w:hint="eastAsia" w:ascii="宋体" w:hAnsi="宋体" w:cs="宋体"/>
                <w:kern w:val="0"/>
                <w:sz w:val="22"/>
              </w:rPr>
              <w:t>其他项目组成员</w:t>
            </w:r>
          </w:p>
        </w:tc>
        <w:tc>
          <w:tcPr>
            <w:tcW w:w="457" w:type="pct"/>
            <w:shd w:val="clear" w:color="auto" w:fill="FFFFFF" w:themeFill="background1"/>
            <w:noWrap w:val="0"/>
            <w:vAlign w:val="top"/>
          </w:tcPr>
          <w:p w14:paraId="546DC9FB">
            <w:pPr>
              <w:spacing w:line="360" w:lineRule="exact"/>
              <w:rPr>
                <w:rFonts w:hint="eastAsia" w:ascii="宋体" w:hAnsi="宋体" w:cs="宋体"/>
                <w:bCs/>
                <w:sz w:val="22"/>
              </w:rPr>
            </w:pPr>
          </w:p>
        </w:tc>
        <w:tc>
          <w:tcPr>
            <w:tcW w:w="492" w:type="pct"/>
            <w:shd w:val="clear" w:color="auto" w:fill="FFFFFF" w:themeFill="background1"/>
            <w:noWrap w:val="0"/>
            <w:vAlign w:val="top"/>
          </w:tcPr>
          <w:p w14:paraId="7AF3083B">
            <w:pPr>
              <w:spacing w:line="360" w:lineRule="exact"/>
              <w:rPr>
                <w:rFonts w:hint="eastAsia" w:ascii="宋体" w:hAnsi="宋体" w:cs="宋体"/>
                <w:bCs/>
                <w:sz w:val="22"/>
              </w:rPr>
            </w:pPr>
          </w:p>
        </w:tc>
        <w:tc>
          <w:tcPr>
            <w:tcW w:w="501" w:type="pct"/>
            <w:shd w:val="clear" w:color="auto" w:fill="FFFFFF" w:themeFill="background1"/>
            <w:noWrap w:val="0"/>
            <w:vAlign w:val="top"/>
          </w:tcPr>
          <w:p w14:paraId="23FA385D">
            <w:pPr>
              <w:spacing w:line="360" w:lineRule="exact"/>
              <w:rPr>
                <w:rFonts w:hint="eastAsia" w:ascii="宋体" w:hAnsi="宋体" w:cs="宋体"/>
                <w:bCs/>
                <w:sz w:val="22"/>
              </w:rPr>
            </w:pPr>
          </w:p>
        </w:tc>
        <w:tc>
          <w:tcPr>
            <w:tcW w:w="491" w:type="pct"/>
            <w:shd w:val="clear" w:color="auto" w:fill="FFFFFF" w:themeFill="background1"/>
            <w:noWrap w:val="0"/>
            <w:vAlign w:val="top"/>
          </w:tcPr>
          <w:p w14:paraId="7D70A34D">
            <w:pPr>
              <w:spacing w:line="360" w:lineRule="exact"/>
              <w:rPr>
                <w:rFonts w:hint="eastAsia" w:ascii="宋体" w:hAnsi="宋体" w:cs="宋体"/>
                <w:bCs/>
                <w:sz w:val="22"/>
              </w:rPr>
            </w:pPr>
          </w:p>
        </w:tc>
        <w:tc>
          <w:tcPr>
            <w:tcW w:w="791" w:type="pct"/>
            <w:shd w:val="clear" w:color="auto" w:fill="FFFFFF" w:themeFill="background1"/>
            <w:noWrap w:val="0"/>
            <w:vAlign w:val="top"/>
          </w:tcPr>
          <w:p w14:paraId="604026A7">
            <w:pPr>
              <w:spacing w:line="360" w:lineRule="exact"/>
              <w:rPr>
                <w:rFonts w:hint="eastAsia" w:ascii="宋体" w:hAnsi="宋体" w:cs="宋体"/>
                <w:bCs/>
                <w:sz w:val="22"/>
              </w:rPr>
            </w:pPr>
          </w:p>
        </w:tc>
        <w:tc>
          <w:tcPr>
            <w:tcW w:w="562" w:type="pct"/>
            <w:shd w:val="clear" w:color="auto" w:fill="FFFFFF" w:themeFill="background1"/>
            <w:noWrap w:val="0"/>
            <w:vAlign w:val="top"/>
          </w:tcPr>
          <w:p w14:paraId="5EDBDFEC">
            <w:pPr>
              <w:spacing w:line="360" w:lineRule="exact"/>
              <w:rPr>
                <w:rFonts w:hint="eastAsia" w:ascii="宋体" w:hAnsi="宋体" w:cs="宋体"/>
                <w:bCs/>
                <w:sz w:val="22"/>
              </w:rPr>
            </w:pPr>
          </w:p>
        </w:tc>
        <w:tc>
          <w:tcPr>
            <w:tcW w:w="535" w:type="pct"/>
            <w:shd w:val="clear" w:color="auto" w:fill="FFFFFF" w:themeFill="background1"/>
            <w:noWrap w:val="0"/>
            <w:vAlign w:val="top"/>
          </w:tcPr>
          <w:p w14:paraId="1AE06019">
            <w:pPr>
              <w:spacing w:line="360" w:lineRule="exact"/>
              <w:rPr>
                <w:rFonts w:hint="eastAsia" w:ascii="宋体" w:hAnsi="宋体" w:cs="宋体"/>
                <w:bCs/>
                <w:sz w:val="22"/>
              </w:rPr>
            </w:pPr>
          </w:p>
        </w:tc>
        <w:tc>
          <w:tcPr>
            <w:tcW w:w="514" w:type="pct"/>
            <w:shd w:val="clear" w:color="auto" w:fill="FFFFFF" w:themeFill="background1"/>
            <w:noWrap w:val="0"/>
            <w:vAlign w:val="top"/>
          </w:tcPr>
          <w:p w14:paraId="61FDE3D4">
            <w:pPr>
              <w:spacing w:line="360" w:lineRule="exact"/>
              <w:rPr>
                <w:rFonts w:hint="eastAsia" w:ascii="宋体" w:hAnsi="宋体" w:cs="宋体"/>
                <w:bCs/>
                <w:sz w:val="22"/>
              </w:rPr>
            </w:pPr>
          </w:p>
        </w:tc>
      </w:tr>
      <w:tr w14:paraId="22EEE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53428EDC">
            <w:pPr>
              <w:spacing w:line="360" w:lineRule="exact"/>
              <w:rPr>
                <w:rFonts w:hint="eastAsia" w:ascii="宋体" w:hAnsi="宋体" w:cs="宋体"/>
                <w:bCs/>
                <w:sz w:val="22"/>
              </w:rPr>
            </w:pPr>
          </w:p>
        </w:tc>
        <w:tc>
          <w:tcPr>
            <w:tcW w:w="457" w:type="pct"/>
            <w:shd w:val="clear" w:color="auto" w:fill="FFFFFF" w:themeFill="background1"/>
            <w:noWrap w:val="0"/>
            <w:vAlign w:val="top"/>
          </w:tcPr>
          <w:p w14:paraId="5278AAD9">
            <w:pPr>
              <w:spacing w:line="360" w:lineRule="exact"/>
              <w:rPr>
                <w:rFonts w:hint="eastAsia" w:ascii="宋体" w:hAnsi="宋体" w:cs="宋体"/>
                <w:bCs/>
                <w:sz w:val="22"/>
              </w:rPr>
            </w:pPr>
          </w:p>
        </w:tc>
        <w:tc>
          <w:tcPr>
            <w:tcW w:w="492" w:type="pct"/>
            <w:shd w:val="clear" w:color="auto" w:fill="FFFFFF" w:themeFill="background1"/>
            <w:noWrap w:val="0"/>
            <w:vAlign w:val="top"/>
          </w:tcPr>
          <w:p w14:paraId="4F422495">
            <w:pPr>
              <w:spacing w:line="360" w:lineRule="exact"/>
              <w:rPr>
                <w:rFonts w:hint="eastAsia" w:ascii="宋体" w:hAnsi="宋体" w:cs="宋体"/>
                <w:bCs/>
                <w:sz w:val="22"/>
              </w:rPr>
            </w:pPr>
          </w:p>
        </w:tc>
        <w:tc>
          <w:tcPr>
            <w:tcW w:w="501" w:type="pct"/>
            <w:shd w:val="clear" w:color="auto" w:fill="FFFFFF" w:themeFill="background1"/>
            <w:noWrap w:val="0"/>
            <w:vAlign w:val="top"/>
          </w:tcPr>
          <w:p w14:paraId="53D749F2">
            <w:pPr>
              <w:spacing w:line="360" w:lineRule="exact"/>
              <w:rPr>
                <w:rFonts w:hint="eastAsia" w:ascii="宋体" w:hAnsi="宋体" w:cs="宋体"/>
                <w:bCs/>
                <w:sz w:val="22"/>
              </w:rPr>
            </w:pPr>
          </w:p>
        </w:tc>
        <w:tc>
          <w:tcPr>
            <w:tcW w:w="491" w:type="pct"/>
            <w:shd w:val="clear" w:color="auto" w:fill="FFFFFF" w:themeFill="background1"/>
            <w:noWrap w:val="0"/>
            <w:vAlign w:val="top"/>
          </w:tcPr>
          <w:p w14:paraId="04593543">
            <w:pPr>
              <w:spacing w:line="360" w:lineRule="exact"/>
              <w:rPr>
                <w:rFonts w:hint="eastAsia" w:ascii="宋体" w:hAnsi="宋体" w:cs="宋体"/>
                <w:bCs/>
                <w:sz w:val="22"/>
              </w:rPr>
            </w:pPr>
          </w:p>
        </w:tc>
        <w:tc>
          <w:tcPr>
            <w:tcW w:w="791" w:type="pct"/>
            <w:shd w:val="clear" w:color="auto" w:fill="FFFFFF" w:themeFill="background1"/>
            <w:noWrap w:val="0"/>
            <w:vAlign w:val="top"/>
          </w:tcPr>
          <w:p w14:paraId="4BA06EDB">
            <w:pPr>
              <w:spacing w:line="360" w:lineRule="exact"/>
              <w:rPr>
                <w:rFonts w:hint="eastAsia" w:ascii="宋体" w:hAnsi="宋体" w:cs="宋体"/>
                <w:bCs/>
                <w:sz w:val="22"/>
              </w:rPr>
            </w:pPr>
          </w:p>
        </w:tc>
        <w:tc>
          <w:tcPr>
            <w:tcW w:w="562" w:type="pct"/>
            <w:shd w:val="clear" w:color="auto" w:fill="FFFFFF" w:themeFill="background1"/>
            <w:noWrap w:val="0"/>
            <w:vAlign w:val="top"/>
          </w:tcPr>
          <w:p w14:paraId="5EEBB07D">
            <w:pPr>
              <w:spacing w:line="360" w:lineRule="exact"/>
              <w:rPr>
                <w:rFonts w:hint="eastAsia" w:ascii="宋体" w:hAnsi="宋体" w:cs="宋体"/>
                <w:bCs/>
                <w:sz w:val="22"/>
              </w:rPr>
            </w:pPr>
          </w:p>
        </w:tc>
        <w:tc>
          <w:tcPr>
            <w:tcW w:w="535" w:type="pct"/>
            <w:shd w:val="clear" w:color="auto" w:fill="FFFFFF" w:themeFill="background1"/>
            <w:noWrap w:val="0"/>
            <w:vAlign w:val="top"/>
          </w:tcPr>
          <w:p w14:paraId="65FC0D0D">
            <w:pPr>
              <w:spacing w:line="360" w:lineRule="exact"/>
              <w:rPr>
                <w:rFonts w:hint="eastAsia" w:ascii="宋体" w:hAnsi="宋体" w:cs="宋体"/>
                <w:bCs/>
                <w:sz w:val="22"/>
              </w:rPr>
            </w:pPr>
          </w:p>
        </w:tc>
        <w:tc>
          <w:tcPr>
            <w:tcW w:w="514" w:type="pct"/>
            <w:shd w:val="clear" w:color="auto" w:fill="FFFFFF" w:themeFill="background1"/>
            <w:noWrap w:val="0"/>
            <w:vAlign w:val="top"/>
          </w:tcPr>
          <w:p w14:paraId="083C3C38">
            <w:pPr>
              <w:spacing w:line="360" w:lineRule="exact"/>
              <w:rPr>
                <w:rFonts w:hint="eastAsia" w:ascii="宋体" w:hAnsi="宋体" w:cs="宋体"/>
                <w:bCs/>
                <w:sz w:val="22"/>
              </w:rPr>
            </w:pPr>
          </w:p>
        </w:tc>
      </w:tr>
      <w:tr w14:paraId="6E2A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4E2FA05B">
            <w:pPr>
              <w:spacing w:line="360" w:lineRule="exact"/>
              <w:rPr>
                <w:rFonts w:hint="eastAsia" w:ascii="宋体" w:hAnsi="宋体" w:cs="宋体"/>
                <w:bCs/>
                <w:sz w:val="22"/>
              </w:rPr>
            </w:pPr>
          </w:p>
        </w:tc>
        <w:tc>
          <w:tcPr>
            <w:tcW w:w="457" w:type="pct"/>
            <w:shd w:val="clear" w:color="auto" w:fill="FFFFFF" w:themeFill="background1"/>
            <w:noWrap w:val="0"/>
            <w:vAlign w:val="top"/>
          </w:tcPr>
          <w:p w14:paraId="23428A3D">
            <w:pPr>
              <w:spacing w:line="360" w:lineRule="exact"/>
              <w:rPr>
                <w:rFonts w:hint="eastAsia" w:ascii="宋体" w:hAnsi="宋体" w:cs="宋体"/>
                <w:bCs/>
                <w:sz w:val="22"/>
              </w:rPr>
            </w:pPr>
          </w:p>
        </w:tc>
        <w:tc>
          <w:tcPr>
            <w:tcW w:w="492" w:type="pct"/>
            <w:shd w:val="clear" w:color="auto" w:fill="FFFFFF" w:themeFill="background1"/>
            <w:noWrap w:val="0"/>
            <w:vAlign w:val="top"/>
          </w:tcPr>
          <w:p w14:paraId="697DC826">
            <w:pPr>
              <w:spacing w:line="360" w:lineRule="exact"/>
              <w:rPr>
                <w:rFonts w:hint="eastAsia" w:ascii="宋体" w:hAnsi="宋体" w:cs="宋体"/>
                <w:bCs/>
                <w:sz w:val="22"/>
              </w:rPr>
            </w:pPr>
          </w:p>
        </w:tc>
        <w:tc>
          <w:tcPr>
            <w:tcW w:w="501" w:type="pct"/>
            <w:shd w:val="clear" w:color="auto" w:fill="FFFFFF" w:themeFill="background1"/>
            <w:noWrap w:val="0"/>
            <w:vAlign w:val="top"/>
          </w:tcPr>
          <w:p w14:paraId="247D40AC">
            <w:pPr>
              <w:spacing w:line="360" w:lineRule="exact"/>
              <w:rPr>
                <w:rFonts w:hint="eastAsia" w:ascii="宋体" w:hAnsi="宋体" w:cs="宋体"/>
                <w:bCs/>
                <w:sz w:val="22"/>
              </w:rPr>
            </w:pPr>
          </w:p>
        </w:tc>
        <w:tc>
          <w:tcPr>
            <w:tcW w:w="491" w:type="pct"/>
            <w:shd w:val="clear" w:color="auto" w:fill="FFFFFF" w:themeFill="background1"/>
            <w:noWrap w:val="0"/>
            <w:vAlign w:val="top"/>
          </w:tcPr>
          <w:p w14:paraId="249EA167">
            <w:pPr>
              <w:spacing w:line="360" w:lineRule="exact"/>
              <w:rPr>
                <w:rFonts w:hint="eastAsia" w:ascii="宋体" w:hAnsi="宋体" w:cs="宋体"/>
                <w:bCs/>
                <w:sz w:val="22"/>
              </w:rPr>
            </w:pPr>
          </w:p>
        </w:tc>
        <w:tc>
          <w:tcPr>
            <w:tcW w:w="791" w:type="pct"/>
            <w:shd w:val="clear" w:color="auto" w:fill="FFFFFF" w:themeFill="background1"/>
            <w:noWrap w:val="0"/>
            <w:vAlign w:val="top"/>
          </w:tcPr>
          <w:p w14:paraId="19779CDB">
            <w:pPr>
              <w:spacing w:line="360" w:lineRule="exact"/>
              <w:rPr>
                <w:rFonts w:hint="eastAsia" w:ascii="宋体" w:hAnsi="宋体" w:cs="宋体"/>
                <w:bCs/>
                <w:sz w:val="22"/>
              </w:rPr>
            </w:pPr>
          </w:p>
        </w:tc>
        <w:tc>
          <w:tcPr>
            <w:tcW w:w="562" w:type="pct"/>
            <w:shd w:val="clear" w:color="auto" w:fill="FFFFFF" w:themeFill="background1"/>
            <w:noWrap w:val="0"/>
            <w:vAlign w:val="top"/>
          </w:tcPr>
          <w:p w14:paraId="5DE57FFD">
            <w:pPr>
              <w:spacing w:line="360" w:lineRule="exact"/>
              <w:rPr>
                <w:rFonts w:hint="eastAsia" w:ascii="宋体" w:hAnsi="宋体" w:cs="宋体"/>
                <w:bCs/>
                <w:sz w:val="22"/>
              </w:rPr>
            </w:pPr>
          </w:p>
        </w:tc>
        <w:tc>
          <w:tcPr>
            <w:tcW w:w="535" w:type="pct"/>
            <w:shd w:val="clear" w:color="auto" w:fill="FFFFFF" w:themeFill="background1"/>
            <w:noWrap w:val="0"/>
            <w:vAlign w:val="top"/>
          </w:tcPr>
          <w:p w14:paraId="4492DF70">
            <w:pPr>
              <w:spacing w:line="360" w:lineRule="exact"/>
              <w:rPr>
                <w:rFonts w:hint="eastAsia" w:ascii="宋体" w:hAnsi="宋体" w:cs="宋体"/>
                <w:bCs/>
                <w:sz w:val="22"/>
              </w:rPr>
            </w:pPr>
          </w:p>
        </w:tc>
        <w:tc>
          <w:tcPr>
            <w:tcW w:w="514" w:type="pct"/>
            <w:shd w:val="clear" w:color="auto" w:fill="FFFFFF" w:themeFill="background1"/>
            <w:noWrap w:val="0"/>
            <w:vAlign w:val="top"/>
          </w:tcPr>
          <w:p w14:paraId="02CAB257">
            <w:pPr>
              <w:spacing w:line="360" w:lineRule="exact"/>
              <w:rPr>
                <w:rFonts w:hint="eastAsia" w:ascii="宋体" w:hAnsi="宋体" w:cs="宋体"/>
                <w:bCs/>
                <w:sz w:val="22"/>
              </w:rPr>
            </w:pPr>
          </w:p>
        </w:tc>
      </w:tr>
      <w:tr w14:paraId="7363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350EFCEC">
            <w:pPr>
              <w:spacing w:line="360" w:lineRule="exact"/>
              <w:rPr>
                <w:rFonts w:hint="eastAsia" w:ascii="宋体" w:hAnsi="宋体" w:cs="宋体"/>
                <w:bCs/>
                <w:sz w:val="22"/>
              </w:rPr>
            </w:pPr>
          </w:p>
        </w:tc>
        <w:tc>
          <w:tcPr>
            <w:tcW w:w="457" w:type="pct"/>
            <w:shd w:val="clear" w:color="auto" w:fill="FFFFFF" w:themeFill="background1"/>
            <w:noWrap w:val="0"/>
            <w:vAlign w:val="top"/>
          </w:tcPr>
          <w:p w14:paraId="3E404FF9">
            <w:pPr>
              <w:spacing w:line="360" w:lineRule="exact"/>
              <w:rPr>
                <w:rFonts w:hint="eastAsia" w:ascii="宋体" w:hAnsi="宋体" w:cs="宋体"/>
                <w:bCs/>
                <w:sz w:val="22"/>
              </w:rPr>
            </w:pPr>
          </w:p>
        </w:tc>
        <w:tc>
          <w:tcPr>
            <w:tcW w:w="492" w:type="pct"/>
            <w:shd w:val="clear" w:color="auto" w:fill="FFFFFF" w:themeFill="background1"/>
            <w:noWrap w:val="0"/>
            <w:vAlign w:val="top"/>
          </w:tcPr>
          <w:p w14:paraId="10F39CA5">
            <w:pPr>
              <w:spacing w:line="360" w:lineRule="exact"/>
              <w:rPr>
                <w:rFonts w:hint="eastAsia" w:ascii="宋体" w:hAnsi="宋体" w:cs="宋体"/>
                <w:bCs/>
                <w:sz w:val="22"/>
              </w:rPr>
            </w:pPr>
          </w:p>
        </w:tc>
        <w:tc>
          <w:tcPr>
            <w:tcW w:w="501" w:type="pct"/>
            <w:shd w:val="clear" w:color="auto" w:fill="FFFFFF" w:themeFill="background1"/>
            <w:noWrap w:val="0"/>
            <w:vAlign w:val="top"/>
          </w:tcPr>
          <w:p w14:paraId="5549170E">
            <w:pPr>
              <w:spacing w:line="360" w:lineRule="exact"/>
              <w:rPr>
                <w:rFonts w:hint="eastAsia" w:ascii="宋体" w:hAnsi="宋体" w:cs="宋体"/>
                <w:bCs/>
                <w:sz w:val="22"/>
              </w:rPr>
            </w:pPr>
          </w:p>
        </w:tc>
        <w:tc>
          <w:tcPr>
            <w:tcW w:w="491" w:type="pct"/>
            <w:shd w:val="clear" w:color="auto" w:fill="FFFFFF" w:themeFill="background1"/>
            <w:noWrap w:val="0"/>
            <w:vAlign w:val="top"/>
          </w:tcPr>
          <w:p w14:paraId="3C4B57E5">
            <w:pPr>
              <w:spacing w:line="360" w:lineRule="exact"/>
              <w:rPr>
                <w:rFonts w:hint="eastAsia" w:ascii="宋体" w:hAnsi="宋体" w:cs="宋体"/>
                <w:bCs/>
                <w:sz w:val="22"/>
              </w:rPr>
            </w:pPr>
          </w:p>
        </w:tc>
        <w:tc>
          <w:tcPr>
            <w:tcW w:w="791" w:type="pct"/>
            <w:shd w:val="clear" w:color="auto" w:fill="FFFFFF" w:themeFill="background1"/>
            <w:noWrap w:val="0"/>
            <w:vAlign w:val="top"/>
          </w:tcPr>
          <w:p w14:paraId="692CA405">
            <w:pPr>
              <w:spacing w:line="360" w:lineRule="exact"/>
              <w:rPr>
                <w:rFonts w:hint="eastAsia" w:ascii="宋体" w:hAnsi="宋体" w:cs="宋体"/>
                <w:bCs/>
                <w:sz w:val="22"/>
              </w:rPr>
            </w:pPr>
          </w:p>
        </w:tc>
        <w:tc>
          <w:tcPr>
            <w:tcW w:w="562" w:type="pct"/>
            <w:shd w:val="clear" w:color="auto" w:fill="FFFFFF" w:themeFill="background1"/>
            <w:noWrap w:val="0"/>
            <w:vAlign w:val="top"/>
          </w:tcPr>
          <w:p w14:paraId="5D61F92C">
            <w:pPr>
              <w:spacing w:line="360" w:lineRule="exact"/>
              <w:rPr>
                <w:rFonts w:hint="eastAsia" w:ascii="宋体" w:hAnsi="宋体" w:cs="宋体"/>
                <w:bCs/>
                <w:sz w:val="22"/>
              </w:rPr>
            </w:pPr>
          </w:p>
        </w:tc>
        <w:tc>
          <w:tcPr>
            <w:tcW w:w="535" w:type="pct"/>
            <w:shd w:val="clear" w:color="auto" w:fill="FFFFFF" w:themeFill="background1"/>
            <w:noWrap w:val="0"/>
            <w:vAlign w:val="top"/>
          </w:tcPr>
          <w:p w14:paraId="7D40E074">
            <w:pPr>
              <w:spacing w:line="360" w:lineRule="exact"/>
              <w:rPr>
                <w:rFonts w:hint="eastAsia" w:ascii="宋体" w:hAnsi="宋体" w:cs="宋体"/>
                <w:bCs/>
                <w:sz w:val="22"/>
              </w:rPr>
            </w:pPr>
          </w:p>
        </w:tc>
        <w:tc>
          <w:tcPr>
            <w:tcW w:w="514" w:type="pct"/>
            <w:shd w:val="clear" w:color="auto" w:fill="FFFFFF" w:themeFill="background1"/>
            <w:noWrap w:val="0"/>
            <w:vAlign w:val="top"/>
          </w:tcPr>
          <w:p w14:paraId="6D264EE5">
            <w:pPr>
              <w:spacing w:line="360" w:lineRule="exact"/>
              <w:rPr>
                <w:rFonts w:hint="eastAsia" w:ascii="宋体" w:hAnsi="宋体" w:cs="宋体"/>
                <w:bCs/>
                <w:sz w:val="22"/>
              </w:rPr>
            </w:pPr>
          </w:p>
        </w:tc>
      </w:tr>
      <w:tr w14:paraId="6276C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6C8724B4">
            <w:pPr>
              <w:spacing w:line="360" w:lineRule="exact"/>
              <w:rPr>
                <w:rFonts w:hint="eastAsia" w:ascii="宋体" w:hAnsi="宋体" w:cs="宋体"/>
                <w:bCs/>
                <w:sz w:val="22"/>
              </w:rPr>
            </w:pPr>
          </w:p>
        </w:tc>
        <w:tc>
          <w:tcPr>
            <w:tcW w:w="457" w:type="pct"/>
            <w:shd w:val="clear" w:color="auto" w:fill="FFFFFF" w:themeFill="background1"/>
            <w:noWrap w:val="0"/>
            <w:vAlign w:val="top"/>
          </w:tcPr>
          <w:p w14:paraId="5EE3AD78">
            <w:pPr>
              <w:spacing w:line="360" w:lineRule="exact"/>
              <w:rPr>
                <w:rFonts w:hint="eastAsia" w:ascii="宋体" w:hAnsi="宋体" w:cs="宋体"/>
                <w:bCs/>
                <w:sz w:val="22"/>
              </w:rPr>
            </w:pPr>
          </w:p>
        </w:tc>
        <w:tc>
          <w:tcPr>
            <w:tcW w:w="492" w:type="pct"/>
            <w:shd w:val="clear" w:color="auto" w:fill="FFFFFF" w:themeFill="background1"/>
            <w:noWrap w:val="0"/>
            <w:vAlign w:val="top"/>
          </w:tcPr>
          <w:p w14:paraId="07C09BED">
            <w:pPr>
              <w:spacing w:line="360" w:lineRule="exact"/>
              <w:rPr>
                <w:rFonts w:hint="eastAsia" w:ascii="宋体" w:hAnsi="宋体" w:cs="宋体"/>
                <w:bCs/>
                <w:sz w:val="22"/>
              </w:rPr>
            </w:pPr>
          </w:p>
        </w:tc>
        <w:tc>
          <w:tcPr>
            <w:tcW w:w="501" w:type="pct"/>
            <w:shd w:val="clear" w:color="auto" w:fill="FFFFFF" w:themeFill="background1"/>
            <w:noWrap w:val="0"/>
            <w:vAlign w:val="top"/>
          </w:tcPr>
          <w:p w14:paraId="1FBD519D">
            <w:pPr>
              <w:spacing w:line="360" w:lineRule="exact"/>
              <w:rPr>
                <w:rFonts w:hint="eastAsia" w:ascii="宋体" w:hAnsi="宋体" w:cs="宋体"/>
                <w:bCs/>
                <w:sz w:val="22"/>
              </w:rPr>
            </w:pPr>
          </w:p>
        </w:tc>
        <w:tc>
          <w:tcPr>
            <w:tcW w:w="491" w:type="pct"/>
            <w:shd w:val="clear" w:color="auto" w:fill="FFFFFF" w:themeFill="background1"/>
            <w:noWrap w:val="0"/>
            <w:vAlign w:val="top"/>
          </w:tcPr>
          <w:p w14:paraId="5F0D3C6B">
            <w:pPr>
              <w:spacing w:line="360" w:lineRule="exact"/>
              <w:rPr>
                <w:rFonts w:hint="eastAsia" w:ascii="宋体" w:hAnsi="宋体" w:cs="宋体"/>
                <w:bCs/>
                <w:sz w:val="22"/>
              </w:rPr>
            </w:pPr>
          </w:p>
        </w:tc>
        <w:tc>
          <w:tcPr>
            <w:tcW w:w="791" w:type="pct"/>
            <w:shd w:val="clear" w:color="auto" w:fill="FFFFFF" w:themeFill="background1"/>
            <w:noWrap w:val="0"/>
            <w:vAlign w:val="top"/>
          </w:tcPr>
          <w:p w14:paraId="60C30ADC">
            <w:pPr>
              <w:spacing w:line="360" w:lineRule="exact"/>
              <w:rPr>
                <w:rFonts w:hint="eastAsia" w:ascii="宋体" w:hAnsi="宋体" w:cs="宋体"/>
                <w:bCs/>
                <w:sz w:val="22"/>
              </w:rPr>
            </w:pPr>
          </w:p>
        </w:tc>
        <w:tc>
          <w:tcPr>
            <w:tcW w:w="562" w:type="pct"/>
            <w:shd w:val="clear" w:color="auto" w:fill="FFFFFF" w:themeFill="background1"/>
            <w:noWrap w:val="0"/>
            <w:vAlign w:val="top"/>
          </w:tcPr>
          <w:p w14:paraId="6F1547BC">
            <w:pPr>
              <w:spacing w:line="360" w:lineRule="exact"/>
              <w:rPr>
                <w:rFonts w:hint="eastAsia" w:ascii="宋体" w:hAnsi="宋体" w:cs="宋体"/>
                <w:bCs/>
                <w:sz w:val="22"/>
              </w:rPr>
            </w:pPr>
          </w:p>
        </w:tc>
        <w:tc>
          <w:tcPr>
            <w:tcW w:w="535" w:type="pct"/>
            <w:shd w:val="clear" w:color="auto" w:fill="FFFFFF" w:themeFill="background1"/>
            <w:noWrap w:val="0"/>
            <w:vAlign w:val="top"/>
          </w:tcPr>
          <w:p w14:paraId="090FED01">
            <w:pPr>
              <w:spacing w:line="360" w:lineRule="exact"/>
              <w:rPr>
                <w:rFonts w:hint="eastAsia" w:ascii="宋体" w:hAnsi="宋体" w:cs="宋体"/>
                <w:bCs/>
                <w:sz w:val="22"/>
              </w:rPr>
            </w:pPr>
          </w:p>
        </w:tc>
        <w:tc>
          <w:tcPr>
            <w:tcW w:w="514" w:type="pct"/>
            <w:shd w:val="clear" w:color="auto" w:fill="FFFFFF" w:themeFill="background1"/>
            <w:noWrap w:val="0"/>
            <w:vAlign w:val="top"/>
          </w:tcPr>
          <w:p w14:paraId="7554BE95">
            <w:pPr>
              <w:spacing w:line="360" w:lineRule="exact"/>
              <w:rPr>
                <w:rFonts w:hint="eastAsia" w:ascii="宋体" w:hAnsi="宋体" w:cs="宋体"/>
                <w:bCs/>
                <w:sz w:val="22"/>
              </w:rPr>
            </w:pPr>
          </w:p>
        </w:tc>
      </w:tr>
      <w:tr w14:paraId="46616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9" w:hRule="atLeast"/>
          <w:jc w:val="center"/>
        </w:trPr>
        <w:tc>
          <w:tcPr>
            <w:tcW w:w="653" w:type="pct"/>
            <w:vMerge w:val="continue"/>
            <w:shd w:val="clear" w:color="auto" w:fill="FFFFFF" w:themeFill="background1"/>
            <w:noWrap w:val="0"/>
            <w:vAlign w:val="top"/>
          </w:tcPr>
          <w:p w14:paraId="1CB2C31E">
            <w:pPr>
              <w:spacing w:line="360" w:lineRule="exact"/>
              <w:rPr>
                <w:rFonts w:hint="eastAsia" w:ascii="宋体" w:hAnsi="宋体" w:cs="宋体"/>
                <w:bCs/>
                <w:sz w:val="22"/>
              </w:rPr>
            </w:pPr>
          </w:p>
        </w:tc>
        <w:tc>
          <w:tcPr>
            <w:tcW w:w="457" w:type="pct"/>
            <w:shd w:val="clear" w:color="auto" w:fill="FFFFFF" w:themeFill="background1"/>
            <w:noWrap w:val="0"/>
            <w:vAlign w:val="top"/>
          </w:tcPr>
          <w:p w14:paraId="3C9375C3">
            <w:pPr>
              <w:spacing w:line="360" w:lineRule="exact"/>
              <w:rPr>
                <w:rFonts w:hint="eastAsia" w:ascii="宋体" w:hAnsi="宋体" w:cs="宋体"/>
                <w:bCs/>
                <w:sz w:val="22"/>
              </w:rPr>
            </w:pPr>
          </w:p>
        </w:tc>
        <w:tc>
          <w:tcPr>
            <w:tcW w:w="492" w:type="pct"/>
            <w:shd w:val="clear" w:color="auto" w:fill="FFFFFF" w:themeFill="background1"/>
            <w:noWrap w:val="0"/>
            <w:vAlign w:val="top"/>
          </w:tcPr>
          <w:p w14:paraId="23F84D5E">
            <w:pPr>
              <w:spacing w:line="360" w:lineRule="exact"/>
              <w:rPr>
                <w:rFonts w:hint="eastAsia" w:ascii="宋体" w:hAnsi="宋体" w:cs="宋体"/>
                <w:bCs/>
                <w:sz w:val="22"/>
              </w:rPr>
            </w:pPr>
          </w:p>
        </w:tc>
        <w:tc>
          <w:tcPr>
            <w:tcW w:w="501" w:type="pct"/>
            <w:shd w:val="clear" w:color="auto" w:fill="FFFFFF" w:themeFill="background1"/>
            <w:noWrap w:val="0"/>
            <w:vAlign w:val="top"/>
          </w:tcPr>
          <w:p w14:paraId="579257B7">
            <w:pPr>
              <w:spacing w:line="360" w:lineRule="exact"/>
              <w:rPr>
                <w:rFonts w:hint="eastAsia" w:ascii="宋体" w:hAnsi="宋体" w:cs="宋体"/>
                <w:bCs/>
                <w:sz w:val="22"/>
              </w:rPr>
            </w:pPr>
          </w:p>
        </w:tc>
        <w:tc>
          <w:tcPr>
            <w:tcW w:w="491" w:type="pct"/>
            <w:shd w:val="clear" w:color="auto" w:fill="FFFFFF" w:themeFill="background1"/>
            <w:noWrap w:val="0"/>
            <w:vAlign w:val="top"/>
          </w:tcPr>
          <w:p w14:paraId="3EC4C6AE">
            <w:pPr>
              <w:spacing w:line="360" w:lineRule="exact"/>
              <w:rPr>
                <w:rFonts w:hint="eastAsia" w:ascii="宋体" w:hAnsi="宋体" w:cs="宋体"/>
                <w:bCs/>
                <w:sz w:val="22"/>
              </w:rPr>
            </w:pPr>
          </w:p>
        </w:tc>
        <w:tc>
          <w:tcPr>
            <w:tcW w:w="791" w:type="pct"/>
            <w:shd w:val="clear" w:color="auto" w:fill="FFFFFF" w:themeFill="background1"/>
            <w:noWrap w:val="0"/>
            <w:vAlign w:val="top"/>
          </w:tcPr>
          <w:p w14:paraId="7DFC510C">
            <w:pPr>
              <w:spacing w:line="360" w:lineRule="exact"/>
              <w:rPr>
                <w:rFonts w:hint="eastAsia" w:ascii="宋体" w:hAnsi="宋体" w:cs="宋体"/>
                <w:bCs/>
                <w:sz w:val="22"/>
              </w:rPr>
            </w:pPr>
          </w:p>
        </w:tc>
        <w:tc>
          <w:tcPr>
            <w:tcW w:w="562" w:type="pct"/>
            <w:shd w:val="clear" w:color="auto" w:fill="FFFFFF" w:themeFill="background1"/>
            <w:noWrap w:val="0"/>
            <w:vAlign w:val="top"/>
          </w:tcPr>
          <w:p w14:paraId="377E5C6D">
            <w:pPr>
              <w:spacing w:line="360" w:lineRule="exact"/>
              <w:rPr>
                <w:rFonts w:hint="eastAsia" w:ascii="宋体" w:hAnsi="宋体" w:cs="宋体"/>
                <w:bCs/>
                <w:sz w:val="22"/>
              </w:rPr>
            </w:pPr>
          </w:p>
        </w:tc>
        <w:tc>
          <w:tcPr>
            <w:tcW w:w="535" w:type="pct"/>
            <w:shd w:val="clear" w:color="auto" w:fill="FFFFFF" w:themeFill="background1"/>
            <w:noWrap w:val="0"/>
            <w:vAlign w:val="top"/>
          </w:tcPr>
          <w:p w14:paraId="2A266C48">
            <w:pPr>
              <w:spacing w:line="360" w:lineRule="exact"/>
              <w:rPr>
                <w:rFonts w:hint="eastAsia" w:ascii="宋体" w:hAnsi="宋体" w:cs="宋体"/>
                <w:bCs/>
                <w:sz w:val="22"/>
              </w:rPr>
            </w:pPr>
          </w:p>
        </w:tc>
        <w:tc>
          <w:tcPr>
            <w:tcW w:w="514" w:type="pct"/>
            <w:shd w:val="clear" w:color="auto" w:fill="FFFFFF" w:themeFill="background1"/>
            <w:noWrap w:val="0"/>
            <w:vAlign w:val="top"/>
          </w:tcPr>
          <w:p w14:paraId="1859615E">
            <w:pPr>
              <w:spacing w:line="360" w:lineRule="exact"/>
              <w:rPr>
                <w:rFonts w:hint="eastAsia" w:ascii="宋体" w:hAnsi="宋体" w:cs="宋体"/>
                <w:bCs/>
                <w:sz w:val="22"/>
              </w:rPr>
            </w:pPr>
          </w:p>
        </w:tc>
      </w:tr>
    </w:tbl>
    <w:p w14:paraId="4417322C">
      <w:pPr>
        <w:pStyle w:val="2"/>
        <w:rPr>
          <w:rFonts w:hint="eastAsia" w:ascii="宋体" w:hAnsi="宋体" w:eastAsia="宋体" w:cs="宋体"/>
          <w:color w:val="000000"/>
          <w:highlight w:val="none"/>
        </w:rPr>
      </w:pPr>
    </w:p>
    <w:p w14:paraId="0EE46D9C">
      <w:pPr>
        <w:rPr>
          <w:rFonts w:hint="eastAsia" w:ascii="宋体" w:hAnsi="宋体" w:eastAsia="宋体" w:cs="宋体"/>
          <w:color w:val="000000"/>
          <w:highlight w:val="none"/>
        </w:rPr>
      </w:pPr>
      <w:r>
        <w:rPr>
          <w:rFonts w:hint="eastAsia" w:ascii="宋体" w:hAnsi="宋体" w:eastAsia="宋体" w:cs="宋体"/>
          <w:color w:val="000000"/>
          <w:highlight w:val="none"/>
        </w:rPr>
        <w:t>注：本表可根据实际情况自行调整</w:t>
      </w:r>
    </w:p>
    <w:p w14:paraId="6B669820">
      <w:pPr>
        <w:shd w:val="clear" w:color="auto" w:fill="FFFFFF"/>
        <w:rPr>
          <w:rFonts w:hint="eastAsia" w:ascii="宋体" w:hAnsi="宋体" w:eastAsia="宋体" w:cs="宋体"/>
          <w:color w:val="000000"/>
          <w:sz w:val="28"/>
          <w:szCs w:val="28"/>
          <w:highlight w:val="none"/>
        </w:rPr>
      </w:pPr>
    </w:p>
    <w:p w14:paraId="3E35EF14">
      <w:pPr>
        <w:shd w:val="clear" w:color="auto" w:fill="FFFFFF"/>
        <w:rPr>
          <w:rFonts w:hint="eastAsia" w:ascii="宋体" w:hAnsi="宋体" w:eastAsia="宋体" w:cs="宋体"/>
          <w:color w:val="000000"/>
          <w:sz w:val="28"/>
          <w:szCs w:val="28"/>
          <w:highlight w:val="none"/>
        </w:rPr>
      </w:pPr>
    </w:p>
    <w:p w14:paraId="468E863E">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lang w:val="zh-CN"/>
        </w:rPr>
        <w:t>法定代表人（</w:t>
      </w:r>
      <w:r>
        <w:rPr>
          <w:rFonts w:hint="eastAsia" w:ascii="宋体" w:hAnsi="宋体" w:cs="宋体"/>
          <w:snapToGrid w:val="0"/>
          <w:kern w:val="0"/>
          <w:sz w:val="22"/>
        </w:rPr>
        <w:t>单位负责人</w:t>
      </w:r>
      <w:r>
        <w:rPr>
          <w:rFonts w:hint="eastAsia" w:ascii="宋体" w:hAnsi="宋体" w:cs="宋体"/>
          <w:snapToGrid w:val="0"/>
          <w:kern w:val="0"/>
          <w:sz w:val="22"/>
          <w:lang w:val="zh-CN"/>
        </w:rPr>
        <w:t>）或其授权代表（签字</w:t>
      </w:r>
      <w:r>
        <w:rPr>
          <w:rFonts w:hint="eastAsia" w:ascii="宋体" w:hAnsi="宋体" w:cs="宋体"/>
          <w:snapToGrid w:val="0"/>
          <w:kern w:val="0"/>
          <w:sz w:val="22"/>
        </w:rPr>
        <w:t>或盖章</w:t>
      </w:r>
      <w:r>
        <w:rPr>
          <w:rFonts w:hint="eastAsia" w:ascii="宋体" w:hAnsi="宋体" w:cs="宋体"/>
          <w:snapToGrid w:val="0"/>
          <w:kern w:val="0"/>
          <w:sz w:val="22"/>
          <w:lang w:val="zh-CN"/>
        </w:rPr>
        <w:t>）</w:t>
      </w:r>
      <w:r>
        <w:rPr>
          <w:rFonts w:hint="eastAsia" w:ascii="宋体" w:hAnsi="宋体" w:cs="宋体"/>
          <w:snapToGrid w:val="0"/>
          <w:kern w:val="0"/>
          <w:sz w:val="22"/>
        </w:rPr>
        <w:t xml:space="preserve">：                   </w:t>
      </w:r>
    </w:p>
    <w:p w14:paraId="24072D1B">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 xml:space="preserve">投标人名称（盖章）：                        </w:t>
      </w:r>
    </w:p>
    <w:p w14:paraId="14ABBF41">
      <w:pPr>
        <w:spacing w:line="360" w:lineRule="exact"/>
        <w:ind w:right="2100" w:rightChars="1000"/>
        <w:jc w:val="left"/>
        <w:rPr>
          <w:rFonts w:ascii="宋体" w:hAnsi="宋体" w:cs="宋体"/>
          <w:snapToGrid w:val="0"/>
          <w:kern w:val="0"/>
          <w:sz w:val="22"/>
        </w:rPr>
      </w:pPr>
      <w:r>
        <w:rPr>
          <w:rFonts w:hint="eastAsia" w:ascii="宋体" w:hAnsi="宋体" w:cs="宋体"/>
          <w:snapToGrid w:val="0"/>
          <w:kern w:val="0"/>
          <w:sz w:val="22"/>
        </w:rPr>
        <w:t>日期：   年   月   日</w:t>
      </w:r>
    </w:p>
    <w:p w14:paraId="7425BC98">
      <w:pPr>
        <w:keepNext w:val="0"/>
        <w:keepLines w:val="0"/>
        <w:pageBreakBefore w:val="0"/>
        <w:widowControl w:val="0"/>
        <w:kinsoku/>
        <w:wordWrap/>
        <w:overflowPunct/>
        <w:topLinePunct w:val="0"/>
        <w:autoSpaceDE/>
        <w:autoSpaceDN/>
        <w:bidi w:val="0"/>
        <w:adjustRightInd/>
        <w:snapToGrid/>
        <w:spacing w:line="360" w:lineRule="auto"/>
        <w:jc w:val="right"/>
        <w:textAlignment w:val="auto"/>
        <w:outlineLvl w:val="9"/>
        <w:rPr>
          <w:rFonts w:hint="eastAsia" w:ascii="宋体" w:hAnsi="宋体" w:eastAsia="宋体" w:cs="宋体"/>
          <w:bCs/>
          <w:color w:val="000000"/>
          <w:sz w:val="24"/>
          <w:highlight w:val="none"/>
        </w:rPr>
      </w:pPr>
    </w:p>
    <w:p w14:paraId="49C2FE23">
      <w:pPr>
        <w:spacing w:line="360" w:lineRule="auto"/>
        <w:rPr>
          <w:rFonts w:hint="eastAsia" w:ascii="宋体" w:hAnsi="宋体" w:eastAsia="宋体" w:cs="宋体"/>
          <w:bCs/>
          <w:color w:val="000000"/>
          <w:sz w:val="24"/>
          <w:highlight w:val="none"/>
        </w:rPr>
      </w:pPr>
    </w:p>
    <w:p w14:paraId="221B0D45">
      <w:pP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rPr>
        <w:br w:type="page"/>
      </w:r>
    </w:p>
    <w:p w14:paraId="6EB1620C">
      <w:pPr>
        <w:pStyle w:val="6"/>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6" w:name="_Toc19749"/>
      <w:bookmarkStart w:id="87" w:name="_Toc9518"/>
      <w:r>
        <w:rPr>
          <w:rFonts w:hint="eastAsia" w:cs="Times New Roman"/>
          <w:b/>
          <w:bCs w:val="0"/>
          <w:kern w:val="2"/>
          <w:sz w:val="28"/>
          <w:szCs w:val="28"/>
          <w:lang w:val="en-US" w:eastAsia="zh-CN" w:bidi="ar-SA"/>
        </w:rPr>
        <w:t>十三、项目实施方案</w:t>
      </w:r>
      <w:bookmarkEnd w:id="86"/>
      <w:bookmarkEnd w:id="87"/>
    </w:p>
    <w:p w14:paraId="21F91498">
      <w:pPr>
        <w:jc w:val="left"/>
        <w:rPr>
          <w:rFonts w:hint="eastAsia" w:ascii="宋体" w:hAnsi="宋体" w:eastAsia="宋体" w:cs="宋体"/>
          <w:color w:val="000000"/>
          <w:highlight w:val="none"/>
        </w:rPr>
      </w:pPr>
      <w:r>
        <w:rPr>
          <w:rFonts w:hint="eastAsia" w:ascii="宋体" w:hAnsi="宋体" w:eastAsia="宋体" w:cs="宋体"/>
          <w:color w:val="000000"/>
          <w:highlight w:val="none"/>
        </w:rPr>
        <w:t>注：此处由投标人根据评分表要求内容及自身情况拟写。</w:t>
      </w:r>
    </w:p>
    <w:p w14:paraId="405ADF07">
      <w:pPr>
        <w:jc w:val="left"/>
        <w:rPr>
          <w:rFonts w:hint="eastAsia" w:ascii="宋体" w:hAnsi="宋体" w:eastAsia="宋体" w:cs="宋体"/>
          <w:color w:val="000000"/>
          <w:highlight w:val="none"/>
        </w:rPr>
      </w:pPr>
    </w:p>
    <w:p w14:paraId="18954541">
      <w:pPr>
        <w:jc w:val="left"/>
        <w:rPr>
          <w:rFonts w:hint="eastAsia" w:ascii="宋体" w:hAnsi="宋体" w:eastAsia="宋体" w:cs="宋体"/>
          <w:color w:val="000000"/>
          <w:highlight w:val="none"/>
        </w:rPr>
      </w:pPr>
    </w:p>
    <w:p w14:paraId="12C5D85B">
      <w:pPr>
        <w:rPr>
          <w:rFonts w:hint="eastAsia" w:hAnsi="宋体"/>
          <w:bCs/>
          <w:sz w:val="24"/>
          <w:highlight w:val="none"/>
          <w:lang w:eastAsia="zh-Hans"/>
        </w:rPr>
      </w:pPr>
      <w:r>
        <w:rPr>
          <w:rFonts w:hint="eastAsia" w:hAnsi="宋体"/>
          <w:bCs/>
          <w:sz w:val="24"/>
          <w:highlight w:val="none"/>
        </w:rPr>
        <w:br w:type="page"/>
      </w:r>
    </w:p>
    <w:bookmarkEnd w:id="78"/>
    <w:bookmarkEnd w:id="79"/>
    <w:bookmarkEnd w:id="80"/>
    <w:bookmarkEnd w:id="81"/>
    <w:bookmarkEnd w:id="82"/>
    <w:p w14:paraId="484D9540">
      <w:pPr>
        <w:pStyle w:val="6"/>
        <w:numPr>
          <w:ilvl w:val="0"/>
          <w:numId w:val="0"/>
        </w:numPr>
        <w:shd w:val="clear" w:color="auto" w:fill="FFFFFF"/>
        <w:tabs>
          <w:tab w:val="clear" w:pos="1680"/>
        </w:tabs>
        <w:ind w:left="0" w:leftChars="0" w:firstLine="0" w:firstLineChars="0"/>
        <w:jc w:val="left"/>
        <w:rPr>
          <w:rFonts w:hint="eastAsia" w:cs="Times New Roman"/>
          <w:b/>
          <w:bCs w:val="0"/>
          <w:kern w:val="2"/>
          <w:sz w:val="28"/>
          <w:szCs w:val="28"/>
          <w:lang w:val="en-US" w:eastAsia="zh-CN" w:bidi="ar-SA"/>
        </w:rPr>
      </w:pPr>
      <w:bookmarkStart w:id="88" w:name="_Toc518464390"/>
      <w:bookmarkStart w:id="89" w:name="_Toc528170834"/>
      <w:bookmarkStart w:id="90" w:name="_Toc36822702"/>
      <w:bookmarkStart w:id="91" w:name="_Toc528675207"/>
      <w:r>
        <w:rPr>
          <w:rFonts w:hint="eastAsia" w:cs="Times New Roman"/>
          <w:b/>
          <w:bCs w:val="0"/>
          <w:kern w:val="2"/>
          <w:sz w:val="28"/>
          <w:szCs w:val="28"/>
          <w:lang w:val="en-US" w:eastAsia="zh-CN" w:bidi="ar-SA"/>
        </w:rPr>
        <w:t>十四、中小企业、残疾人福利性单位和监狱企业政策导向</w:t>
      </w:r>
    </w:p>
    <w:p w14:paraId="2372E337">
      <w:pPr>
        <w:adjustRightInd w:val="0"/>
        <w:snapToGrid w:val="0"/>
        <w:spacing w:line="360" w:lineRule="exact"/>
        <w:ind w:firstLine="440" w:firstLineChars="200"/>
        <w:jc w:val="center"/>
        <w:rPr>
          <w:rFonts w:ascii="宋体" w:hAnsi="宋体" w:cs="宋体"/>
          <w:sz w:val="22"/>
        </w:rPr>
      </w:pPr>
      <w:r>
        <w:rPr>
          <w:rFonts w:hint="eastAsia" w:ascii="宋体" w:hAnsi="宋体" w:cs="宋体"/>
          <w:sz w:val="22"/>
        </w:rPr>
        <w:t>（如符合则提供）</w:t>
      </w:r>
    </w:p>
    <w:p w14:paraId="6D789E82">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填写指引：</w:t>
      </w:r>
    </w:p>
    <w:p w14:paraId="42933E52">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1、该部分内容由供应商根据自身实际情况填写，不符合要求的供应商可以不填写或直接删除相应的声明函。供应商自行对声明内容的真实性负责；如提供虚假声明，将报送主管部门进行行政处罚。若无法确定是否为中小微企业，可查阅《关于印发中小企业划型标准规定的通知》（工信部联企业【2011】300号）或向中小企业服务局咨询。</w:t>
      </w:r>
    </w:p>
    <w:p w14:paraId="22F99453">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2、该部分内容填写需要参考的相关文件：</w:t>
      </w:r>
    </w:p>
    <w:p w14:paraId="6D98A2C1">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ascii="宋体" w:hAnsi="宋体" w:cs="宋体"/>
          <w:bCs/>
          <w:sz w:val="22"/>
          <w:szCs w:val="22"/>
        </w:rPr>
        <w:t>1</w:t>
      </w:r>
      <w:r>
        <w:rPr>
          <w:rFonts w:hint="eastAsia" w:hAnsi="宋体" w:cs="宋体"/>
          <w:bCs/>
          <w:sz w:val="22"/>
          <w:szCs w:val="22"/>
          <w:lang w:eastAsia="zh-CN"/>
        </w:rPr>
        <w:t>）</w:t>
      </w:r>
      <w:r>
        <w:rPr>
          <w:rFonts w:hint="eastAsia" w:ascii="宋体" w:hAnsi="宋体" w:cs="宋体"/>
          <w:bCs/>
          <w:sz w:val="22"/>
          <w:szCs w:val="22"/>
        </w:rPr>
        <w:t>财政部《政府采购促进中小企业发展管理办法》（财库〔2020〕46号）</w:t>
      </w:r>
    </w:p>
    <w:p w14:paraId="0FADABE4">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2</w:t>
      </w:r>
      <w:r>
        <w:rPr>
          <w:rFonts w:hint="eastAsia" w:hAnsi="宋体" w:cs="宋体"/>
          <w:bCs/>
          <w:sz w:val="22"/>
          <w:szCs w:val="22"/>
          <w:lang w:eastAsia="zh-CN"/>
        </w:rPr>
        <w:t>）</w:t>
      </w:r>
      <w:r>
        <w:rPr>
          <w:rFonts w:hint="eastAsia" w:ascii="宋体" w:hAnsi="宋体" w:cs="宋体"/>
          <w:bCs/>
          <w:sz w:val="22"/>
          <w:szCs w:val="22"/>
        </w:rPr>
        <w:t>《工业和信息化部、国家统计局、国家发展和改革委员会、财政部关于印发中小企业划型标准规定的通知》（工信部联企业〔2011〕300 号，以下简称300号文）</w:t>
      </w:r>
    </w:p>
    <w:p w14:paraId="0A42FD42">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3</w:t>
      </w:r>
      <w:r>
        <w:rPr>
          <w:rFonts w:hint="eastAsia" w:hAnsi="宋体" w:cs="宋体"/>
          <w:bCs/>
          <w:sz w:val="22"/>
          <w:szCs w:val="22"/>
          <w:lang w:eastAsia="zh-CN"/>
        </w:rPr>
        <w:t>）</w:t>
      </w:r>
      <w:r>
        <w:rPr>
          <w:rFonts w:hint="eastAsia" w:ascii="宋体" w:hAnsi="宋体" w:cs="宋体"/>
          <w:bCs/>
          <w:sz w:val="22"/>
          <w:szCs w:val="22"/>
        </w:rPr>
        <w:t>《统计上大中小微型企业划分办法(2017)》（国统字〔2017〕213 号）</w:t>
      </w:r>
    </w:p>
    <w:p w14:paraId="3F0FF104">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4</w:t>
      </w:r>
      <w:r>
        <w:rPr>
          <w:rFonts w:hint="eastAsia" w:hAnsi="宋体" w:cs="宋体"/>
          <w:bCs/>
          <w:sz w:val="22"/>
          <w:szCs w:val="22"/>
          <w:lang w:eastAsia="zh-CN"/>
        </w:rPr>
        <w:t>）</w:t>
      </w:r>
      <w:r>
        <w:rPr>
          <w:rFonts w:hint="eastAsia" w:ascii="宋体" w:hAnsi="宋体" w:cs="宋体"/>
          <w:bCs/>
          <w:sz w:val="22"/>
          <w:szCs w:val="22"/>
        </w:rPr>
        <w:t>《关于促进残疾人就业政府采购政策的通知》（财库〔2017〕141号）</w:t>
      </w:r>
    </w:p>
    <w:p w14:paraId="04A4C041">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5</w:t>
      </w:r>
      <w:r>
        <w:rPr>
          <w:rFonts w:hint="eastAsia" w:hAnsi="宋体" w:cs="宋体"/>
          <w:bCs/>
          <w:sz w:val="22"/>
          <w:szCs w:val="22"/>
          <w:lang w:eastAsia="zh-CN"/>
        </w:rPr>
        <w:t>）</w:t>
      </w:r>
      <w:r>
        <w:rPr>
          <w:rFonts w:hint="eastAsia" w:ascii="宋体" w:hAnsi="宋体" w:cs="宋体"/>
          <w:bCs/>
          <w:sz w:val="22"/>
          <w:szCs w:val="22"/>
        </w:rPr>
        <w:t>《关于政府采购支持监狱企业发展有关问题的通知》（财库〔2014〕68号）</w:t>
      </w:r>
    </w:p>
    <w:p w14:paraId="395F2D47">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6</w:t>
      </w:r>
      <w:r>
        <w:rPr>
          <w:rFonts w:hint="eastAsia" w:hAnsi="宋体" w:cs="宋体"/>
          <w:bCs/>
          <w:sz w:val="22"/>
          <w:szCs w:val="22"/>
          <w:lang w:eastAsia="zh-CN"/>
        </w:rPr>
        <w:t>）</w:t>
      </w:r>
      <w:r>
        <w:rPr>
          <w:rFonts w:hint="eastAsia" w:ascii="宋体" w:hAnsi="宋体" w:cs="宋体"/>
          <w:bCs/>
          <w:sz w:val="22"/>
          <w:szCs w:val="22"/>
        </w:rPr>
        <w:t>《国民经济行业分类》(GB/T4754-2002)</w:t>
      </w:r>
    </w:p>
    <w:p w14:paraId="292929FE">
      <w:pPr>
        <w:spacing w:line="360" w:lineRule="auto"/>
        <w:ind w:firstLine="440" w:firstLineChars="200"/>
        <w:rPr>
          <w:rFonts w:hint="eastAsia" w:ascii="宋体" w:hAnsi="宋体" w:cs="宋体"/>
          <w:bCs/>
          <w:sz w:val="22"/>
          <w:szCs w:val="22"/>
        </w:rPr>
      </w:pPr>
      <w:r>
        <w:rPr>
          <w:rFonts w:hint="eastAsia" w:hAnsi="宋体" w:cs="宋体"/>
          <w:bCs/>
          <w:sz w:val="22"/>
          <w:szCs w:val="22"/>
          <w:lang w:eastAsia="zh-CN"/>
        </w:rPr>
        <w:t>（</w:t>
      </w:r>
      <w:r>
        <w:rPr>
          <w:rFonts w:hint="eastAsia" w:hAnsi="宋体" w:cs="宋体"/>
          <w:bCs/>
          <w:sz w:val="22"/>
          <w:szCs w:val="22"/>
          <w:lang w:val="en-US" w:eastAsia="zh-CN"/>
        </w:rPr>
        <w:t>7</w:t>
      </w:r>
      <w:r>
        <w:rPr>
          <w:rFonts w:hint="eastAsia" w:hAnsi="宋体" w:cs="宋体"/>
          <w:bCs/>
          <w:sz w:val="22"/>
          <w:szCs w:val="22"/>
          <w:lang w:eastAsia="zh-CN"/>
        </w:rPr>
        <w:t>）</w:t>
      </w:r>
      <w:r>
        <w:rPr>
          <w:rFonts w:hint="eastAsia" w:ascii="宋体" w:hAnsi="宋体" w:cs="宋体"/>
          <w:bCs/>
          <w:sz w:val="22"/>
          <w:szCs w:val="22"/>
        </w:rPr>
        <w:t>《金融业企业划型标准规定》（银发〔2015〕 309 号）</w:t>
      </w:r>
    </w:p>
    <w:p w14:paraId="268A068B">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3、请依照提供的格式和内容填写声明函，不要随意变更格式或增删内容；满足多项优惠政策的企业，不重复享受多项价格扣除政策。</w:t>
      </w:r>
    </w:p>
    <w:p w14:paraId="52691969">
      <w:pPr>
        <w:spacing w:line="360" w:lineRule="auto"/>
        <w:ind w:firstLine="440" w:firstLineChars="200"/>
        <w:rPr>
          <w:rFonts w:hint="eastAsia" w:ascii="宋体" w:hAnsi="宋体" w:cs="宋体"/>
          <w:bCs/>
          <w:sz w:val="22"/>
          <w:szCs w:val="22"/>
        </w:rPr>
      </w:pPr>
      <w:r>
        <w:rPr>
          <w:rFonts w:hint="eastAsia" w:ascii="宋体" w:hAnsi="宋体" w:cs="宋体"/>
          <w:bCs/>
          <w:sz w:val="22"/>
          <w:szCs w:val="22"/>
        </w:rPr>
        <w:t>4、声明函具体填写要求：</w:t>
      </w:r>
    </w:p>
    <w:p w14:paraId="2823A932">
      <w:pPr>
        <w:spacing w:line="360" w:lineRule="auto"/>
        <w:ind w:firstLine="442" w:firstLineChars="200"/>
        <w:rPr>
          <w:rFonts w:hint="eastAsia" w:ascii="宋体" w:hAnsi="宋体" w:cs="宋体"/>
          <w:b/>
          <w:sz w:val="22"/>
          <w:szCs w:val="22"/>
        </w:rPr>
      </w:pPr>
      <w:r>
        <w:rPr>
          <w:rFonts w:hint="eastAsia" w:ascii="宋体" w:hAnsi="宋体" w:cs="宋体"/>
          <w:b/>
          <w:sz w:val="22"/>
          <w:szCs w:val="22"/>
        </w:rPr>
        <w:t>（1）声明是中小企业须填写《中小企业声明函》的以下内容：</w:t>
      </w:r>
    </w:p>
    <w:p w14:paraId="5778B9F3">
      <w:pPr>
        <w:spacing w:line="360" w:lineRule="auto"/>
        <w:ind w:firstLine="442" w:firstLineChars="200"/>
        <w:rPr>
          <w:rFonts w:hint="eastAsia" w:ascii="宋体" w:hAnsi="宋体" w:cs="宋体"/>
          <w:b/>
          <w:sz w:val="22"/>
          <w:szCs w:val="22"/>
        </w:rPr>
      </w:pPr>
      <w:r>
        <w:rPr>
          <w:rFonts w:hint="eastAsia" w:ascii="宋体" w:hAnsi="宋体" w:cs="宋体"/>
          <w:b/>
          <w:sz w:val="22"/>
          <w:szCs w:val="22"/>
        </w:rPr>
        <w:t>在“采购单位名称”下划线处填写本项目的实际采购单位名称（深圳市东海国际招标有限公司不是本项目的采购单位，而是本项目的组织实施机构）；</w:t>
      </w:r>
    </w:p>
    <w:p w14:paraId="199702DD">
      <w:pPr>
        <w:spacing w:line="360" w:lineRule="auto"/>
        <w:ind w:firstLine="442" w:firstLineChars="200"/>
        <w:rPr>
          <w:rFonts w:hint="eastAsia" w:ascii="宋体" w:hAnsi="宋体" w:cs="宋体"/>
          <w:b/>
          <w:sz w:val="22"/>
          <w:szCs w:val="22"/>
        </w:rPr>
      </w:pPr>
      <w:r>
        <w:rPr>
          <w:rFonts w:hint="eastAsia" w:ascii="宋体" w:hAnsi="宋体" w:cs="宋体"/>
          <w:b/>
          <w:sz w:val="22"/>
          <w:szCs w:val="22"/>
        </w:rPr>
        <w:t>在“采购项目名称”下划线处填写本项目的实际项目名称（项目名称可在招标公告处查看）；</w:t>
      </w:r>
    </w:p>
    <w:p w14:paraId="23154781">
      <w:pPr>
        <w:spacing w:line="360" w:lineRule="auto"/>
        <w:ind w:firstLine="442" w:firstLineChars="200"/>
        <w:rPr>
          <w:b/>
          <w:sz w:val="22"/>
          <w:szCs w:val="22"/>
        </w:rPr>
      </w:pPr>
      <w:r>
        <w:rPr>
          <w:rFonts w:hint="eastAsia" w:ascii="宋体" w:hAnsi="宋体"/>
          <w:b/>
          <w:sz w:val="22"/>
          <w:szCs w:val="22"/>
        </w:rPr>
        <w:t>在“标的名称”下划线处填写招标文件中采购需求中相对应的名称；</w:t>
      </w:r>
    </w:p>
    <w:p w14:paraId="7EAA7E19">
      <w:pPr>
        <w:spacing w:line="360" w:lineRule="auto"/>
        <w:ind w:firstLine="442" w:firstLineChars="200"/>
        <w:rPr>
          <w:b/>
          <w:sz w:val="22"/>
          <w:szCs w:val="22"/>
        </w:rPr>
      </w:pPr>
      <w:r>
        <w:rPr>
          <w:rFonts w:hint="eastAsia" w:ascii="宋体" w:hAnsi="宋体"/>
          <w:b/>
          <w:sz w:val="22"/>
          <w:szCs w:val="22"/>
        </w:rPr>
        <w:t>在“采购文件中明确的所属行业”中填写对应的行业类别；</w:t>
      </w:r>
    </w:p>
    <w:p w14:paraId="3604D48B">
      <w:pPr>
        <w:spacing w:line="360" w:lineRule="auto"/>
        <w:ind w:firstLine="442" w:firstLineChars="200"/>
        <w:rPr>
          <w:rFonts w:hint="eastAsia" w:ascii="宋体" w:hAnsi="宋体" w:cs="宋体"/>
          <w:b/>
          <w:sz w:val="22"/>
          <w:szCs w:val="22"/>
        </w:rPr>
      </w:pPr>
      <w:r>
        <w:rPr>
          <w:rFonts w:hint="eastAsia" w:ascii="宋体" w:hAnsi="宋体" w:cs="宋体"/>
          <w:b/>
          <w:sz w:val="22"/>
          <w:szCs w:val="22"/>
        </w:rPr>
        <w:t>在“企业名称”中填写所提供货物的制造商的企业名称（或承接服务/工程的企业名称），并如实填写该企业需要填报的其他情况。</w:t>
      </w:r>
    </w:p>
    <w:p w14:paraId="6A2D77DA">
      <w:pPr>
        <w:spacing w:line="360" w:lineRule="auto"/>
        <w:ind w:firstLine="442" w:firstLineChars="200"/>
        <w:rPr>
          <w:rFonts w:hint="eastAsia" w:ascii="宋体" w:hAnsi="宋体" w:cs="宋体"/>
          <w:b/>
          <w:sz w:val="22"/>
          <w:szCs w:val="22"/>
        </w:rPr>
      </w:pPr>
      <w:r>
        <w:rPr>
          <w:rFonts w:hint="eastAsia" w:ascii="宋体" w:hAnsi="宋体" w:cs="宋体"/>
          <w:b/>
          <w:sz w:val="22"/>
          <w:szCs w:val="22"/>
        </w:rPr>
        <w:t>在“中型企业、小型企业、微型企业”下划线处根据自身实际情况在三个选项中填写符合相关政策要求的一个；</w:t>
      </w:r>
    </w:p>
    <w:p w14:paraId="5186D870">
      <w:pPr>
        <w:numPr>
          <w:ilvl w:val="0"/>
          <w:numId w:val="34"/>
        </w:numPr>
        <w:spacing w:line="360" w:lineRule="auto"/>
        <w:ind w:firstLine="440" w:firstLineChars="200"/>
        <w:rPr>
          <w:rFonts w:hint="eastAsia" w:ascii="宋体" w:hAnsi="宋体" w:cs="宋体"/>
          <w:bCs/>
          <w:sz w:val="22"/>
          <w:szCs w:val="22"/>
        </w:rPr>
      </w:pPr>
      <w:r>
        <w:rPr>
          <w:rFonts w:hint="eastAsia" w:ascii="宋体" w:hAnsi="宋体" w:cs="宋体"/>
          <w:bCs/>
          <w:sz w:val="22"/>
          <w:szCs w:val="22"/>
        </w:rPr>
        <w:t>声明是残疾人福利性单位须填写《残疾人福利性单位声明函》的三项内容（填写位置的字体已加粗），具体参照以上《中小企业声明函》填写要求执行。</w:t>
      </w:r>
    </w:p>
    <w:p w14:paraId="2B340C49">
      <w:pPr>
        <w:spacing w:line="360" w:lineRule="auto"/>
        <w:ind w:firstLine="440" w:firstLineChars="200"/>
        <w:rPr>
          <w:rFonts w:ascii="宋体" w:hAnsi="宋体" w:cs="宋体"/>
          <w:b/>
          <w:szCs w:val="21"/>
        </w:rPr>
      </w:pPr>
      <w:r>
        <w:rPr>
          <w:rFonts w:hint="eastAsia" w:ascii="宋体" w:hAnsi="宋体" w:cs="宋体"/>
          <w:bCs/>
          <w:sz w:val="22"/>
          <w:szCs w:val="22"/>
        </w:rPr>
        <w:t>5、声明函的有效性最终由评审委员会判定。</w:t>
      </w:r>
    </w:p>
    <w:p w14:paraId="3E98DBBB">
      <w:r>
        <w:br w:type="page"/>
      </w:r>
    </w:p>
    <w:p w14:paraId="790304DE"/>
    <w:p w14:paraId="6D39C98A">
      <w:pPr>
        <w:pStyle w:val="8"/>
      </w:pPr>
    </w:p>
    <w:p w14:paraId="6E4BC1D2">
      <w:pPr>
        <w:adjustRightInd w:val="0"/>
        <w:snapToGrid w:val="0"/>
        <w:spacing w:line="360" w:lineRule="auto"/>
        <w:jc w:val="center"/>
        <w:rPr>
          <w:rFonts w:ascii="宋体" w:hAnsi="宋体" w:cs="宋体"/>
          <w:b/>
          <w:sz w:val="22"/>
          <w:szCs w:val="22"/>
        </w:rPr>
      </w:pPr>
      <w:r>
        <w:rPr>
          <w:rFonts w:hint="eastAsia" w:ascii="宋体" w:hAnsi="宋体" w:cs="宋体"/>
          <w:b/>
          <w:sz w:val="22"/>
          <w:szCs w:val="22"/>
        </w:rPr>
        <w:t>（一）中小企</w:t>
      </w:r>
      <w:r>
        <w:rPr>
          <w:rFonts w:hint="eastAsia" w:ascii="宋体" w:hAnsi="宋体" w:cs="宋体"/>
          <w:b/>
          <w:bCs/>
          <w:sz w:val="22"/>
          <w:szCs w:val="22"/>
        </w:rPr>
        <w:t>业声明函</w:t>
      </w:r>
    </w:p>
    <w:p w14:paraId="78B582D3">
      <w:pPr>
        <w:ind w:firstLine="440" w:firstLineChars="200"/>
        <w:rPr>
          <w:rFonts w:ascii="宋体" w:hAnsi="宋体" w:cs="宋体"/>
          <w:sz w:val="22"/>
          <w:szCs w:val="22"/>
        </w:rPr>
      </w:pPr>
      <w:r>
        <w:rPr>
          <w:rFonts w:hint="eastAsia" w:ascii="宋体" w:hAnsi="宋体" w:cs="宋体"/>
          <w:sz w:val="22"/>
          <w:szCs w:val="22"/>
        </w:rPr>
        <w:t>本公司（联合体）郑重声明，根据《政府采购促进中小企业发展管理办法》（财库﹝2020﹞46 号）的规定，本公司（联合体）参加</w:t>
      </w:r>
      <w:r>
        <w:rPr>
          <w:rFonts w:hint="eastAsia" w:ascii="宋体" w:hAnsi="宋体" w:cs="宋体"/>
          <w:b/>
          <w:bCs/>
          <w:sz w:val="22"/>
          <w:szCs w:val="22"/>
          <w:u w:val="single"/>
        </w:rPr>
        <w:t>（单位名称）</w:t>
      </w:r>
      <w:r>
        <w:rPr>
          <w:rFonts w:hint="eastAsia" w:ascii="宋体" w:hAnsi="宋体" w:cs="宋体"/>
          <w:sz w:val="22"/>
          <w:szCs w:val="22"/>
        </w:rPr>
        <w:t>的</w:t>
      </w:r>
      <w:r>
        <w:rPr>
          <w:rFonts w:hint="eastAsia" w:ascii="宋体" w:hAnsi="宋体" w:cs="宋体"/>
          <w:b/>
          <w:bCs/>
          <w:sz w:val="22"/>
          <w:szCs w:val="22"/>
          <w:u w:val="single"/>
        </w:rPr>
        <w:t>（项目名称）</w:t>
      </w:r>
      <w:r>
        <w:rPr>
          <w:rFonts w:hint="eastAsia" w:ascii="宋体" w:hAnsi="宋体" w:cs="宋体"/>
          <w:sz w:val="22"/>
          <w:szCs w:val="22"/>
        </w:rPr>
        <w:t>采购活动，服务全部由符合政策要求的中小企业承接。相关企业（含联合体中的中小企业、签订分包意向协议的中小企业）的具体情况如下：</w:t>
      </w:r>
    </w:p>
    <w:p w14:paraId="73B8C8A0">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u w:val="single"/>
        </w:rPr>
        <w:t xml:space="preserve">  </w:t>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4FB3B209">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u w:val="single"/>
        </w:rPr>
        <w:t xml:space="preserve">  </w:t>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5C284424">
      <w:pPr>
        <w:ind w:firstLine="440" w:firstLineChars="200"/>
        <w:rPr>
          <w:rFonts w:ascii="宋体" w:hAnsi="宋体" w:cs="宋体"/>
          <w:sz w:val="22"/>
          <w:szCs w:val="22"/>
        </w:rPr>
      </w:pPr>
      <w:r>
        <w:rPr>
          <w:rFonts w:hint="eastAsia" w:ascii="宋体" w:hAnsi="宋体" w:cs="宋体"/>
          <w:sz w:val="22"/>
          <w:szCs w:val="22"/>
        </w:rPr>
        <w:t>……</w:t>
      </w:r>
    </w:p>
    <w:p w14:paraId="4033CA85">
      <w:pPr>
        <w:ind w:firstLine="440" w:firstLineChars="200"/>
        <w:rPr>
          <w:rFonts w:ascii="宋体" w:hAnsi="宋体" w:cs="宋体"/>
          <w:sz w:val="22"/>
          <w:szCs w:val="22"/>
        </w:rPr>
      </w:pPr>
      <w:r>
        <w:rPr>
          <w:rFonts w:hint="eastAsia" w:ascii="宋体" w:hAnsi="宋体" w:cs="宋体"/>
          <w:sz w:val="22"/>
          <w:szCs w:val="22"/>
        </w:rPr>
        <w:t>以上企业，不属于大企业的分支机构，不存在控股股东为大企业的情形，也不存在与大企业的负责人为同一人的情形。</w:t>
      </w:r>
    </w:p>
    <w:p w14:paraId="543461E7">
      <w:pPr>
        <w:ind w:firstLine="440" w:firstLineChars="200"/>
        <w:rPr>
          <w:rFonts w:ascii="宋体" w:hAnsi="宋体" w:cs="宋体"/>
          <w:sz w:val="22"/>
          <w:szCs w:val="22"/>
        </w:rPr>
      </w:pPr>
      <w:r>
        <w:rPr>
          <w:rFonts w:hint="eastAsia" w:ascii="宋体" w:hAnsi="宋体" w:cs="宋体"/>
          <w:sz w:val="22"/>
          <w:szCs w:val="22"/>
        </w:rPr>
        <w:t>本企业对上述声明内容的真实性负责。如有虚假，将依法承担相应责任。</w:t>
      </w:r>
    </w:p>
    <w:p w14:paraId="4312DC1D">
      <w:pPr>
        <w:spacing w:line="360" w:lineRule="exact"/>
        <w:ind w:firstLine="440" w:firstLineChars="200"/>
        <w:rPr>
          <w:rFonts w:ascii="宋体" w:hAnsi="宋体" w:cs="宋体"/>
          <w:sz w:val="22"/>
          <w:szCs w:val="22"/>
        </w:rPr>
      </w:pPr>
      <w:r>
        <w:rPr>
          <w:rFonts w:hint="eastAsia" w:ascii="宋体" w:hAnsi="宋体" w:cs="宋体"/>
          <w:sz w:val="22"/>
          <w:szCs w:val="22"/>
        </w:rPr>
        <w:t>本公司知悉《政府采购促进中小企业发展管理办法》（财库〔2020〕 46 号）、《中小企业划型标准规定》（工信部联企〔2011〕 300 号）、《统计上大中小微型企业划分办法（2017）》等 规定，承诺提供的声明函内容是真实的，并知悉根据《政府 采购促进中小企业发展管理办法》（财库〔2020〕46 号）第二十条规定，本公司按照本办法规定提供声明函内容不实的，属于提供虚假材料谋取中标、成交，依照《政府采购法》等政府采购有关法律法规规定追究相应责任。</w:t>
      </w:r>
    </w:p>
    <w:p w14:paraId="52948CEA">
      <w:pPr>
        <w:ind w:firstLine="440" w:firstLineChars="200"/>
        <w:jc w:val="center"/>
        <w:rPr>
          <w:rFonts w:hint="eastAsia" w:ascii="宋体" w:hAnsi="宋体" w:cs="宋体"/>
          <w:sz w:val="22"/>
          <w:szCs w:val="22"/>
        </w:rPr>
      </w:pPr>
    </w:p>
    <w:p w14:paraId="73D30440">
      <w:pPr>
        <w:ind w:firstLine="440" w:firstLineChars="200"/>
        <w:jc w:val="center"/>
        <w:rPr>
          <w:rFonts w:hint="eastAsia" w:ascii="宋体" w:hAnsi="宋体" w:cs="宋体"/>
          <w:sz w:val="22"/>
          <w:szCs w:val="22"/>
        </w:rPr>
      </w:pPr>
    </w:p>
    <w:p w14:paraId="0601FB97">
      <w:pPr>
        <w:ind w:firstLine="440" w:firstLineChars="200"/>
        <w:jc w:val="center"/>
        <w:rPr>
          <w:rFonts w:hint="eastAsia" w:ascii="宋体" w:hAnsi="宋体" w:cs="宋体"/>
          <w:sz w:val="22"/>
          <w:szCs w:val="22"/>
          <w:u w:val="single"/>
        </w:rPr>
      </w:pPr>
      <w:r>
        <w:rPr>
          <w:rFonts w:hint="eastAsia" w:ascii="宋体" w:hAnsi="宋体" w:cs="宋体"/>
          <w:sz w:val="22"/>
          <w:szCs w:val="22"/>
        </w:rPr>
        <w:t xml:space="preserve">                                   企业名称（盖章）：</w:t>
      </w:r>
      <w:r>
        <w:rPr>
          <w:rFonts w:hint="eastAsia" w:ascii="宋体" w:hAnsi="宋体" w:cs="宋体"/>
          <w:sz w:val="22"/>
          <w:szCs w:val="22"/>
          <w:u w:val="single"/>
        </w:rPr>
        <w:t xml:space="preserve">          </w:t>
      </w:r>
    </w:p>
    <w:p w14:paraId="155E7CE8">
      <w:pPr>
        <w:ind w:firstLine="420" w:firstLineChars="200"/>
        <w:jc w:val="center"/>
      </w:pPr>
      <w:r>
        <w:rPr>
          <w:rFonts w:hint="eastAsia" w:ascii="宋体" w:hAnsi="宋体"/>
        </w:rPr>
        <w:t xml:space="preserve">                                 日期：</w:t>
      </w:r>
      <w:r>
        <w:rPr>
          <w:rFonts w:hint="eastAsia"/>
          <w:u w:val="single"/>
        </w:rPr>
        <w:t xml:space="preserve">               </w:t>
      </w:r>
    </w:p>
    <w:p w14:paraId="7CCE8FBE">
      <w:pPr>
        <w:rPr>
          <w:rFonts w:hint="eastAsia" w:ascii="宋体" w:hAnsi="宋体"/>
        </w:rPr>
      </w:pPr>
    </w:p>
    <w:p w14:paraId="3D5C3BD0">
      <w:r>
        <w:rPr>
          <w:rFonts w:hint="eastAsia" w:ascii="宋体" w:hAnsi="宋体"/>
          <w:b/>
          <w:bCs/>
        </w:rPr>
        <w:t>（从业人员、营业收入、资产总额上一年度数据，无上一年度数据的新成立企业可不填报）</w:t>
      </w:r>
    </w:p>
    <w:p w14:paraId="7A46EC2D">
      <w:pPr>
        <w:rPr>
          <w:rFonts w:ascii="宋体" w:hAnsi="宋体" w:cs="宋体"/>
          <w:sz w:val="22"/>
          <w:u w:val="single"/>
        </w:rPr>
      </w:pPr>
      <w:r>
        <w:rPr>
          <w:rFonts w:ascii="宋体" w:hAnsi="宋体" w:cs="宋体"/>
          <w:sz w:val="22"/>
          <w:u w:val="single"/>
        </w:rPr>
        <w:br w:type="page"/>
      </w:r>
    </w:p>
    <w:p w14:paraId="0D2CAA45">
      <w:pPr>
        <w:spacing w:line="360" w:lineRule="exact"/>
        <w:jc w:val="center"/>
        <w:rPr>
          <w:rFonts w:ascii="宋体" w:hAnsi="宋体" w:cs="宋体"/>
          <w:b/>
          <w:spacing w:val="6"/>
          <w:sz w:val="22"/>
        </w:rPr>
      </w:pPr>
      <w:r>
        <w:rPr>
          <w:rFonts w:hint="eastAsia" w:ascii="宋体" w:hAnsi="宋体" w:cs="宋体"/>
          <w:b/>
          <w:spacing w:val="6"/>
          <w:sz w:val="22"/>
        </w:rPr>
        <w:t>（二）残疾人福利性单位声明函</w:t>
      </w:r>
    </w:p>
    <w:p w14:paraId="6F78BA1C">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eastAsia="宋体" w:cs="宋体"/>
          <w:spacing w:val="6"/>
          <w:sz w:val="22"/>
          <w:szCs w:val="22"/>
        </w:rPr>
      </w:pPr>
      <w:r>
        <w:rPr>
          <w:rFonts w:hint="eastAsia" w:ascii="宋体" w:hAnsi="宋体" w:eastAsia="宋体" w:cs="宋体"/>
          <w:spacing w:val="6"/>
          <w:sz w:val="22"/>
          <w:szCs w:val="22"/>
        </w:rPr>
        <w:t>本单位郑重声明，根据《财政部 民政部 中国残疾人联合会关于促进残疾人就业政府采购政策的通知》（财库</w:t>
      </w:r>
      <w:r>
        <w:rPr>
          <w:rFonts w:hint="eastAsia" w:ascii="宋体" w:hAnsi="宋体" w:eastAsia="宋体" w:cs="宋体"/>
          <w:sz w:val="22"/>
          <w:szCs w:val="22"/>
        </w:rPr>
        <w:t>〔2017〕 141</w:t>
      </w:r>
      <w:r>
        <w:rPr>
          <w:rFonts w:hint="eastAsia" w:ascii="宋体" w:hAnsi="宋体" w:eastAsia="宋体" w:cs="宋体"/>
          <w:spacing w:val="6"/>
          <w:sz w:val="22"/>
          <w:szCs w:val="22"/>
        </w:rPr>
        <w:t>号）的规定，本单位为符合条件的残疾人福利性单位，</w:t>
      </w:r>
      <w:r>
        <w:rPr>
          <w:rFonts w:hint="eastAsia" w:ascii="宋体" w:hAnsi="宋体" w:eastAsia="宋体" w:cs="宋体"/>
          <w:color w:val="000000"/>
          <w:sz w:val="22"/>
          <w:szCs w:val="22"/>
        </w:rPr>
        <w:t>且本单位参加</w:t>
      </w:r>
      <w:r>
        <w:rPr>
          <w:rFonts w:hint="eastAsia" w:ascii="宋体" w:hAnsi="宋体" w:eastAsia="宋体" w:cs="宋体"/>
          <w:b/>
          <w:color w:val="000000"/>
          <w:sz w:val="22"/>
          <w:szCs w:val="22"/>
          <w:u w:val="single"/>
        </w:rPr>
        <w:t xml:space="preserve">   （采购单位名称）</w:t>
      </w:r>
      <w:r>
        <w:rPr>
          <w:rFonts w:hint="eastAsia" w:ascii="宋体" w:hAnsi="宋体" w:eastAsia="宋体" w:cs="宋体"/>
          <w:color w:val="000000"/>
          <w:sz w:val="22"/>
          <w:szCs w:val="22"/>
        </w:rPr>
        <w:t>单位的</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b/>
          <w:color w:val="000000"/>
          <w:sz w:val="22"/>
          <w:szCs w:val="22"/>
          <w:u w:val="single"/>
        </w:rPr>
        <w:t>（采购项目名称）</w:t>
      </w:r>
      <w:r>
        <w:rPr>
          <w:rFonts w:hint="eastAsia" w:ascii="宋体" w:hAnsi="宋体" w:eastAsia="宋体" w:cs="宋体"/>
          <w:color w:val="000000"/>
          <w:sz w:val="22"/>
          <w:szCs w:val="22"/>
        </w:rPr>
        <w:t>项目采购活动，并由本单位提供服务</w:t>
      </w:r>
      <w:r>
        <w:rPr>
          <w:rFonts w:hint="eastAsia" w:ascii="宋体" w:hAnsi="宋体" w:eastAsia="宋体" w:cs="宋体"/>
          <w:spacing w:val="6"/>
          <w:sz w:val="22"/>
          <w:szCs w:val="22"/>
        </w:rPr>
        <w:t>。</w:t>
      </w:r>
    </w:p>
    <w:p w14:paraId="7BC1E687">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eastAsia="宋体" w:cs="宋体"/>
          <w:spacing w:val="6"/>
          <w:sz w:val="22"/>
          <w:szCs w:val="22"/>
        </w:rPr>
      </w:pPr>
      <w:r>
        <w:rPr>
          <w:rFonts w:hint="eastAsia" w:ascii="宋体" w:hAnsi="宋体" w:eastAsia="宋体" w:cs="宋体"/>
          <w:spacing w:val="6"/>
          <w:sz w:val="22"/>
          <w:szCs w:val="22"/>
        </w:rPr>
        <w:t>本单位对上述声明的真实性负责。如有虚假，将依法承担相应责任。</w:t>
      </w:r>
    </w:p>
    <w:p w14:paraId="126D0408">
      <w:pPr>
        <w:keepNext w:val="0"/>
        <w:keepLines w:val="0"/>
        <w:pageBreakBefore w:val="0"/>
        <w:widowControl/>
        <w:kinsoku/>
        <w:wordWrap/>
        <w:overflowPunct/>
        <w:topLinePunct w:val="0"/>
        <w:autoSpaceDE/>
        <w:autoSpaceDN/>
        <w:bidi w:val="0"/>
        <w:adjustRightInd w:val="0"/>
        <w:snapToGrid w:val="0"/>
        <w:spacing w:line="360" w:lineRule="exact"/>
        <w:ind w:firstLine="464" w:firstLineChars="200"/>
        <w:jc w:val="left"/>
        <w:textAlignment w:val="auto"/>
        <w:rPr>
          <w:rFonts w:hint="eastAsia" w:ascii="宋体" w:hAnsi="宋体" w:cs="宋体"/>
          <w:b/>
          <w:spacing w:val="6"/>
          <w:sz w:val="22"/>
        </w:rPr>
      </w:pPr>
      <w:r>
        <w:rPr>
          <w:rFonts w:hint="eastAsia" w:ascii="宋体" w:hAnsi="宋体" w:eastAsia="宋体" w:cs="宋体"/>
          <w:spacing w:val="6"/>
          <w:sz w:val="22"/>
          <w:szCs w:val="22"/>
        </w:rPr>
        <w:t>本单位知悉《关于促进残疾人就业政府采购政策的通知》(财库(2017141号)的规定,承诺提供的声明函内容是真实的,如提供声明函内容不实,则依法追究相关法律责任。</w:t>
      </w:r>
    </w:p>
    <w:p w14:paraId="16A85A20">
      <w:pPr>
        <w:spacing w:line="360" w:lineRule="exact"/>
        <w:ind w:firstLine="440" w:firstLineChars="200"/>
        <w:rPr>
          <w:rFonts w:ascii="宋体" w:hAnsi="宋体" w:cs="宋体"/>
          <w:sz w:val="22"/>
        </w:rPr>
      </w:pPr>
    </w:p>
    <w:p w14:paraId="0EEC5A15">
      <w:pPr>
        <w:ind w:firstLine="5880" w:firstLineChars="2800"/>
        <w:jc w:val="left"/>
        <w:rPr>
          <w:rFonts w:hint="eastAsia" w:ascii="宋体" w:hAnsi="宋体"/>
        </w:rPr>
      </w:pPr>
    </w:p>
    <w:p w14:paraId="5D710DD7">
      <w:pPr>
        <w:ind w:firstLine="5880" w:firstLineChars="2800"/>
        <w:jc w:val="left"/>
      </w:pPr>
      <w:r>
        <w:rPr>
          <w:rFonts w:hint="eastAsia" w:ascii="宋体" w:hAnsi="宋体"/>
        </w:rPr>
        <w:t>单位名称</w:t>
      </w:r>
      <w:r>
        <w:rPr>
          <w:rFonts w:hint="eastAsia" w:ascii="宋体" w:hAnsi="宋体" w:cs="宋体"/>
          <w:sz w:val="22"/>
          <w:szCs w:val="22"/>
        </w:rPr>
        <w:t>（盖章）</w:t>
      </w:r>
      <w:r>
        <w:rPr>
          <w:rFonts w:hint="eastAsia" w:ascii="宋体" w:hAnsi="宋体"/>
        </w:rPr>
        <w:t>：</w:t>
      </w:r>
      <w:r>
        <w:rPr>
          <w:rFonts w:hint="eastAsia"/>
          <w:u w:val="single"/>
        </w:rPr>
        <w:t xml:space="preserve">           </w:t>
      </w:r>
    </w:p>
    <w:p w14:paraId="7DA65DE8">
      <w:pPr>
        <w:ind w:firstLine="420" w:firstLineChars="200"/>
        <w:jc w:val="center"/>
      </w:pPr>
      <w:r>
        <w:rPr>
          <w:rFonts w:hint="eastAsia" w:ascii="宋体" w:hAnsi="宋体"/>
        </w:rPr>
        <w:t xml:space="preserve">                                  日期：</w:t>
      </w:r>
      <w:r>
        <w:rPr>
          <w:rFonts w:hint="eastAsia"/>
          <w:u w:val="single"/>
        </w:rPr>
        <w:t xml:space="preserve">               </w:t>
      </w:r>
    </w:p>
    <w:p w14:paraId="3FADCFF8">
      <w:pPr>
        <w:spacing w:line="360" w:lineRule="exact"/>
        <w:rPr>
          <w:rFonts w:ascii="宋体" w:hAnsi="宋体" w:cs="宋体"/>
          <w:b/>
          <w:spacing w:val="6"/>
          <w:sz w:val="22"/>
        </w:rPr>
      </w:pPr>
    </w:p>
    <w:p w14:paraId="3BD6E613">
      <w:pPr>
        <w:spacing w:line="360" w:lineRule="exact"/>
        <w:jc w:val="center"/>
        <w:rPr>
          <w:rFonts w:hint="eastAsia" w:ascii="宋体" w:hAnsi="宋体" w:cs="宋体"/>
          <w:b/>
          <w:spacing w:val="6"/>
          <w:sz w:val="22"/>
        </w:rPr>
      </w:pPr>
    </w:p>
    <w:p w14:paraId="370DA890">
      <w:pPr>
        <w:pStyle w:val="8"/>
        <w:rPr>
          <w:rFonts w:hint="eastAsia"/>
        </w:rPr>
      </w:pPr>
    </w:p>
    <w:p w14:paraId="70E1D462">
      <w:pPr>
        <w:spacing w:line="360" w:lineRule="exact"/>
        <w:jc w:val="center"/>
        <w:rPr>
          <w:rFonts w:hint="eastAsia" w:ascii="宋体" w:hAnsi="宋体" w:cs="宋体"/>
          <w:b/>
          <w:spacing w:val="6"/>
          <w:sz w:val="22"/>
        </w:rPr>
      </w:pPr>
    </w:p>
    <w:p w14:paraId="119BB649">
      <w:pPr>
        <w:pStyle w:val="8"/>
        <w:rPr>
          <w:rFonts w:hint="eastAsia"/>
        </w:rPr>
      </w:pPr>
    </w:p>
    <w:p w14:paraId="3E72E54F">
      <w:pPr>
        <w:spacing w:line="360" w:lineRule="exact"/>
        <w:jc w:val="center"/>
        <w:rPr>
          <w:rFonts w:ascii="宋体" w:hAnsi="宋体" w:cs="宋体"/>
          <w:b/>
          <w:bCs/>
          <w:sz w:val="22"/>
        </w:rPr>
      </w:pPr>
      <w:r>
        <w:rPr>
          <w:rFonts w:hint="eastAsia" w:ascii="宋体" w:hAnsi="宋体" w:cs="宋体"/>
          <w:b/>
          <w:spacing w:val="6"/>
          <w:sz w:val="22"/>
        </w:rPr>
        <w:t>（三）</w:t>
      </w:r>
      <w:r>
        <w:rPr>
          <w:rFonts w:hint="eastAsia"/>
          <w:b/>
          <w:sz w:val="24"/>
        </w:rPr>
        <w:t>监狱企业声明函（</w:t>
      </w:r>
      <w:r>
        <w:rPr>
          <w:b/>
          <w:spacing w:val="6"/>
          <w:sz w:val="22"/>
        </w:rPr>
        <w:t>省级以上监狱管理局、戒毒管理局(含新疆生产建设兵团)出具的属于监狱企业的证明文件原件的扫描件</w:t>
      </w:r>
      <w:r>
        <w:rPr>
          <w:rFonts w:hint="eastAsia"/>
          <w:b/>
          <w:sz w:val="24"/>
        </w:rPr>
        <w:t>）</w:t>
      </w:r>
    </w:p>
    <w:p w14:paraId="0654D163">
      <w:pPr>
        <w:keepNext w:val="0"/>
        <w:keepLines w:val="0"/>
        <w:pageBreakBefore w:val="0"/>
        <w:widowControl/>
        <w:kinsoku/>
        <w:wordWrap/>
        <w:overflowPunct/>
        <w:topLinePunct w:val="0"/>
        <w:autoSpaceDE/>
        <w:autoSpaceDN/>
        <w:bidi w:val="0"/>
        <w:adjustRightInd w:val="0"/>
        <w:snapToGrid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本单位郑重声明，根据《财政部 司法部 关于政府采购支持监狱企业发展有关问题的通知》（财库〔2014〕68号）的规定，本单位为符合条件的监狱企业，且本单位参加</w:t>
      </w:r>
      <w:r>
        <w:rPr>
          <w:rFonts w:hint="eastAsia" w:ascii="宋体" w:hAnsi="宋体" w:eastAsia="宋体" w:cs="宋体"/>
          <w:sz w:val="22"/>
          <w:szCs w:val="22"/>
          <w:u w:val="single"/>
          <w:lang w:val="en-US" w:eastAsia="zh-CN"/>
        </w:rPr>
        <w:t xml:space="preserve">   </w:t>
      </w:r>
      <w:r>
        <w:rPr>
          <w:rFonts w:hint="eastAsia" w:ascii="宋体" w:hAnsi="宋体" w:eastAsia="宋体" w:cs="宋体"/>
          <w:b/>
          <w:sz w:val="22"/>
          <w:szCs w:val="22"/>
          <w:u w:val="single"/>
        </w:rPr>
        <w:t>（采购单位名称）</w:t>
      </w:r>
      <w:r>
        <w:rPr>
          <w:rFonts w:hint="eastAsia" w:ascii="宋体" w:hAnsi="宋体" w:eastAsia="宋体" w:cs="宋体"/>
          <w:sz w:val="22"/>
          <w:szCs w:val="22"/>
        </w:rPr>
        <w:t>单位的</w:t>
      </w:r>
      <w:r>
        <w:rPr>
          <w:rFonts w:hint="eastAsia" w:ascii="宋体" w:hAnsi="宋体" w:eastAsia="宋体" w:cs="宋体"/>
          <w:sz w:val="22"/>
          <w:szCs w:val="22"/>
          <w:u w:val="single"/>
          <w:lang w:val="en-US" w:eastAsia="zh-CN"/>
        </w:rPr>
        <w:t xml:space="preserve">   </w:t>
      </w:r>
      <w:r>
        <w:rPr>
          <w:rFonts w:hint="eastAsia" w:ascii="宋体" w:hAnsi="宋体" w:eastAsia="宋体" w:cs="宋体"/>
          <w:b/>
          <w:sz w:val="22"/>
          <w:szCs w:val="22"/>
          <w:u w:val="single"/>
        </w:rPr>
        <w:t>（采购项目名称）</w:t>
      </w:r>
      <w:r>
        <w:rPr>
          <w:rFonts w:hint="eastAsia" w:ascii="宋体" w:hAnsi="宋体" w:eastAsia="宋体" w:cs="宋体"/>
          <w:sz w:val="22"/>
          <w:szCs w:val="22"/>
        </w:rPr>
        <w:t>项目采购活动，</w:t>
      </w:r>
      <w:r>
        <w:rPr>
          <w:rFonts w:hint="eastAsia" w:ascii="宋体" w:hAnsi="宋体" w:eastAsia="宋体" w:cs="宋体"/>
          <w:color w:val="000000"/>
          <w:sz w:val="22"/>
          <w:szCs w:val="22"/>
        </w:rPr>
        <w:t>并由本单位提供服务</w:t>
      </w:r>
      <w:r>
        <w:rPr>
          <w:rFonts w:hint="eastAsia" w:ascii="宋体" w:hAnsi="宋体" w:eastAsia="宋体" w:cs="宋体"/>
          <w:sz w:val="22"/>
          <w:szCs w:val="22"/>
        </w:rPr>
        <w:t>。</w:t>
      </w:r>
    </w:p>
    <w:p w14:paraId="0560E778">
      <w:pPr>
        <w:keepNext w:val="0"/>
        <w:keepLines w:val="0"/>
        <w:pageBreakBefore w:val="0"/>
        <w:widowControl/>
        <w:kinsoku/>
        <w:wordWrap/>
        <w:overflowPunct/>
        <w:topLinePunct w:val="0"/>
        <w:autoSpaceDE/>
        <w:autoSpaceDN/>
        <w:bidi w:val="0"/>
        <w:adjustRightInd w:val="0"/>
        <w:snapToGrid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本单位对上述声明的真实性负责。如有虚假，将依法承担相应责任。</w:t>
      </w:r>
    </w:p>
    <w:p w14:paraId="3B3955E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宋体"/>
          <w:szCs w:val="21"/>
        </w:rPr>
      </w:pPr>
      <w:r>
        <w:rPr>
          <w:rFonts w:hint="eastAsia" w:ascii="宋体" w:hAnsi="宋体" w:eastAsia="宋体" w:cs="宋体"/>
          <w:sz w:val="22"/>
          <w:szCs w:val="22"/>
        </w:rPr>
        <w:t>附：省级以上监狱管理局、戒毒管理局（含新疆生产建设兵团）出具的监狱企业证明文件。</w:t>
      </w:r>
    </w:p>
    <w:p w14:paraId="19EAF897">
      <w:pPr>
        <w:spacing w:line="360" w:lineRule="auto"/>
        <w:ind w:firstLine="5460" w:firstLineChars="2600"/>
        <w:jc w:val="left"/>
        <w:rPr>
          <w:rFonts w:hint="eastAsia" w:ascii="宋体" w:hAnsi="宋体"/>
        </w:rPr>
      </w:pPr>
    </w:p>
    <w:p w14:paraId="4E8A9E83">
      <w:pPr>
        <w:spacing w:line="360" w:lineRule="auto"/>
        <w:ind w:firstLine="5460" w:firstLineChars="2600"/>
        <w:jc w:val="left"/>
        <w:rPr>
          <w:rFonts w:hint="eastAsia" w:ascii="宋体" w:hAnsi="宋体"/>
        </w:rPr>
      </w:pPr>
    </w:p>
    <w:p w14:paraId="5CE1C929">
      <w:pPr>
        <w:spacing w:line="360" w:lineRule="auto"/>
        <w:ind w:firstLine="5460" w:firstLineChars="2600"/>
        <w:jc w:val="left"/>
      </w:pPr>
      <w:r>
        <w:rPr>
          <w:rFonts w:hint="eastAsia" w:ascii="宋体" w:hAnsi="宋体"/>
        </w:rPr>
        <w:t>单位名称</w:t>
      </w:r>
      <w:r>
        <w:rPr>
          <w:rFonts w:hint="eastAsia" w:ascii="宋体" w:hAnsi="宋体" w:cs="宋体"/>
          <w:sz w:val="22"/>
          <w:szCs w:val="22"/>
        </w:rPr>
        <w:t>（盖章）</w:t>
      </w:r>
      <w:r>
        <w:rPr>
          <w:rFonts w:hint="eastAsia" w:ascii="宋体" w:hAnsi="宋体"/>
        </w:rPr>
        <w:t>：</w:t>
      </w:r>
      <w:r>
        <w:rPr>
          <w:rFonts w:hint="eastAsia"/>
          <w:u w:val="single"/>
        </w:rPr>
        <w:t xml:space="preserve">           </w:t>
      </w:r>
    </w:p>
    <w:p w14:paraId="3DD058AA">
      <w:pPr>
        <w:spacing w:line="360" w:lineRule="auto"/>
        <w:ind w:firstLine="420" w:firstLineChars="200"/>
        <w:jc w:val="center"/>
      </w:pPr>
      <w:r>
        <w:rPr>
          <w:rFonts w:hint="eastAsia" w:ascii="宋体" w:hAnsi="宋体"/>
        </w:rPr>
        <w:t xml:space="preserve">                                  日期：</w:t>
      </w:r>
      <w:r>
        <w:rPr>
          <w:rFonts w:hint="eastAsia"/>
          <w:u w:val="single"/>
        </w:rPr>
        <w:t xml:space="preserve">               </w:t>
      </w:r>
    </w:p>
    <w:p w14:paraId="32548984">
      <w:pPr>
        <w:shd w:val="clear" w:color="auto" w:fill="FFFFFF"/>
        <w:spacing w:line="360" w:lineRule="exact"/>
        <w:jc w:val="center"/>
        <w:rPr>
          <w:rFonts w:hint="eastAsia" w:ascii="宋体" w:hAnsi="宋体" w:eastAsia="宋体" w:cs="宋体"/>
          <w:b/>
          <w:spacing w:val="6"/>
          <w:sz w:val="22"/>
        </w:rPr>
      </w:pPr>
    </w:p>
    <w:p w14:paraId="7C2CDD18">
      <w:pPr>
        <w:shd w:val="clear" w:color="auto" w:fill="FFFFFF"/>
        <w:spacing w:line="360" w:lineRule="exact"/>
        <w:jc w:val="center"/>
        <w:rPr>
          <w:rFonts w:hint="eastAsia" w:ascii="宋体" w:hAnsi="宋体" w:eastAsia="宋体" w:cs="宋体"/>
          <w:b/>
          <w:spacing w:val="6"/>
          <w:sz w:val="22"/>
        </w:rPr>
      </w:pPr>
    </w:p>
    <w:p w14:paraId="6A6361AA">
      <w:pPr>
        <w:rPr>
          <w:rFonts w:hint="eastAsia" w:ascii="宋体" w:hAnsi="宋体" w:eastAsia="宋体" w:cs="宋体"/>
          <w:b/>
          <w:spacing w:val="6"/>
          <w:sz w:val="22"/>
        </w:rPr>
      </w:pPr>
      <w:r>
        <w:rPr>
          <w:rFonts w:hint="eastAsia" w:ascii="宋体" w:hAnsi="宋体" w:eastAsia="宋体" w:cs="宋体"/>
          <w:b/>
          <w:spacing w:val="6"/>
          <w:sz w:val="22"/>
        </w:rPr>
        <w:br w:type="page"/>
      </w:r>
    </w:p>
    <w:p w14:paraId="194FAEA6">
      <w:pPr>
        <w:shd w:val="clear" w:color="auto" w:fill="FFFFFF"/>
        <w:spacing w:line="360" w:lineRule="exact"/>
        <w:jc w:val="center"/>
        <w:rPr>
          <w:rFonts w:hint="eastAsia" w:ascii="宋体" w:hAnsi="宋体" w:eastAsia="宋体" w:cs="宋体"/>
          <w:b/>
          <w:spacing w:val="6"/>
          <w:sz w:val="22"/>
        </w:rPr>
      </w:pPr>
      <w:r>
        <w:rPr>
          <w:rFonts w:hint="eastAsia" w:ascii="宋体" w:hAnsi="宋体" w:eastAsia="宋体" w:cs="宋体"/>
          <w:b/>
          <w:spacing w:val="6"/>
          <w:sz w:val="22"/>
        </w:rPr>
        <w:t>（四）含有小型、微型企业的联合体声明函</w:t>
      </w:r>
    </w:p>
    <w:p w14:paraId="6DD65F24">
      <w:pPr>
        <w:spacing w:line="240" w:lineRule="auto"/>
        <w:ind w:firstLine="420" w:firstLineChars="200"/>
        <w:rPr>
          <w:szCs w:val="21"/>
          <w:highlight w:val="none"/>
        </w:rPr>
      </w:pPr>
    </w:p>
    <w:p w14:paraId="156F48B3">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sz w:val="22"/>
          <w:szCs w:val="22"/>
          <w:highlight w:val="none"/>
        </w:rPr>
        <w:t>1.</w:t>
      </w:r>
      <w:r>
        <w:rPr>
          <w:sz w:val="22"/>
          <w:szCs w:val="22"/>
          <w:highlight w:val="none"/>
          <w:u w:val="single"/>
        </w:rPr>
        <w:t>___</w:t>
      </w:r>
      <w:r>
        <w:rPr>
          <w:rFonts w:hint="eastAsia"/>
          <w:sz w:val="22"/>
          <w:szCs w:val="22"/>
          <w:highlight w:val="none"/>
        </w:rPr>
        <w:t>（供应商名称、供应商名称）</w:t>
      </w:r>
      <w:r>
        <w:rPr>
          <w:sz w:val="22"/>
          <w:szCs w:val="22"/>
          <w:highlight w:val="none"/>
          <w:u w:val="single"/>
        </w:rPr>
        <w:t>____</w:t>
      </w:r>
      <w:r>
        <w:rPr>
          <w:rFonts w:hint="eastAsia"/>
          <w:sz w:val="22"/>
          <w:szCs w:val="22"/>
          <w:highlight w:val="none"/>
        </w:rPr>
        <w:t>共同组成联合体（详见联合体协议）。根据《工业和信息化部、国家统计局、国家发展和改革委员会、财政部关于印发中小企业划型标准规定的通知》（工信部联企业〔</w:t>
      </w:r>
      <w:r>
        <w:rPr>
          <w:sz w:val="22"/>
          <w:szCs w:val="22"/>
          <w:highlight w:val="none"/>
        </w:rPr>
        <w:t>2011</w:t>
      </w:r>
      <w:r>
        <w:rPr>
          <w:rFonts w:hint="eastAsia"/>
          <w:sz w:val="22"/>
          <w:szCs w:val="22"/>
          <w:highlight w:val="none"/>
        </w:rPr>
        <w:t>〕</w:t>
      </w:r>
      <w:r>
        <w:rPr>
          <w:sz w:val="22"/>
          <w:szCs w:val="22"/>
          <w:highlight w:val="none"/>
        </w:rPr>
        <w:t>300</w:t>
      </w:r>
      <w:r>
        <w:rPr>
          <w:sz w:val="22"/>
          <w:szCs w:val="22"/>
          <w:highlight w:val="none"/>
          <w:u w:val="single"/>
        </w:rPr>
        <w:t>_</w:t>
      </w:r>
      <w:r>
        <w:rPr>
          <w:rFonts w:hint="eastAsia"/>
          <w:sz w:val="22"/>
          <w:szCs w:val="22"/>
          <w:highlight w:val="none"/>
        </w:rPr>
        <w:t>号）规定的划分标准，本联合体中：□</w:t>
      </w:r>
      <w:r>
        <w:rPr>
          <w:sz w:val="22"/>
          <w:szCs w:val="22"/>
          <w:highlight w:val="none"/>
          <w:u w:val="single"/>
        </w:rPr>
        <w:t>______</w:t>
      </w:r>
      <w:r>
        <w:rPr>
          <w:rFonts w:hint="eastAsia"/>
          <w:sz w:val="22"/>
          <w:szCs w:val="22"/>
          <w:highlight w:val="none"/>
        </w:rPr>
        <w:t>单位为</w:t>
      </w:r>
      <w:r>
        <w:rPr>
          <w:sz w:val="22"/>
          <w:szCs w:val="22"/>
          <w:highlight w:val="none"/>
          <w:u w:val="single"/>
        </w:rPr>
        <w:t>______</w:t>
      </w:r>
      <w:r>
        <w:rPr>
          <w:rFonts w:hint="eastAsia"/>
          <w:sz w:val="22"/>
          <w:szCs w:val="22"/>
          <w:highlight w:val="none"/>
        </w:rPr>
        <w:t>（请填写：中型、小型、微型）企业，</w:t>
      </w:r>
      <w:r>
        <w:rPr>
          <w:sz w:val="22"/>
          <w:szCs w:val="22"/>
          <w:highlight w:val="none"/>
          <w:u w:val="single"/>
        </w:rPr>
        <w:t>______</w:t>
      </w:r>
      <w:r>
        <w:rPr>
          <w:rFonts w:hint="eastAsia"/>
          <w:sz w:val="22"/>
          <w:szCs w:val="22"/>
          <w:highlight w:val="none"/>
        </w:rPr>
        <w:t>单位为</w:t>
      </w:r>
      <w:r>
        <w:rPr>
          <w:sz w:val="22"/>
          <w:szCs w:val="22"/>
          <w:highlight w:val="none"/>
          <w:u w:val="single"/>
        </w:rPr>
        <w:t>______</w:t>
      </w:r>
      <w:r>
        <w:rPr>
          <w:rFonts w:hint="eastAsia"/>
          <w:sz w:val="22"/>
          <w:szCs w:val="22"/>
          <w:highlight w:val="none"/>
        </w:rPr>
        <w:t>（请填写：中型、小型、微型）企业；□联合体各方均为小微企业（承诺人在□处打√）。</w:t>
      </w:r>
    </w:p>
    <w:p w14:paraId="31740409">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sz w:val="22"/>
          <w:szCs w:val="22"/>
          <w:highlight w:val="none"/>
        </w:rPr>
        <w:t>2.</w:t>
      </w:r>
      <w:r>
        <w:rPr>
          <w:rFonts w:hint="eastAsia"/>
          <w:sz w:val="22"/>
          <w:szCs w:val="22"/>
          <w:highlight w:val="none"/>
        </w:rPr>
        <w:t>本联合体参加</w:t>
      </w:r>
      <w:r>
        <w:rPr>
          <w:sz w:val="22"/>
          <w:szCs w:val="22"/>
          <w:highlight w:val="none"/>
          <w:u w:val="single"/>
        </w:rPr>
        <w:t>_</w:t>
      </w:r>
      <w:r>
        <w:rPr>
          <w:rFonts w:hint="eastAsia"/>
          <w:sz w:val="22"/>
          <w:szCs w:val="22"/>
          <w:highlight w:val="none"/>
        </w:rPr>
        <w:t>（采购单位名称）</w:t>
      </w:r>
      <w:r>
        <w:rPr>
          <w:sz w:val="22"/>
          <w:szCs w:val="22"/>
          <w:highlight w:val="none"/>
          <w:u w:val="single"/>
        </w:rPr>
        <w:t>_</w:t>
      </w:r>
      <w:r>
        <w:rPr>
          <w:rFonts w:hint="eastAsia"/>
          <w:sz w:val="22"/>
          <w:szCs w:val="22"/>
          <w:highlight w:val="none"/>
        </w:rPr>
        <w:t>单位的</w:t>
      </w:r>
      <w:r>
        <w:rPr>
          <w:sz w:val="22"/>
          <w:szCs w:val="22"/>
          <w:highlight w:val="none"/>
          <w:u w:val="single"/>
        </w:rPr>
        <w:t>_</w:t>
      </w:r>
      <w:r>
        <w:rPr>
          <w:rFonts w:hint="eastAsia"/>
          <w:sz w:val="22"/>
          <w:szCs w:val="22"/>
          <w:highlight w:val="none"/>
        </w:rPr>
        <w:t>（采购项目名称）</w:t>
      </w:r>
      <w:r>
        <w:rPr>
          <w:sz w:val="22"/>
          <w:szCs w:val="22"/>
          <w:highlight w:val="none"/>
          <w:u w:val="single"/>
        </w:rPr>
        <w:t>_</w:t>
      </w:r>
      <w:r>
        <w:rPr>
          <w:rFonts w:hint="eastAsia"/>
          <w:sz w:val="22"/>
          <w:szCs w:val="22"/>
          <w:highlight w:val="none"/>
        </w:rPr>
        <w:t>项目采购活动，其中，小型、微型企业协议合同金额占到联合体协议总金额比例为</w:t>
      </w:r>
      <w:r>
        <w:rPr>
          <w:sz w:val="22"/>
          <w:szCs w:val="22"/>
          <w:highlight w:val="none"/>
          <w:u w:val="single"/>
        </w:rPr>
        <w:t>_____</w:t>
      </w:r>
      <w:r>
        <w:rPr>
          <w:sz w:val="22"/>
          <w:szCs w:val="22"/>
          <w:highlight w:val="none"/>
        </w:rPr>
        <w:t>%</w:t>
      </w:r>
      <w:r>
        <w:rPr>
          <w:rFonts w:hint="eastAsia"/>
          <w:sz w:val="22"/>
          <w:szCs w:val="22"/>
          <w:highlight w:val="none"/>
        </w:rPr>
        <w:t>（该合同金额为：□小微企业制造的货物，□小微企业承担的工程、提供服务，□提供其他小微企业制造的货物；不包括使用大型企业注册商标的货物；请承诺人在□处打√），符合《政府采购促进中小企业发展暂行办法》</w:t>
      </w:r>
      <w:r>
        <w:rPr>
          <w:sz w:val="22"/>
          <w:szCs w:val="22"/>
          <w:highlight w:val="none"/>
        </w:rPr>
        <w:t>(</w:t>
      </w:r>
      <w:r>
        <w:rPr>
          <w:rFonts w:hint="eastAsia"/>
          <w:sz w:val="22"/>
          <w:szCs w:val="22"/>
          <w:highlight w:val="none"/>
        </w:rPr>
        <w:t>财库〔</w:t>
      </w:r>
      <w:r>
        <w:rPr>
          <w:sz w:val="22"/>
          <w:szCs w:val="22"/>
          <w:highlight w:val="none"/>
        </w:rPr>
        <w:t>2011</w:t>
      </w:r>
      <w:r>
        <w:rPr>
          <w:rFonts w:hint="eastAsia"/>
          <w:sz w:val="22"/>
          <w:szCs w:val="22"/>
          <w:highlight w:val="none"/>
        </w:rPr>
        <w:t>〕</w:t>
      </w:r>
      <w:r>
        <w:rPr>
          <w:sz w:val="22"/>
          <w:szCs w:val="22"/>
          <w:highlight w:val="none"/>
        </w:rPr>
        <w:t>181</w:t>
      </w:r>
      <w:r>
        <w:rPr>
          <w:sz w:val="22"/>
          <w:szCs w:val="22"/>
          <w:highlight w:val="none"/>
          <w:u w:val="single"/>
        </w:rPr>
        <w:t>_</w:t>
      </w:r>
      <w:r>
        <w:rPr>
          <w:rFonts w:hint="eastAsia"/>
          <w:sz w:val="22"/>
          <w:szCs w:val="22"/>
          <w:highlight w:val="none"/>
        </w:rPr>
        <w:t>号</w:t>
      </w:r>
      <w:r>
        <w:rPr>
          <w:sz w:val="22"/>
          <w:szCs w:val="22"/>
          <w:highlight w:val="none"/>
        </w:rPr>
        <w:t>)</w:t>
      </w:r>
      <w:r>
        <w:rPr>
          <w:rFonts w:hint="eastAsia"/>
          <w:sz w:val="22"/>
          <w:szCs w:val="22"/>
          <w:highlight w:val="none"/>
        </w:rPr>
        <w:t>第六条规定的优惠政策。本联合体对上述声明的真实性负责。如有虚假，将依法承担相应责任。</w:t>
      </w:r>
    </w:p>
    <w:p w14:paraId="39C7CFF6">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企业</w:t>
      </w:r>
      <w:r>
        <w:rPr>
          <w:sz w:val="22"/>
          <w:szCs w:val="22"/>
          <w:highlight w:val="none"/>
        </w:rPr>
        <w:t>1</w:t>
      </w:r>
      <w:r>
        <w:rPr>
          <w:rFonts w:hint="eastAsia"/>
          <w:sz w:val="22"/>
          <w:szCs w:val="22"/>
          <w:highlight w:val="none"/>
        </w:rPr>
        <w:t>名称（盖章）：</w:t>
      </w:r>
      <w:r>
        <w:rPr>
          <w:sz w:val="22"/>
          <w:szCs w:val="22"/>
          <w:highlight w:val="none"/>
          <w:u w:val="single"/>
        </w:rPr>
        <w:t>_______________________</w:t>
      </w:r>
      <w:r>
        <w:rPr>
          <w:sz w:val="22"/>
          <w:szCs w:val="22"/>
          <w:highlight w:val="none"/>
        </w:rPr>
        <w:t xml:space="preserve"> </w:t>
      </w:r>
    </w:p>
    <w:p w14:paraId="7B819B95">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日期：</w:t>
      </w:r>
      <w:r>
        <w:rPr>
          <w:sz w:val="22"/>
          <w:szCs w:val="22"/>
          <w:highlight w:val="none"/>
          <w:u w:val="single"/>
        </w:rPr>
        <w:t>_____________________________________</w:t>
      </w:r>
      <w:r>
        <w:rPr>
          <w:sz w:val="22"/>
          <w:szCs w:val="22"/>
          <w:highlight w:val="none"/>
        </w:rPr>
        <w:t xml:space="preserve"> </w:t>
      </w:r>
    </w:p>
    <w:p w14:paraId="67ECF0FE">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jc w:val="left"/>
        <w:textAlignment w:val="auto"/>
        <w:rPr>
          <w:sz w:val="22"/>
          <w:szCs w:val="22"/>
          <w:highlight w:val="none"/>
        </w:rPr>
      </w:pPr>
      <w:r>
        <w:rPr>
          <w:rFonts w:hint="eastAsia"/>
          <w:sz w:val="22"/>
          <w:szCs w:val="22"/>
          <w:highlight w:val="none"/>
        </w:rPr>
        <w:t>企业</w:t>
      </w:r>
      <w:r>
        <w:rPr>
          <w:sz w:val="22"/>
          <w:szCs w:val="22"/>
          <w:highlight w:val="none"/>
        </w:rPr>
        <w:t>2</w:t>
      </w:r>
      <w:r>
        <w:rPr>
          <w:rFonts w:hint="eastAsia"/>
          <w:sz w:val="22"/>
          <w:szCs w:val="22"/>
          <w:highlight w:val="none"/>
        </w:rPr>
        <w:t>名称（盖章）：</w:t>
      </w:r>
      <w:r>
        <w:rPr>
          <w:sz w:val="22"/>
          <w:szCs w:val="22"/>
          <w:highlight w:val="none"/>
          <w:u w:val="single"/>
        </w:rPr>
        <w:t>_______________________</w:t>
      </w:r>
    </w:p>
    <w:p w14:paraId="31124ECB">
      <w:pPr>
        <w:keepNext w:val="0"/>
        <w:keepLines w:val="0"/>
        <w:pageBreakBefore w:val="0"/>
        <w:widowControl/>
        <w:kinsoku/>
        <w:wordWrap/>
        <w:overflowPunct/>
        <w:topLinePunct w:val="0"/>
        <w:autoSpaceDE/>
        <w:autoSpaceDN/>
        <w:bidi w:val="0"/>
        <w:adjustRightInd w:val="0"/>
        <w:snapToGrid w:val="0"/>
        <w:spacing w:line="360" w:lineRule="exact"/>
        <w:ind w:left="0" w:leftChars="0" w:firstLine="440" w:firstLineChars="200"/>
        <w:textAlignment w:val="auto"/>
        <w:rPr>
          <w:sz w:val="22"/>
          <w:szCs w:val="22"/>
          <w:highlight w:val="none"/>
        </w:rPr>
      </w:pPr>
      <w:r>
        <w:rPr>
          <w:rFonts w:hint="eastAsia"/>
          <w:sz w:val="22"/>
          <w:szCs w:val="22"/>
          <w:highlight w:val="none"/>
        </w:rPr>
        <w:t>日期：</w:t>
      </w:r>
      <w:r>
        <w:rPr>
          <w:sz w:val="22"/>
          <w:szCs w:val="22"/>
          <w:highlight w:val="none"/>
          <w:u w:val="single"/>
        </w:rPr>
        <w:t>_____________________________________</w:t>
      </w:r>
    </w:p>
    <w:p w14:paraId="57670966">
      <w:pPr>
        <w:pStyle w:val="84"/>
        <w:rPr>
          <w:rFonts w:ascii="宋体" w:hAnsi="宋体" w:cs="宋体"/>
        </w:rPr>
      </w:pPr>
    </w:p>
    <w:p w14:paraId="7AB474D7">
      <w:pPr>
        <w:spacing w:before="231" w:beforeLines="50"/>
        <w:ind w:firstLine="466" w:firstLineChars="200"/>
        <w:jc w:val="center"/>
        <w:rPr>
          <w:b/>
          <w:highlight w:val="none"/>
        </w:rPr>
      </w:pPr>
      <w:bookmarkStart w:id="92" w:name="_Toc170699948"/>
      <w:bookmarkStart w:id="93" w:name="_Toc275865622"/>
      <w:bookmarkStart w:id="94" w:name="_Toc26220"/>
      <w:bookmarkStart w:id="95" w:name="_Toc435514862"/>
      <w:bookmarkStart w:id="96" w:name="_Toc435514861"/>
      <w:bookmarkStart w:id="97" w:name="_Toc50737330"/>
      <w:bookmarkStart w:id="98" w:name="_Toc256000035"/>
      <w:bookmarkStart w:id="99" w:name="_Toc50736478"/>
      <w:bookmarkStart w:id="100" w:name="_Toc435515301"/>
      <w:bookmarkStart w:id="101" w:name="_Toc87417460"/>
      <w:bookmarkStart w:id="102" w:name="_Toc275865609"/>
      <w:bookmarkStart w:id="103" w:name="_Toc50691038"/>
      <w:bookmarkStart w:id="104" w:name="_Toc50737298"/>
      <w:bookmarkStart w:id="105" w:name="_Toc239051894"/>
      <w:bookmarkStart w:id="106" w:name="_Toc275865623"/>
      <w:bookmarkStart w:id="107" w:name="_Toc52165082"/>
      <w:bookmarkStart w:id="108" w:name="_Toc435515302"/>
      <w:r>
        <w:rPr>
          <w:rFonts w:hint="eastAsia" w:ascii="宋体" w:hAnsi="宋体" w:eastAsia="宋体" w:cs="宋体"/>
          <w:b/>
          <w:spacing w:val="6"/>
          <w:sz w:val="22"/>
        </w:rPr>
        <w:t>（</w:t>
      </w:r>
      <w:r>
        <w:rPr>
          <w:rFonts w:hint="eastAsia" w:hAnsi="宋体" w:cs="宋体"/>
          <w:b/>
          <w:spacing w:val="6"/>
          <w:sz w:val="22"/>
          <w:lang w:val="en-US" w:eastAsia="zh-CN"/>
        </w:rPr>
        <w:t>五</w:t>
      </w:r>
      <w:r>
        <w:rPr>
          <w:rFonts w:hint="eastAsia" w:ascii="宋体" w:hAnsi="宋体" w:eastAsia="宋体" w:cs="宋体"/>
          <w:b/>
          <w:spacing w:val="6"/>
          <w:sz w:val="22"/>
        </w:rPr>
        <w:t>）</w:t>
      </w:r>
      <w:r>
        <w:rPr>
          <w:rFonts w:hint="eastAsia"/>
          <w:b/>
          <w:highlight w:val="none"/>
        </w:rPr>
        <w:t>分包意向协议书</w:t>
      </w:r>
    </w:p>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14:paraId="153E0DD7">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10"/>
          <w:szCs w:val="21"/>
          <w:highlight w:val="none"/>
        </w:rPr>
      </w:pPr>
      <w:r>
        <w:rPr>
          <w:rFonts w:hint="eastAsia" w:ascii="宋体" w:hAnsi="宋体" w:eastAsia="宋体" w:cs="宋体"/>
          <w:i w:val="0"/>
          <w:iCs w:val="0"/>
          <w:kern w:val="10"/>
          <w:szCs w:val="21"/>
          <w:highlight w:val="none"/>
        </w:rPr>
        <w:t>立约方：</w:t>
      </w:r>
    </w:p>
    <w:p w14:paraId="57270E6B">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（甲方全称）           </w:t>
      </w:r>
    </w:p>
    <w:p w14:paraId="06DC5B7E">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（乙方全称）           </w:t>
      </w:r>
    </w:p>
    <w:p w14:paraId="324935FA">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（丙方全称）           </w:t>
      </w:r>
    </w:p>
    <w:p w14:paraId="6379D8EB">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u w:val="single"/>
        </w:rPr>
        <w:t xml:space="preserve"> (……)                </w:t>
      </w:r>
    </w:p>
    <w:p w14:paraId="0CF04C57">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p>
    <w:p w14:paraId="5B854E56">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为投标方（分包方），就项目编号为: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项目名称为: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的项目投标事宜，与</w:t>
      </w:r>
      <w:r>
        <w:rPr>
          <w:rFonts w:hint="eastAsia" w:ascii="宋体" w:hAnsi="宋体" w:eastAsia="宋体" w:cs="宋体"/>
          <w:i w:val="0"/>
          <w:iCs w:val="0"/>
          <w:kern w:val="2"/>
          <w:szCs w:val="21"/>
          <w:highlight w:val="none"/>
          <w:u w:val="single"/>
        </w:rPr>
        <w:t xml:space="preserve">     （乙方全称）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通过友好协商达成以下协议：</w:t>
      </w:r>
    </w:p>
    <w:p w14:paraId="0CE1F3DF">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bCs/>
          <w:i w:val="0"/>
          <w:iCs w:val="0"/>
          <w:kern w:val="2"/>
          <w:szCs w:val="21"/>
          <w:highlight w:val="none"/>
        </w:rPr>
        <w:t>一、在本次投标有效期内，</w:t>
      </w:r>
      <w:r>
        <w:rPr>
          <w:rFonts w:hint="eastAsia" w:ascii="宋体" w:hAnsi="宋体" w:eastAsia="宋体" w:cs="宋体"/>
          <w:i w:val="0"/>
          <w:iCs w:val="0"/>
          <w:kern w:val="2"/>
          <w:szCs w:val="21"/>
          <w:highlight w:val="none"/>
          <w:u w:val="single"/>
        </w:rPr>
        <w:t xml:space="preserve">     （乙方全称）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（丙方全称）</w:t>
      </w:r>
      <w:r>
        <w:rPr>
          <w:rFonts w:hint="eastAsia" w:ascii="宋体" w:hAnsi="宋体" w:eastAsia="宋体" w:cs="宋体"/>
          <w:i w:val="0"/>
          <w:iCs w:val="0"/>
          <w:kern w:val="2"/>
          <w:szCs w:val="21"/>
          <w:highlight w:val="none"/>
        </w:rPr>
        <w:t>、</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同意</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参加上述项目投标事宜。若中标，各方按照本协议中约定的分工事项，完成各方对应的工作。</w:t>
      </w:r>
    </w:p>
    <w:p w14:paraId="6BB9CF48">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rPr>
        <w:t>二、各方分工：</w:t>
      </w:r>
    </w:p>
    <w:p w14:paraId="2A1BCAF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1.</w:t>
      </w:r>
      <w:r>
        <w:rPr>
          <w:rFonts w:hint="eastAsia" w:ascii="宋体" w:hAnsi="宋体" w:eastAsia="宋体" w:cs="宋体"/>
          <w:i w:val="0"/>
          <w:iCs w:val="0"/>
          <w:kern w:val="2"/>
          <w:szCs w:val="21"/>
          <w:highlight w:val="none"/>
        </w:rPr>
        <w:t>本项目投标工作由</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负责。</w:t>
      </w:r>
    </w:p>
    <w:p w14:paraId="3ABBE20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2.</w:t>
      </w:r>
      <w:r>
        <w:rPr>
          <w:rFonts w:hint="eastAsia" w:ascii="宋体" w:hAnsi="宋体" w:eastAsia="宋体" w:cs="宋体"/>
          <w:i w:val="0"/>
          <w:iCs w:val="0"/>
          <w:kern w:val="2"/>
          <w:szCs w:val="21"/>
          <w:highlight w:val="none"/>
        </w:rPr>
        <w:t>本项目由</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授权人员负责与采购人联系。</w:t>
      </w:r>
    </w:p>
    <w:p w14:paraId="1B262C9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3.</w:t>
      </w:r>
      <w:r>
        <w:rPr>
          <w:rFonts w:hint="eastAsia" w:ascii="宋体" w:hAnsi="宋体" w:eastAsia="宋体" w:cs="宋体"/>
          <w:i w:val="0"/>
          <w:iCs w:val="0"/>
          <w:kern w:val="2"/>
          <w:szCs w:val="21"/>
          <w:highlight w:val="none"/>
          <w:u w:val="single"/>
        </w:rPr>
        <w:t xml:space="preserve">（甲方全称）     </w:t>
      </w:r>
      <w:r>
        <w:rPr>
          <w:rFonts w:hint="eastAsia" w:ascii="宋体" w:hAnsi="宋体" w:eastAsia="宋体" w:cs="宋体"/>
          <w:i w:val="0"/>
          <w:iCs w:val="0"/>
          <w:kern w:val="2"/>
          <w:szCs w:val="21"/>
          <w:highlight w:val="none"/>
        </w:rPr>
        <w:t>为分包方，属于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396CD26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4.</w:t>
      </w:r>
      <w:r>
        <w:rPr>
          <w:rFonts w:hint="eastAsia" w:ascii="宋体" w:hAnsi="宋体" w:eastAsia="宋体" w:cs="宋体"/>
          <w:i w:val="0"/>
          <w:iCs w:val="0"/>
          <w:kern w:val="2"/>
          <w:szCs w:val="21"/>
          <w:highlight w:val="none"/>
          <w:u w:val="single"/>
        </w:rPr>
        <w:t xml:space="preserve">（乙方全称）     </w:t>
      </w:r>
      <w:r>
        <w:rPr>
          <w:rFonts w:hint="eastAsia" w:ascii="宋体" w:hAnsi="宋体" w:eastAsia="宋体" w:cs="宋体"/>
          <w:i w:val="0"/>
          <w:iCs w:val="0"/>
          <w:kern w:val="2"/>
          <w:szCs w:val="21"/>
          <w:highlight w:val="none"/>
        </w:rPr>
        <w:t>为接受分包合同的分包承担方，属于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，其分包合同金额所占合同总金额比例为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28102F4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5.</w:t>
      </w:r>
      <w:r>
        <w:rPr>
          <w:rFonts w:hint="eastAsia" w:ascii="宋体" w:hAnsi="宋体" w:eastAsia="宋体" w:cs="宋体"/>
          <w:i w:val="0"/>
          <w:iCs w:val="0"/>
          <w:kern w:val="2"/>
          <w:szCs w:val="21"/>
          <w:highlight w:val="none"/>
          <w:u w:val="single"/>
        </w:rPr>
        <w:t xml:space="preserve">（丙方全称）     </w:t>
      </w:r>
      <w:r>
        <w:rPr>
          <w:rFonts w:hint="eastAsia" w:ascii="宋体" w:hAnsi="宋体" w:eastAsia="宋体" w:cs="宋体"/>
          <w:i w:val="0"/>
          <w:iCs w:val="0"/>
          <w:kern w:val="2"/>
          <w:szCs w:val="21"/>
          <w:highlight w:val="none"/>
        </w:rPr>
        <w:t>为接受分包合同的分包承担方，属于</w:t>
      </w:r>
      <w:r>
        <w:rPr>
          <w:rFonts w:hint="eastAsia" w:ascii="宋体" w:hAnsi="宋体" w:eastAsia="宋体" w:cs="宋体"/>
          <w:i w:val="0"/>
          <w:iCs w:val="0"/>
          <w:kern w:val="2"/>
          <w:szCs w:val="21"/>
          <w:highlight w:val="none"/>
          <w:u w:val="single"/>
        </w:rPr>
        <w:t xml:space="preserve">     （中型企业、小型企业、微型企业）</w:t>
      </w:r>
      <w:r>
        <w:rPr>
          <w:rFonts w:hint="eastAsia" w:ascii="宋体" w:hAnsi="宋体" w:eastAsia="宋体" w:cs="宋体"/>
          <w:i w:val="0"/>
          <w:iCs w:val="0"/>
          <w:kern w:val="2"/>
          <w:szCs w:val="21"/>
          <w:highlight w:val="none"/>
        </w:rPr>
        <w:t xml:space="preserve">，拟承担的工作为: </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，其分包合同金额所占合同总金额比例为</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w:t>
      </w:r>
    </w:p>
    <w:p w14:paraId="4F6B539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6.</w:t>
      </w:r>
      <w:r>
        <w:rPr>
          <w:rFonts w:hint="eastAsia" w:ascii="宋体" w:hAnsi="宋体" w:eastAsia="宋体" w:cs="宋体"/>
          <w:bCs/>
          <w:i w:val="0"/>
          <w:iCs w:val="0"/>
          <w:kern w:val="2"/>
          <w:szCs w:val="21"/>
          <w:highlight w:val="none"/>
        </w:rPr>
        <w:t>接受分包合同的中小企业与分包企业之间不存在直接控股、管理关系。</w:t>
      </w:r>
    </w:p>
    <w:p w14:paraId="7814EDD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 w:val="21"/>
          <w:szCs w:val="21"/>
          <w:lang w:val="en-US" w:eastAsia="zh-CN" w:bidi="ar-SA"/>
        </w:rPr>
        <w:t>7.</w:t>
      </w:r>
      <w:r>
        <w:rPr>
          <w:rFonts w:hint="eastAsia" w:ascii="宋体" w:hAnsi="宋体" w:eastAsia="宋体" w:cs="宋体"/>
          <w:i w:val="0"/>
          <w:iCs w:val="0"/>
          <w:kern w:val="2"/>
          <w:szCs w:val="21"/>
          <w:highlight w:val="none"/>
        </w:rPr>
        <w:t>如中标，各方应按照招标文件的各项要求和内部职责的划分，承担自身所负的责任和风险。</w:t>
      </w:r>
    </w:p>
    <w:p w14:paraId="51AA6456">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lang w:val="en-US" w:eastAsia="zh-CN"/>
        </w:rPr>
        <w:t>三、</w:t>
      </w:r>
      <w:r>
        <w:rPr>
          <w:rFonts w:hint="eastAsia" w:ascii="宋体" w:hAnsi="宋体" w:eastAsia="宋体" w:cs="宋体"/>
          <w:bCs/>
          <w:i w:val="0"/>
          <w:iCs w:val="0"/>
          <w:kern w:val="2"/>
          <w:szCs w:val="21"/>
          <w:highlight w:val="none"/>
        </w:rPr>
        <w:t>本协议在自签署之日起生效，投标有效期内有效，如获中标资格，合同有效期延续至合同履行完毕之日。</w:t>
      </w:r>
    </w:p>
    <w:p w14:paraId="62A7D712">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pacing w:line="360" w:lineRule="exact"/>
        <w:ind w:left="0" w:firstLine="420" w:firstLineChars="200"/>
        <w:jc w:val="left"/>
        <w:textAlignment w:val="auto"/>
        <w:rPr>
          <w:rFonts w:hint="eastAsia" w:ascii="宋体" w:hAnsi="宋体" w:eastAsia="宋体" w:cs="宋体"/>
          <w:bCs/>
          <w:i w:val="0"/>
          <w:iCs w:val="0"/>
          <w:kern w:val="2"/>
          <w:szCs w:val="21"/>
          <w:highlight w:val="none"/>
        </w:rPr>
      </w:pPr>
      <w:r>
        <w:rPr>
          <w:rFonts w:hint="eastAsia" w:ascii="宋体" w:hAnsi="宋体" w:eastAsia="宋体" w:cs="宋体"/>
          <w:bCs/>
          <w:i w:val="0"/>
          <w:iCs w:val="0"/>
          <w:kern w:val="2"/>
          <w:szCs w:val="21"/>
          <w:highlight w:val="none"/>
          <w:lang w:val="en-US" w:eastAsia="zh-CN"/>
        </w:rPr>
        <w:t>四、</w:t>
      </w:r>
      <w:r>
        <w:rPr>
          <w:rFonts w:hint="eastAsia" w:ascii="宋体" w:hAnsi="宋体" w:eastAsia="宋体" w:cs="宋体"/>
          <w:bCs/>
          <w:i w:val="0"/>
          <w:iCs w:val="0"/>
          <w:kern w:val="2"/>
          <w:szCs w:val="21"/>
          <w:highlight w:val="none"/>
        </w:rPr>
        <w:t>本协议书正本一式</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份，随投标文件装订</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份，送采购人</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份，分包意向协议成员各一份；副本一式</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份，分包意向协议成员各执</w:t>
      </w:r>
      <w:r>
        <w:rPr>
          <w:rFonts w:hint="eastAsia" w:ascii="宋体" w:hAnsi="宋体" w:eastAsia="宋体" w:cs="宋体"/>
          <w:bCs/>
          <w:i w:val="0"/>
          <w:iCs w:val="0"/>
          <w:kern w:val="2"/>
          <w:szCs w:val="21"/>
          <w:highlight w:val="none"/>
          <w:u w:val="single"/>
        </w:rPr>
        <w:t xml:space="preserve">   </w:t>
      </w:r>
      <w:r>
        <w:rPr>
          <w:rFonts w:hint="eastAsia" w:ascii="宋体" w:hAnsi="宋体" w:eastAsia="宋体" w:cs="宋体"/>
          <w:bCs/>
          <w:i w:val="0"/>
          <w:iCs w:val="0"/>
          <w:kern w:val="2"/>
          <w:szCs w:val="21"/>
          <w:highlight w:val="none"/>
        </w:rPr>
        <w:t>份。</w:t>
      </w:r>
    </w:p>
    <w:p w14:paraId="62A7DF2E">
      <w:pPr>
        <w:keepNext w:val="0"/>
        <w:keepLines w:val="0"/>
        <w:pageBreakBefore w:val="0"/>
        <w:widowControl w:val="0"/>
        <w:shd w:val="clear" w:color="auto" w:fill="auto"/>
        <w:kinsoku/>
        <w:wordWrap/>
        <w:overflowPunct/>
        <w:topLinePunct w:val="0"/>
        <w:autoSpaceDE/>
        <w:autoSpaceDN/>
        <w:bidi w:val="0"/>
        <w:adjustRightInd/>
        <w:snapToGrid/>
        <w:spacing w:line="360" w:lineRule="exact"/>
        <w:ind w:left="0" w:firstLine="420" w:firstLineChars="200"/>
        <w:textAlignment w:val="auto"/>
        <w:rPr>
          <w:rFonts w:hint="eastAsia" w:ascii="宋体" w:hAnsi="宋体" w:eastAsia="宋体" w:cs="宋体"/>
          <w:i w:val="0"/>
          <w:iCs w:val="0"/>
          <w:kern w:val="2"/>
          <w:szCs w:val="21"/>
          <w:highlight w:val="none"/>
        </w:rPr>
      </w:pPr>
    </w:p>
    <w:p w14:paraId="556A3F8B">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p>
    <w:p w14:paraId="3E47AFFF">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rPr>
        <w:t>甲方全称（盖章）：</w:t>
      </w:r>
      <w:r>
        <w:rPr>
          <w:rFonts w:hint="eastAsia" w:ascii="宋体" w:hAnsi="宋体" w:eastAsia="宋体" w:cs="宋体"/>
          <w:i w:val="0"/>
          <w:iCs w:val="0"/>
          <w:kern w:val="2"/>
          <w:szCs w:val="21"/>
          <w:highlight w:val="none"/>
          <w:u w:val="single"/>
        </w:rPr>
        <w:t xml:space="preserve">        </w:t>
      </w:r>
    </w:p>
    <w:p w14:paraId="5467CF8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u w:val="single"/>
        </w:rPr>
      </w:pPr>
      <w:r>
        <w:rPr>
          <w:rFonts w:hint="eastAsia" w:ascii="宋体" w:hAnsi="宋体" w:eastAsia="宋体" w:cs="宋体"/>
          <w:i w:val="0"/>
          <w:iCs w:val="0"/>
          <w:kern w:val="2"/>
          <w:szCs w:val="21"/>
          <w:highlight w:val="none"/>
        </w:rPr>
        <w:t>法定代表人（签字）：</w:t>
      </w:r>
      <w:r>
        <w:rPr>
          <w:rFonts w:hint="eastAsia" w:ascii="宋体" w:hAnsi="宋体" w:eastAsia="宋体" w:cs="宋体"/>
          <w:i w:val="0"/>
          <w:iCs w:val="0"/>
          <w:kern w:val="2"/>
          <w:szCs w:val="21"/>
          <w:highlight w:val="none"/>
          <w:u w:val="single"/>
        </w:rPr>
        <w:t xml:space="preserve">        </w:t>
      </w:r>
    </w:p>
    <w:p w14:paraId="1D0CCB12">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int="eastAsia" w:ascii="宋体" w:hAnsi="宋体" w:eastAsia="宋体" w:cs="宋体"/>
          <w:i w:val="0"/>
          <w:iCs w:val="0"/>
          <w:kern w:val="2"/>
          <w:szCs w:val="21"/>
          <w:highlight w:val="none"/>
        </w:rPr>
      </w:pP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年</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月</w:t>
      </w:r>
      <w:r>
        <w:rPr>
          <w:rFonts w:hint="eastAsia" w:ascii="宋体" w:hAnsi="宋体" w:eastAsia="宋体" w:cs="宋体"/>
          <w:i w:val="0"/>
          <w:iCs w:val="0"/>
          <w:kern w:val="2"/>
          <w:szCs w:val="21"/>
          <w:highlight w:val="none"/>
          <w:u w:val="single"/>
        </w:rPr>
        <w:t xml:space="preserve">     </w:t>
      </w:r>
      <w:r>
        <w:rPr>
          <w:rFonts w:hint="eastAsia" w:ascii="宋体" w:hAnsi="宋体" w:eastAsia="宋体" w:cs="宋体"/>
          <w:i w:val="0"/>
          <w:iCs w:val="0"/>
          <w:kern w:val="2"/>
          <w:szCs w:val="21"/>
          <w:highlight w:val="none"/>
        </w:rPr>
        <w:t>日</w:t>
      </w:r>
    </w:p>
    <w:p w14:paraId="6559047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639FF3D6">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乙方全称（盖章）：</w:t>
      </w:r>
      <w:r>
        <w:rPr>
          <w:rFonts w:hAnsi="宋体" w:cs="Times New Roman"/>
          <w:kern w:val="2"/>
          <w:szCs w:val="21"/>
          <w:highlight w:val="none"/>
          <w:u w:val="single"/>
        </w:rPr>
        <w:t xml:space="preserve">        </w:t>
      </w:r>
    </w:p>
    <w:p w14:paraId="150A6024">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7A91D2F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3FE0FCBA">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62D3A014">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丙方全称（盖章）：</w:t>
      </w:r>
      <w:r>
        <w:rPr>
          <w:rFonts w:hAnsi="宋体" w:cs="Times New Roman"/>
          <w:kern w:val="2"/>
          <w:szCs w:val="21"/>
          <w:highlight w:val="none"/>
          <w:u w:val="single"/>
        </w:rPr>
        <w:t xml:space="preserve">        </w:t>
      </w:r>
    </w:p>
    <w:p w14:paraId="427D698D">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4A9DDA07">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417C66A8">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175BB68E">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rPr>
        <w:t>……方全称（盖章）：</w:t>
      </w:r>
      <w:r>
        <w:rPr>
          <w:rFonts w:hAnsi="宋体" w:cs="Times New Roman"/>
          <w:kern w:val="2"/>
          <w:szCs w:val="21"/>
          <w:highlight w:val="none"/>
          <w:u w:val="single"/>
        </w:rPr>
        <w:t xml:space="preserve">        </w:t>
      </w:r>
    </w:p>
    <w:p w14:paraId="480FA0DE">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u w:val="single"/>
        </w:rPr>
      </w:pPr>
      <w:r>
        <w:rPr>
          <w:rFonts w:hint="eastAsia" w:hAnsi="宋体" w:cs="Times New Roman"/>
          <w:kern w:val="2"/>
          <w:szCs w:val="21"/>
          <w:highlight w:val="none"/>
        </w:rPr>
        <w:t>法定代表人（签字）：</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p>
    <w:p w14:paraId="3CA1C6A5">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年</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月</w:t>
      </w:r>
      <w:r>
        <w:rPr>
          <w:rFonts w:hint="eastAsia" w:hAnsi="宋体" w:cs="Times New Roman"/>
          <w:kern w:val="2"/>
          <w:szCs w:val="21"/>
          <w:highlight w:val="none"/>
          <w:u w:val="single"/>
        </w:rPr>
        <w:t xml:space="preserve">  </w:t>
      </w:r>
      <w:r>
        <w:rPr>
          <w:rFonts w:hAnsi="宋体" w:cs="Times New Roman"/>
          <w:kern w:val="2"/>
          <w:szCs w:val="21"/>
          <w:highlight w:val="none"/>
          <w:u w:val="single"/>
        </w:rPr>
        <w:t xml:space="preserve">  </w:t>
      </w:r>
      <w:r>
        <w:rPr>
          <w:rFonts w:hint="eastAsia" w:hAnsi="宋体" w:cs="Times New Roman"/>
          <w:kern w:val="2"/>
          <w:szCs w:val="21"/>
          <w:highlight w:val="none"/>
          <w:u w:val="single"/>
        </w:rPr>
        <w:t xml:space="preserve"> </w:t>
      </w:r>
      <w:r>
        <w:rPr>
          <w:rFonts w:hint="eastAsia" w:hAnsi="宋体" w:cs="Times New Roman"/>
          <w:kern w:val="2"/>
          <w:szCs w:val="21"/>
          <w:highlight w:val="none"/>
        </w:rPr>
        <w:t>日</w:t>
      </w:r>
    </w:p>
    <w:p w14:paraId="11EF8B67">
      <w:pPr>
        <w:keepNext w:val="0"/>
        <w:keepLines w:val="0"/>
        <w:pageBreakBefore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jc w:val="left"/>
        <w:textAlignment w:val="auto"/>
        <w:rPr>
          <w:rFonts w:hAnsi="宋体" w:cs="Times New Roman"/>
          <w:kern w:val="2"/>
          <w:szCs w:val="21"/>
          <w:highlight w:val="none"/>
        </w:rPr>
      </w:pPr>
    </w:p>
    <w:p w14:paraId="30C333B3">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注：</w:t>
      </w:r>
    </w:p>
    <w:p w14:paraId="0F0DF5B9">
      <w:pPr>
        <w:keepNext w:val="0"/>
        <w:keepLines w:val="0"/>
        <w:pageBreakBefore w:val="0"/>
        <w:widowControl w:val="0"/>
        <w:shd w:val="clear" w:color="auto" w:fill="auto"/>
        <w:tabs>
          <w:tab w:val="left" w:pos="7740"/>
          <w:tab w:val="clear" w:pos="426"/>
        </w:tabs>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1.投标人投标时应签订本协议，协议各方成员应在本协议上共同盖章确认。</w:t>
      </w:r>
    </w:p>
    <w:p w14:paraId="03CDDBC1">
      <w:pPr>
        <w:keepNext w:val="0"/>
        <w:keepLines w:val="0"/>
        <w:pageBreakBefore w:val="0"/>
        <w:widowControl w:val="0"/>
        <w:shd w:val="clear" w:color="auto" w:fill="auto"/>
        <w:kinsoku/>
        <w:wordWrap/>
        <w:overflowPunct/>
        <w:topLinePunct w:val="0"/>
        <w:autoSpaceDE/>
        <w:autoSpaceDN/>
        <w:bidi w:val="0"/>
        <w:adjustRightInd/>
        <w:snapToGrid/>
        <w:spacing w:line="360" w:lineRule="exact"/>
        <w:ind w:left="0" w:firstLine="420" w:firstLineChars="200"/>
        <w:textAlignment w:val="auto"/>
        <w:rPr>
          <w:rFonts w:hAnsi="宋体" w:cs="Times New Roman"/>
          <w:kern w:val="2"/>
          <w:szCs w:val="21"/>
          <w:highlight w:val="none"/>
        </w:rPr>
      </w:pPr>
      <w:r>
        <w:rPr>
          <w:rFonts w:hint="eastAsia" w:hAnsi="宋体" w:cs="Times New Roman"/>
          <w:kern w:val="2"/>
          <w:szCs w:val="21"/>
          <w:highlight w:val="none"/>
        </w:rPr>
        <w:t>2.本协议内容</w:t>
      </w:r>
      <w:r>
        <w:rPr>
          <w:rFonts w:hint="eastAsia" w:hAnsi="宋体" w:cs="Times New Roman"/>
          <w:kern w:val="2"/>
          <w:szCs w:val="21"/>
          <w:highlight w:val="none"/>
          <w:lang w:val="en-US" w:eastAsia="zh-CN"/>
        </w:rPr>
        <w:t>仅供参考，</w:t>
      </w:r>
      <w:r>
        <w:rPr>
          <w:rFonts w:hint="eastAsia" w:hAnsi="宋体" w:cs="Times New Roman"/>
          <w:kern w:val="2"/>
          <w:szCs w:val="21"/>
          <w:highlight w:val="none"/>
        </w:rPr>
        <w:t>可依据项目实际情况进行修改。此协议将作为签订合同的附件之一。</w:t>
      </w:r>
    </w:p>
    <w:p w14:paraId="34746BCC">
      <w:pPr>
        <w:keepNext w:val="0"/>
        <w:keepLines w:val="0"/>
        <w:pageBreakBefore w:val="0"/>
        <w:kinsoku/>
        <w:wordWrap/>
        <w:overflowPunct/>
        <w:topLinePunct w:val="0"/>
        <w:autoSpaceDE/>
        <w:autoSpaceDN/>
        <w:bidi w:val="0"/>
        <w:spacing w:line="360" w:lineRule="exact"/>
        <w:ind w:left="0" w:firstLine="422" w:firstLineChars="200"/>
        <w:textAlignment w:val="auto"/>
        <w:rPr>
          <w:rFonts w:hint="eastAsia"/>
          <w:b/>
          <w:highlight w:val="none"/>
        </w:rPr>
      </w:pPr>
    </w:p>
    <w:p w14:paraId="2AC98661">
      <w:pPr>
        <w:rPr>
          <w:rFonts w:hint="eastAsia" w:cs="Times New Roman"/>
          <w:b/>
          <w:bCs w:val="0"/>
          <w:kern w:val="2"/>
          <w:sz w:val="28"/>
          <w:szCs w:val="28"/>
          <w:lang w:val="en-US" w:eastAsia="zh-CN" w:bidi="ar-SA"/>
        </w:rPr>
      </w:pPr>
      <w:r>
        <w:rPr>
          <w:rFonts w:hint="eastAsia" w:cs="Times New Roman"/>
          <w:b/>
          <w:bCs w:val="0"/>
          <w:kern w:val="2"/>
          <w:sz w:val="28"/>
          <w:szCs w:val="28"/>
          <w:lang w:val="en-US" w:eastAsia="zh-CN" w:bidi="ar-SA"/>
        </w:rPr>
        <w:br w:type="page"/>
      </w:r>
    </w:p>
    <w:p w14:paraId="72117188">
      <w:pPr>
        <w:pStyle w:val="6"/>
        <w:numPr>
          <w:ilvl w:val="0"/>
          <w:numId w:val="0"/>
        </w:numPr>
        <w:tabs>
          <w:tab w:val="clear" w:pos="1680"/>
        </w:tabs>
        <w:ind w:left="0" w:leftChars="0" w:firstLine="0" w:firstLineChars="0"/>
        <w:jc w:val="left"/>
        <w:rPr>
          <w:highlight w:val="none"/>
        </w:rPr>
      </w:pPr>
      <w:r>
        <w:rPr>
          <w:rFonts w:hint="eastAsia" w:cs="Times New Roman"/>
          <w:b/>
          <w:bCs w:val="0"/>
          <w:kern w:val="2"/>
          <w:sz w:val="28"/>
          <w:szCs w:val="28"/>
          <w:lang w:val="en-US" w:eastAsia="zh-CN" w:bidi="ar-SA"/>
        </w:rPr>
        <w:t>十五</w:t>
      </w:r>
      <w:r>
        <w:rPr>
          <w:rFonts w:hint="eastAsia"/>
          <w:highlight w:val="none"/>
        </w:rPr>
        <w:t>、招标文件要求的其他内容及投标供应商认为需要加以说明的其他内容</w:t>
      </w:r>
      <w:bookmarkEnd w:id="88"/>
      <w:bookmarkEnd w:id="89"/>
      <w:bookmarkEnd w:id="90"/>
      <w:bookmarkEnd w:id="91"/>
    </w:p>
    <w:p w14:paraId="2A2FAE23">
      <w:pPr>
        <w:tabs>
          <w:tab w:val="clear" w:pos="426"/>
        </w:tabs>
        <w:ind w:firstLine="424" w:firstLineChars="202"/>
        <w:rPr>
          <w:rFonts w:cs="Arial"/>
          <w:bCs/>
          <w:szCs w:val="21"/>
          <w:highlight w:val="none"/>
        </w:rPr>
      </w:pPr>
      <w:r>
        <w:rPr>
          <w:rFonts w:hint="eastAsia" w:cs="Arial"/>
          <w:bCs/>
          <w:szCs w:val="21"/>
          <w:highlight w:val="none"/>
        </w:rPr>
        <w:t>提供招标公告和评标信息中关于投标供应商的其他相关证明文件（如评标信息中涉及的各种证件（身份证除外）、设备发票等，未涉及的可以不提供）</w:t>
      </w:r>
    </w:p>
    <w:p w14:paraId="6EE5AD09">
      <w:pPr>
        <w:pStyle w:val="81"/>
        <w:tabs>
          <w:tab w:val="clear" w:pos="426"/>
        </w:tabs>
        <w:rPr>
          <w:highlight w:val="none"/>
        </w:rPr>
      </w:pPr>
      <w:r>
        <w:rPr>
          <w:highlight w:val="none"/>
        </w:rPr>
        <w:br w:type="page"/>
      </w:r>
      <w:bookmarkStart w:id="109" w:name="_Toc24624"/>
      <w:bookmarkStart w:id="110" w:name="_Toc14427253"/>
      <w:bookmarkStart w:id="111" w:name="_Toc530152521"/>
      <w:r>
        <w:rPr>
          <w:rFonts w:hint="eastAsia"/>
          <w:highlight w:val="none"/>
        </w:rPr>
        <w:t>第二册通用条款</w:t>
      </w:r>
      <w:bookmarkEnd w:id="109"/>
      <w:bookmarkEnd w:id="110"/>
      <w:bookmarkEnd w:id="111"/>
    </w:p>
    <w:p w14:paraId="48CC8592">
      <w:pPr>
        <w:jc w:val="center"/>
        <w:rPr>
          <w:b/>
          <w:highlight w:val="none"/>
        </w:rPr>
      </w:pPr>
      <w:r>
        <w:rPr>
          <w:rFonts w:hint="eastAsia"/>
          <w:b/>
          <w:highlight w:val="none"/>
        </w:rPr>
        <w:t>（投标供应商须知）</w:t>
      </w:r>
    </w:p>
    <w:p w14:paraId="498ADB97">
      <w:pPr>
        <w:pStyle w:val="4"/>
        <w:pageBreakBefore w:val="0"/>
        <w:numPr>
          <w:ilvl w:val="3"/>
          <w:numId w:val="0"/>
        </w:numPr>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12" w:name="_Toc529280581"/>
      <w:bookmarkStart w:id="113" w:name="_Toc14427254"/>
      <w:bookmarkStart w:id="114" w:name="_Toc17489"/>
      <w:bookmarkStart w:id="115" w:name="_Toc530152522"/>
      <w:r>
        <w:rPr>
          <w:rFonts w:hint="eastAsia" w:ascii="宋体" w:hAnsi="宋体" w:eastAsia="宋体" w:cs="宋体"/>
          <w:sz w:val="22"/>
          <w:szCs w:val="22"/>
          <w:highlight w:val="none"/>
        </w:rPr>
        <w:t>第一章总则</w:t>
      </w:r>
      <w:bookmarkEnd w:id="112"/>
      <w:bookmarkEnd w:id="113"/>
      <w:bookmarkEnd w:id="114"/>
      <w:bookmarkEnd w:id="115"/>
    </w:p>
    <w:p w14:paraId="6D44C1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1.通用条款说明</w:t>
      </w:r>
    </w:p>
    <w:p w14:paraId="09361F1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1.1采购代理机构发出招标文件通用条款版本，列出采购项目进行招标采购所适用的通用条款内容。如有需要，采购代理机构可以对这些条款增加附录或补充内容。</w:t>
      </w:r>
    </w:p>
    <w:p w14:paraId="1D2BCD0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2．招标说明</w:t>
      </w:r>
    </w:p>
    <w:p w14:paraId="4787F77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本项目按照《中华人民共和国政府采购法》《中华人民共和国政府采购法实施条例》的规定，并参考有关法规、政策、规章、规定通过招标择优选定供应商。本招标文件适用于招标公告中所述项目的政府采购。</w:t>
      </w:r>
    </w:p>
    <w:p w14:paraId="59789DD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本招标文件的解释权归属</w:t>
      </w:r>
      <w:r>
        <w:rPr>
          <w:rFonts w:hint="eastAsia" w:ascii="宋体" w:hAnsi="宋体" w:eastAsia="宋体" w:cs="宋体"/>
          <w:sz w:val="22"/>
          <w:szCs w:val="22"/>
          <w:highlight w:val="none"/>
          <w:lang w:eastAsia="zh-CN"/>
        </w:rPr>
        <w:t>深圳市东海国际招标有限公司</w:t>
      </w:r>
      <w:r>
        <w:rPr>
          <w:rFonts w:hint="eastAsia" w:ascii="宋体" w:hAnsi="宋体" w:eastAsia="宋体" w:cs="宋体"/>
          <w:sz w:val="22"/>
          <w:szCs w:val="22"/>
          <w:highlight w:val="none"/>
        </w:rPr>
        <w:t>。</w:t>
      </w:r>
    </w:p>
    <w:p w14:paraId="5D62A7F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3．定义</w:t>
      </w:r>
    </w:p>
    <w:p w14:paraId="65914A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招标文件中下列术语应解释为：</w:t>
      </w:r>
    </w:p>
    <w:p w14:paraId="0C93A3E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3.1“采购代理机构”系指政府设立的负责本级财政性资金的集中采购和招标组织工作的专门机构；本项目系指</w:t>
      </w:r>
      <w:r>
        <w:rPr>
          <w:rFonts w:hint="eastAsia" w:ascii="宋体" w:hAnsi="宋体" w:eastAsia="宋体" w:cs="宋体"/>
          <w:sz w:val="22"/>
          <w:szCs w:val="22"/>
          <w:highlight w:val="none"/>
          <w:lang w:eastAsia="zh-CN"/>
        </w:rPr>
        <w:t>深圳市东海国际招标有限公司</w:t>
      </w:r>
      <w:r>
        <w:rPr>
          <w:rFonts w:hint="eastAsia" w:ascii="宋体" w:hAnsi="宋体" w:eastAsia="宋体" w:cs="宋体"/>
          <w:sz w:val="22"/>
          <w:szCs w:val="22"/>
          <w:highlight w:val="none"/>
        </w:rPr>
        <w:t>；</w:t>
      </w:r>
    </w:p>
    <w:p w14:paraId="39BB4B2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3.2“采购人”或“采购人”：系指利用财政性资金依法进行采购的国家机关、事业单位、团体组织；</w:t>
      </w:r>
    </w:p>
    <w:p w14:paraId="4477499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3.3“投标供应商”或“投标方”，即供应商，是指参加投标竞争并愿意按照招标文件要求向采购人提供货物、工程或者服务的依法成立的法人、其他组织或者自然人；</w:t>
      </w:r>
    </w:p>
    <w:p w14:paraId="09112B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3.4“评标委员会”和“谈判小组”是依据有关规定组建的专门负责本次招标其评标（谈判）工作的临时性机构；</w:t>
      </w:r>
    </w:p>
    <w:p w14:paraId="630DB24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3.5“日期”指公历日；</w:t>
      </w:r>
    </w:p>
    <w:p w14:paraId="30B84A3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3.6“合同”指由本次招标所产生的合同或合约文件；</w:t>
      </w:r>
    </w:p>
    <w:p w14:paraId="04C253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3.7招标文件中的标题或题名仅起引导作用，而不应视为对招标文件内容的理解和解释。</w:t>
      </w:r>
    </w:p>
    <w:p w14:paraId="2DD3B4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4.供应商责任</w:t>
      </w:r>
    </w:p>
    <w:p w14:paraId="5BBDBF6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4.1欢迎诚信、有实力和有社会责任心的供应商参与采购事业。</w:t>
      </w:r>
    </w:p>
    <w:p w14:paraId="6D316A5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供应商在采购项目投标过程中应诚实守信，不弄虚作假，不隐瞒真实情况，不围标串标，不恶意质疑投诉。如违反上述要求，经核实后，供应商的投标将作废，没收投标保证金，将该供应商列入不良记录名单并在网上曝光，同时提请相关监督管理部门给予一定年限内禁止参加采购活动的处罚或其他处罚。</w:t>
      </w:r>
    </w:p>
    <w:p w14:paraId="179D35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5．合格的投标供应商</w:t>
      </w:r>
    </w:p>
    <w:p w14:paraId="31D3432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 投标供应商是响应招标并且符合招标文件规定资格条件和参加投标竞争的法人、其他组织或者自然人。</w:t>
      </w:r>
    </w:p>
    <w:p w14:paraId="5800ABC4">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lang w:eastAsia="zh-TW"/>
        </w:rPr>
      </w:pPr>
      <w:r>
        <w:rPr>
          <w:rFonts w:hint="eastAsia" w:ascii="宋体" w:hAnsi="宋体" w:eastAsia="宋体" w:cs="宋体"/>
          <w:sz w:val="22"/>
          <w:szCs w:val="22"/>
          <w:highlight w:val="none"/>
        </w:rPr>
        <w:t xml:space="preserve">5.2 </w:t>
      </w:r>
      <w:r>
        <w:rPr>
          <w:rFonts w:hint="eastAsia" w:ascii="宋体" w:hAnsi="宋体" w:eastAsia="宋体" w:cs="宋体"/>
          <w:sz w:val="22"/>
          <w:szCs w:val="22"/>
          <w:highlight w:val="none"/>
          <w:lang w:eastAsia="zh-TW"/>
        </w:rPr>
        <w:t>合格的投标供应商</w:t>
      </w:r>
    </w:p>
    <w:p w14:paraId="163FADA4">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5.2.1 具有独立承担民事责任的能力。</w:t>
      </w:r>
    </w:p>
    <w:p w14:paraId="0C272DF6">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5.2.2 具有良好的商业信誉和健全的财务会计制度。</w:t>
      </w:r>
    </w:p>
    <w:p w14:paraId="0489E752">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5.2.3 具有履行合同所必需的设备和专业技术能力。</w:t>
      </w:r>
    </w:p>
    <w:p w14:paraId="6657997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5.2.4 有依法缴纳税收和社会保障资金的良好记录。</w:t>
      </w:r>
    </w:p>
    <w:p w14:paraId="47F39D7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5.2.5 参加采购活动前三年内，在经营活动中没有重大违法记录。</w:t>
      </w:r>
    </w:p>
    <w:p w14:paraId="136F6B37">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5.2.6 法律、行政法规规定的其他条件。</w:t>
      </w:r>
    </w:p>
    <w:p w14:paraId="5000E8C1">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5.2.7 只有在法律上和财务上独立、合法运作并独立于采购人和代理机构的供货商才能参加投标。</w:t>
      </w:r>
    </w:p>
    <w:p w14:paraId="34F9119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5.2.8 法定代表人或单位负责人为同一人或者存在直接控股、管理关系的不同单位不得同时参与同一个项目（包组）的竞争。</w:t>
      </w:r>
    </w:p>
    <w:p w14:paraId="0B41305A">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5.2.9 符合第一章招标公告“投标供应商资格要求”的条款。</w:t>
      </w:r>
    </w:p>
    <w:p w14:paraId="2432EC0D">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 中标供应商是指经法定程序确定并授予合同的投标供应商。</w:t>
      </w:r>
    </w:p>
    <w:p w14:paraId="58BBB6A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6．联合体投标</w:t>
      </w:r>
    </w:p>
    <w:p w14:paraId="792C54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6.1　以下有关联合体投标的条款仅适用于允许投标供应商组成联合体投标的项目。</w:t>
      </w:r>
    </w:p>
    <w:p w14:paraId="60AE25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　由两个或两个以上的自然人、法人或者其他组织可以组成一个联合体，以一个供应商的身份共同投标时，应符合以下原则：</w:t>
      </w:r>
    </w:p>
    <w:p w14:paraId="41DAAA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w:t>
      </w:r>
      <w:r>
        <w:rPr>
          <w:rFonts w:hint="eastAsia" w:ascii="宋体" w:hAnsi="宋体" w:eastAsia="宋体" w:cs="宋体"/>
          <w:bCs/>
          <w:sz w:val="22"/>
          <w:szCs w:val="22"/>
          <w:highlight w:val="none"/>
        </w:rPr>
        <w:t>1投标联合体应满足招标公告有关投标供应商资格要求中对联合体的要求；</w:t>
      </w:r>
    </w:p>
    <w:p w14:paraId="238F546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6.2.2对于招标公告中所要求投标供应商应具有的某一资质，若联合体各方均具有，则将以联合体各方中最低的资质等级作为联合体在这一资质条件上的资质等级；联合体各方的不同资质可优势互补。</w:t>
      </w:r>
    </w:p>
    <w:p w14:paraId="05CDF4C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6.2.3投标供应商的投标文件及中标后签署的合同协议对联合体各方均具法律约束力；</w:t>
      </w:r>
    </w:p>
    <w:p w14:paraId="3A3B5A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6.2.4联合体各方应当签订共同投标协议，明确约定各方拟承担的工作和责任，并将该共同投标协议随投标文件一并递交给代理机构；</w:t>
      </w:r>
    </w:p>
    <w:p w14:paraId="632AA42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6.2.5联合体的各方应当共同推荐一联合体投标授权代表人，由联合体各方提交一份授权书，证明其有资格代表联合体各方签署投标文件，该授权书作为投标文件的组成部分一并提交给代理机构；</w:t>
      </w:r>
    </w:p>
    <w:p w14:paraId="6C04C8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6.2.6参加联合体的各方不得再以自己的名义单独投标，不得同时参加两个或两个以上的联合体投标、不得以分包商或其它形式参与投标，出现上述情况者，其投标和与此有关联合体、总包单位的投标将被拒绝；</w:t>
      </w:r>
    </w:p>
    <w:p w14:paraId="7D8A2B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6.2.7除非另有规定或说明，本须知中“投标供应商”一词亦指联合体各方。</w:t>
      </w:r>
    </w:p>
    <w:p w14:paraId="6DC704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 合格的服务和货物</w:t>
      </w:r>
    </w:p>
    <w:p w14:paraId="615E8F63">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7.1 “服务”是指投标供应商按招标文件规定完成的全部服务内容，其中包括完成服务所需的货物，及须承担的技术支持、培训和其它伴随服务。</w:t>
      </w:r>
    </w:p>
    <w:p w14:paraId="07C68295">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7.2 “货物”是指投标供应商制造或组织符合招标文件要求的货物等。投标的货物必须是其合法生产、合法来源的符合国家有关标准要求的货物，并满足招标文件规定的规格、参数、质量、价格、有效期、售后服务等要求。</w:t>
      </w:r>
    </w:p>
    <w:p w14:paraId="23F7E95C">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7.3 投标供应商提供的所有服务，其质量、技术等特征必须符合国家、行业现行法律、法规的相关标准和《中华人民共和国政府采购法》的有关规定及用户需求。</w:t>
      </w:r>
    </w:p>
    <w:p w14:paraId="58E227FC">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7.4 采购人有权拒绝接受任何不合格的服务，由此产生的费用及相关后果均由供应商自行承担。</w:t>
      </w:r>
    </w:p>
    <w:p w14:paraId="43D97E62">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7.5 投标供应商应保证本项目的投标技术、服务或其任何一部分不会产生因第三方提出侵犯其专利权、商标权或其他知识产权而引起的法律和经济纠纷；如果投标供应商不拥有相应的知识产权，则须在报价中包括合法获取该知识产权的相关费用，并在投标文件中附有相关证明文件。如因第三方提出其专利权、商标权或其他知识产权的侵权之诉，则一切法律责任由投标供应商承担。</w:t>
      </w:r>
    </w:p>
    <w:p w14:paraId="2733B26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8．投标费用</w:t>
      </w:r>
    </w:p>
    <w:p w14:paraId="326BBE2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不论投标结果如何，投标供应商应承担其编制投标文件与递交投标文件所涉及的一切费用。</w:t>
      </w:r>
      <w:r>
        <w:rPr>
          <w:rFonts w:hint="eastAsia" w:ascii="宋体" w:hAnsi="宋体" w:eastAsia="宋体" w:cs="宋体"/>
          <w:sz w:val="22"/>
          <w:szCs w:val="22"/>
          <w:highlight w:val="none"/>
          <w:lang w:eastAsia="zh-TW"/>
        </w:rPr>
        <w:t>不论投标的结果如何</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招标采购人均无义务和责任承担这些费用</w:t>
      </w:r>
      <w:r>
        <w:rPr>
          <w:rFonts w:hint="eastAsia" w:ascii="宋体" w:hAnsi="宋体" w:eastAsia="宋体" w:cs="宋体"/>
          <w:sz w:val="22"/>
          <w:szCs w:val="22"/>
          <w:highlight w:val="none"/>
        </w:rPr>
        <w:t>。</w:t>
      </w:r>
    </w:p>
    <w:p w14:paraId="1509A3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9．踏勘现场</w:t>
      </w:r>
    </w:p>
    <w:p w14:paraId="167F04D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9.1如有需要，采购代理机构或采购人将组织投标供应商对项目现场及周围环境进行踏勘，以便投标供应商获取有关编制投标文件和签署合同所需的所有资料。踏勘现场所发生的费用和风险由投标供应商自己承担，投标供应商应按招标公告所约定的时间、地点统一踏勘现场。</w:t>
      </w:r>
    </w:p>
    <w:p w14:paraId="46B5D84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9.2投标供应商及其人员经过采购人的允许，可以踏勘目的进入采购人的项目现场。若本项目招标文件要求投标供应商于统一时间地点踏勘现场的，投标供应商按时前往。</w:t>
      </w:r>
    </w:p>
    <w:p w14:paraId="529F896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9.3采购人必须通过采购代理机构向投标供应商提供有关现场的资料和数据。</w:t>
      </w:r>
    </w:p>
    <w:p w14:paraId="413809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9.4任何人或任何组织在踏勘现场时向投标供应商提交的任何书面或口头上的资料，未经采购代理机构在网上发布或书面通知，均作无效处理。采购代理机构对投标供应商由此而做出的推论、理解和结论概不负责。</w:t>
      </w:r>
    </w:p>
    <w:p w14:paraId="2B5CE6F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9.5 未参与现场踏勘不作为否定投标供应商资格的理由。</w:t>
      </w:r>
    </w:p>
    <w:p w14:paraId="04FF89F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10．招标答疑</w:t>
      </w:r>
    </w:p>
    <w:p w14:paraId="615E6D6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10.1招标答疑的目的是澄清、解答投标供应商在查阅招标文件后或现场踏勘中可能提出的与投标有关的疑问或询问。</w:t>
      </w:r>
    </w:p>
    <w:p w14:paraId="554780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10.2投标供应商提出的与投标有关的问题须在招标文件规定的答疑截止时间前以“质疑函”的形式提交给采购代理机构，质疑函应该加盖质疑单位公章。</w:t>
      </w:r>
    </w:p>
    <w:p w14:paraId="312BEF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10.3采购代理机构对疑问所做出的澄清和解答，以书面答复（包括网站发布信息）为准。答疑纪要的有效性规定按照本通用条款第13.3.13.4款规定执行。</w:t>
      </w:r>
    </w:p>
    <w:p w14:paraId="5098150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10.4如采购代理机构认为有必要组织现场答疑会，投标供应商应按照招标文件规定的时间或采购代理机构另行书面通知（包括网站发布的通知）的时间和地点，参与现场答疑会。</w:t>
      </w:r>
    </w:p>
    <w:p w14:paraId="3C2B9D5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10.5未参与招标答疑不作为否定投标供应商资格的理由。</w:t>
      </w:r>
    </w:p>
    <w:p w14:paraId="36201DD6">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16" w:name="_Toc14427255"/>
      <w:bookmarkStart w:id="117" w:name="_Toc529280582"/>
      <w:bookmarkStart w:id="118" w:name="_Toc530152523"/>
      <w:bookmarkStart w:id="119" w:name="_Toc9653"/>
      <w:r>
        <w:rPr>
          <w:rFonts w:hint="eastAsia" w:ascii="宋体" w:hAnsi="宋体" w:eastAsia="宋体" w:cs="宋体"/>
          <w:sz w:val="22"/>
          <w:szCs w:val="22"/>
          <w:highlight w:val="none"/>
        </w:rPr>
        <w:t>第二章招标文件</w:t>
      </w:r>
      <w:bookmarkEnd w:id="116"/>
      <w:bookmarkEnd w:id="117"/>
      <w:bookmarkEnd w:id="118"/>
      <w:bookmarkEnd w:id="119"/>
    </w:p>
    <w:p w14:paraId="055FDE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11．招标文件的编制与组成</w:t>
      </w:r>
    </w:p>
    <w:p w14:paraId="40CB1A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11.1招标文件除以下内容外，采购代理机构在招标（或谈判）期间发出的答疑纪要和其他补充修改函件，均是招标文件的组成部分，对投标供应商起约束作用；</w:t>
      </w:r>
    </w:p>
    <w:p w14:paraId="1A52872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招标文件包括下列内容：</w:t>
      </w:r>
    </w:p>
    <w:p w14:paraId="58DD17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项目关键信息</w:t>
      </w:r>
    </w:p>
    <w:p w14:paraId="0CA4B2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评标信息</w:t>
      </w:r>
    </w:p>
    <w:p w14:paraId="3EABB8A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第一册专用条款</w:t>
      </w:r>
    </w:p>
    <w:p w14:paraId="290D36D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第一章招标公告</w:t>
      </w:r>
    </w:p>
    <w:p w14:paraId="6387238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第二章招标项目需求</w:t>
      </w:r>
    </w:p>
    <w:p w14:paraId="3FD7DF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第三章合同条款及格式</w:t>
      </w:r>
    </w:p>
    <w:p w14:paraId="140C175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第四章投标文件格式、附件</w:t>
      </w:r>
    </w:p>
    <w:p w14:paraId="1B31CDB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第二册通用条款</w:t>
      </w:r>
    </w:p>
    <w:p w14:paraId="0470634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第一章总则</w:t>
      </w:r>
    </w:p>
    <w:p w14:paraId="695FCAF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第二章招标文件</w:t>
      </w:r>
    </w:p>
    <w:p w14:paraId="046D66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第三章投标文件的编制与递交</w:t>
      </w:r>
    </w:p>
    <w:p w14:paraId="590FBD0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第四章开标</w:t>
      </w:r>
    </w:p>
    <w:p w14:paraId="514F8C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第五章评标要求</w:t>
      </w:r>
    </w:p>
    <w:p w14:paraId="379BCAB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第六章评标程序及评标方法</w:t>
      </w:r>
    </w:p>
    <w:p w14:paraId="5D0E4B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第七章定标及公示</w:t>
      </w:r>
    </w:p>
    <w:p w14:paraId="3E351D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第八章公开招标失败的后续处理</w:t>
      </w:r>
    </w:p>
    <w:p w14:paraId="7A77E8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第九章合同的授予与备案</w:t>
      </w:r>
    </w:p>
    <w:p w14:paraId="62900C4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第十章质疑处理</w:t>
      </w:r>
    </w:p>
    <w:p w14:paraId="7F0FBF5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11.2 投标供应商购买招标文件后，应仔细检查招标文件的所有内容，如有残缺应在答疑截止时间之前向采购代理机构提出，否则，由此引起的投标损失自负；投标供应商同时应认真审阅招标文件所有的事项、格式、条款和规范要求等，如果投标供应商的投标文件没有按招标文件要求提交全部资料或者投标文件没有对招标文件做出实质性响应，其风险应由投标供应商自行承担，并根据有关条款规定，其投标有可能被拒绝。</w:t>
      </w:r>
    </w:p>
    <w:p w14:paraId="2985E5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11.3任何人或任何组织向投标供应商提交的任何书面或口头资料，未经采购代理机构在网上发布或书面通知，均作无效处理，不得作为招标文件的组成部分。采购代理机构对投标供应商由此而做出的推论、理解和结论概不负责。</w:t>
      </w:r>
    </w:p>
    <w:p w14:paraId="1D66822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12．招标文件的澄清</w:t>
      </w:r>
    </w:p>
    <w:p w14:paraId="07529C4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12.1投标供应商在收到招标文件后，对招标文件任何部分若有任何疑问，或要求澄清招标文件的，均应在招标公告规定的答疑截止时间内，按“质疑函”的形式向采购代理机构提交。不论是采购代理机构根据需要主动对招标文件进行必要的澄清或是根据投标供应商的要求对招标文件做出澄清，采购代理机构都将在投标截止日期前以书面形式答复或发送给所有投标供应商。澄清纪要作为招标文件的组成部分，对投标供应商起约束作用；</w:t>
      </w:r>
    </w:p>
    <w:p w14:paraId="7F0D3F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12.2对于没有提出澄清又参与了该项目投标的供应商将被视为完全认同该招标文件（含澄清纪要），投标截止期后不再受理针对招标文件的相关质疑或投诉。</w:t>
      </w:r>
    </w:p>
    <w:p w14:paraId="4F4F03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12.3 对招标文件中描述有歧意或前后不一致的地方，评标委员会有权进行评判，但对同一条款的评判应适用于每个投标供应商。</w:t>
      </w:r>
    </w:p>
    <w:p w14:paraId="7F91FA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13．招标文件的修改</w:t>
      </w:r>
    </w:p>
    <w:p w14:paraId="56F0636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13.1招标文件发出后，在投标截止日期前任何时候，确需要变更招标内容的，采购代理机构可主动地或在解答投标供应商提出的澄清问题时对招标文件进行修改；</w:t>
      </w:r>
    </w:p>
    <w:p w14:paraId="08943F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13.2招标文件的修改以书面形式（包括网站公开发布方式）发送给所有投标供应商，招标文件的修改内容作为招标文件的组成部分，并具有约束力。</w:t>
      </w:r>
    </w:p>
    <w:p w14:paraId="2BCBE5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13.3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14:paraId="2CD712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13.4采购代理机构保证招标文件澄清（答疑）纪要和招标文件修改补充通知在投标截止时间前以网站公开发布形式或书面形式发送给所有投标供应商。为使投标供应商在编写投标文件时有充分时间对招标文件的修改部分进行研究，采购代理机构可以酌情延长递交投标文件的截止日期，具体时间将在修改补充通知中明确。</w:t>
      </w:r>
    </w:p>
    <w:p w14:paraId="111906A3">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20" w:name="_Toc14427256"/>
      <w:bookmarkStart w:id="121" w:name="_Toc529280583"/>
      <w:bookmarkStart w:id="122" w:name="_Toc530152524"/>
      <w:bookmarkStart w:id="123" w:name="_Toc14693"/>
      <w:r>
        <w:rPr>
          <w:rFonts w:hint="eastAsia" w:ascii="宋体" w:hAnsi="宋体" w:eastAsia="宋体" w:cs="宋体"/>
          <w:sz w:val="22"/>
          <w:szCs w:val="22"/>
          <w:highlight w:val="none"/>
        </w:rPr>
        <w:t>第三章投标文件的编制与递交</w:t>
      </w:r>
      <w:bookmarkEnd w:id="120"/>
      <w:bookmarkEnd w:id="121"/>
      <w:bookmarkEnd w:id="122"/>
      <w:bookmarkEnd w:id="123"/>
    </w:p>
    <w:p w14:paraId="5BCF4D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14．投标文件的语言及度量单位</w:t>
      </w:r>
    </w:p>
    <w:p w14:paraId="1EC078F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14.1 投标供应商与采购代理机构之间与投标有关的所有往来通知、函件和投标文件均用中文表述。投标供应商随投标文件提供的证明文件和资料可以为其它语言，但必须附中文译文。翻译的中文资料与外文资料如果出现差异时，以中文为准，但翻译错误的除外。</w:t>
      </w:r>
    </w:p>
    <w:p w14:paraId="09D914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14.2 除技术规范另有规定外，投标文件使用的度量单位，均采用中华人民共和国法定计量单位。</w:t>
      </w:r>
    </w:p>
    <w:p w14:paraId="4583C3D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15．投标文件的组成</w:t>
      </w:r>
    </w:p>
    <w:p w14:paraId="75E56B6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具体内容请详见本项目专用条款的相关内容。</w:t>
      </w:r>
    </w:p>
    <w:p w14:paraId="64DC3EB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16. 投标文件格式</w:t>
      </w:r>
    </w:p>
    <w:p w14:paraId="29237F9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16.1投标文件包括本通用条款第15条中规定的内容。如招标文件提供了投标文件格式，则投标供应商提交的投标文件必须毫无例外地使用招标文件所提供的相应格式并统一使用A4篇幅（表格可以按同样格式扩展）。</w:t>
      </w:r>
    </w:p>
    <w:p w14:paraId="11A09C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17．投标货币</w:t>
      </w:r>
    </w:p>
    <w:p w14:paraId="328E58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本项目的投标应以人民币计。</w:t>
      </w:r>
    </w:p>
    <w:p w14:paraId="377E9329">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18. 证明投标供应商合格和资格的文件</w:t>
      </w:r>
    </w:p>
    <w:p w14:paraId="56A6EF43">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 xml:space="preserve">18.1 </w:t>
      </w:r>
      <w:r>
        <w:rPr>
          <w:rFonts w:hint="eastAsia" w:ascii="宋体" w:hAnsi="宋体" w:eastAsia="宋体" w:cs="宋体"/>
          <w:sz w:val="22"/>
          <w:szCs w:val="22"/>
          <w:highlight w:val="none"/>
          <w:lang w:eastAsia="zh-TW"/>
        </w:rPr>
        <w:t>投标供应商应提交证明其有资格参加投标和中标后有能力履行合同的文件</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并作为其投标文件的一部分。如果投标供应商为联合体</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应提交联合体各方的资格证明文件、</w:t>
      </w:r>
      <w:r>
        <w:rPr>
          <w:rFonts w:hint="eastAsia" w:ascii="宋体" w:hAnsi="宋体" w:eastAsia="宋体" w:cs="宋体"/>
          <w:sz w:val="22"/>
          <w:szCs w:val="22"/>
          <w:highlight w:val="none"/>
        </w:rPr>
        <w:t>共同投标协议</w:t>
      </w:r>
      <w:r>
        <w:rPr>
          <w:rFonts w:hint="eastAsia" w:ascii="宋体" w:hAnsi="宋体" w:eastAsia="宋体" w:cs="宋体"/>
          <w:sz w:val="22"/>
          <w:szCs w:val="22"/>
          <w:highlight w:val="none"/>
          <w:lang w:eastAsia="zh-TW"/>
        </w:rPr>
        <w:t>并注明</w:t>
      </w:r>
      <w:r>
        <w:rPr>
          <w:rFonts w:hint="eastAsia" w:ascii="宋体" w:hAnsi="宋体" w:eastAsia="宋体" w:cs="宋体"/>
          <w:sz w:val="22"/>
          <w:szCs w:val="22"/>
          <w:highlight w:val="none"/>
        </w:rPr>
        <w:t>主体方及各方拟承担的工作和责任。</w:t>
      </w:r>
      <w:r>
        <w:rPr>
          <w:rFonts w:hint="eastAsia" w:ascii="宋体" w:hAnsi="宋体" w:eastAsia="宋体" w:cs="宋体"/>
          <w:sz w:val="22"/>
          <w:szCs w:val="22"/>
          <w:highlight w:val="none"/>
          <w:lang w:eastAsia="zh-TW"/>
        </w:rPr>
        <w:t>否则</w:t>
      </w:r>
      <w:r>
        <w:rPr>
          <w:rFonts w:hint="eastAsia" w:ascii="宋体" w:hAnsi="宋体" w:eastAsia="宋体" w:cs="宋体"/>
          <w:sz w:val="22"/>
          <w:szCs w:val="22"/>
          <w:highlight w:val="none"/>
        </w:rPr>
        <w:t>，</w:t>
      </w:r>
      <w:r>
        <w:rPr>
          <w:rFonts w:hint="eastAsia" w:ascii="宋体" w:hAnsi="宋体" w:eastAsia="宋体" w:cs="宋体"/>
          <w:sz w:val="22"/>
          <w:szCs w:val="22"/>
          <w:highlight w:val="none"/>
          <w:lang w:eastAsia="zh-TW"/>
        </w:rPr>
        <w:t>将导致其投标</w:t>
      </w:r>
      <w:r>
        <w:rPr>
          <w:rFonts w:hint="eastAsia" w:ascii="宋体" w:hAnsi="宋体" w:eastAsia="宋体" w:cs="宋体"/>
          <w:sz w:val="22"/>
          <w:szCs w:val="22"/>
          <w:highlight w:val="none"/>
        </w:rPr>
        <w:t>无效。</w:t>
      </w:r>
    </w:p>
    <w:p w14:paraId="0A7D143F">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sz w:val="22"/>
          <w:szCs w:val="22"/>
          <w:highlight w:val="none"/>
          <w:lang w:eastAsia="zh-TW"/>
        </w:rPr>
      </w:pPr>
      <w:r>
        <w:rPr>
          <w:rFonts w:hint="eastAsia" w:ascii="宋体" w:hAnsi="宋体" w:eastAsia="宋体" w:cs="宋体"/>
          <w:sz w:val="22"/>
          <w:szCs w:val="22"/>
          <w:highlight w:val="none"/>
        </w:rPr>
        <w:t xml:space="preserve">18.2 </w:t>
      </w:r>
      <w:r>
        <w:rPr>
          <w:rFonts w:hint="eastAsia" w:ascii="宋体" w:hAnsi="宋体" w:eastAsia="宋体" w:cs="宋体"/>
          <w:sz w:val="22"/>
          <w:szCs w:val="22"/>
          <w:highlight w:val="none"/>
          <w:lang w:eastAsia="zh-TW"/>
        </w:rPr>
        <w:t>投标供应商提交的资格证明文件应证明其</w:t>
      </w:r>
      <w:r>
        <w:rPr>
          <w:rFonts w:hint="eastAsia" w:ascii="宋体" w:hAnsi="宋体" w:eastAsia="宋体" w:cs="宋体"/>
          <w:sz w:val="22"/>
          <w:szCs w:val="22"/>
          <w:highlight w:val="none"/>
        </w:rPr>
        <w:t>满足</w:t>
      </w:r>
      <w:r>
        <w:rPr>
          <w:rFonts w:hint="eastAsia" w:ascii="宋体" w:hAnsi="宋体" w:eastAsia="宋体" w:cs="宋体"/>
          <w:sz w:val="22"/>
          <w:szCs w:val="22"/>
          <w:highlight w:val="none"/>
          <w:lang w:eastAsia="zh-TW"/>
        </w:rPr>
        <w:t>本须知定义的合格投标供应商。</w:t>
      </w:r>
    </w:p>
    <w:p w14:paraId="5A3B707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19．证明投标文件投标技术方案的合格性和符合招标文件规定的文件要求</w:t>
      </w:r>
    </w:p>
    <w:p w14:paraId="7D63A1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19.1 投标供应商应提交证明文件证明其投标技术方案项下的货物、工程和服务的合格性符合招标文件规定。该投标技术方案及其证明文件作为投标文件的一部分。</w:t>
      </w:r>
    </w:p>
    <w:p w14:paraId="2E08291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 投标供应商提供证明投标技术方案与招标文件的要求相一致的文件，可以是文字资料、图纸、数据或数码照片、制造商公布的产品说明书、产品彩页和我国政府机构出具的产品检验和核准证件等，以证明投标供应商响应的真实性。它包括并应符合以下要求：</w:t>
      </w:r>
    </w:p>
    <w:p w14:paraId="74847B3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19.2.1主要技术指标和性能的详细说明。</w:t>
      </w:r>
    </w:p>
    <w:p w14:paraId="7F1F2E2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19.2.2投标产品从采购人开始使用至招标文件中规定的周期内正常、连续地使用所必须的备件和专用工具清单，包括备件和专用工具的货源及现行价格。</w:t>
      </w:r>
    </w:p>
    <w:p w14:paraId="1D4DB5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19.2.3对照招标文件技术规格，逐条说明投标技术方案已对采购人的技术规格做出了实质性的响应，或申明与技术规格条文的偏差和例外。投标供应商应详细说明投标技术方案中产品的具体参数，不得照搬照抄招标文件的技术要求。</w:t>
      </w:r>
    </w:p>
    <w:p w14:paraId="6923BB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应能清晰的阅读、识别和判断；</w:t>
      </w:r>
    </w:p>
    <w:p w14:paraId="6C3ABF7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19.2.5我国政府机构出具的产品检验和核准证件应为证件正面、背面和附件标注的全部具体内容；产品检验和核准证件应能清晰的阅读、识别和判断，提供原件复印件。</w:t>
      </w:r>
    </w:p>
    <w:p w14:paraId="7B5C532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19.3相关资料不符合19.2款要求的，评标委员会有权认定为投标技术方案不合格响应，其相关分数予以扣减或作废标处理。</w:t>
      </w:r>
    </w:p>
    <w:p w14:paraId="2EEA754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19.4评标委员会有权对以谋取中标为目的的技术规格模糊响应（如有意照搬照抄招标文件的技术要求）或虚假响应予以认定。供应商上述行为一经发现或查实，除扣分或废标外，采购代理机构可视情况报相关监督管理部门做进一步处理。</w:t>
      </w:r>
    </w:p>
    <w:p w14:paraId="58A4878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19.5投标供应商在阐述上述第18.2时应注意采购人在技术规格中指出的工艺、材料和设备的标准以及参照的牌号或分类号仅起说明作用，并没有任何限制性。投标供应商在投标中可以选用替代标准、牌号或分类号，但这些替代要实质上满足招标文件中技术规格的要求，是否满足要求，由评标委员会来评判。</w:t>
      </w:r>
    </w:p>
    <w:p w14:paraId="3C10A57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19.6为保证公平公正，除非另有规定或说明，投标供应商对同一货物或服务投标时，不得同时提供两套或两套以上的投标方案。</w:t>
      </w:r>
    </w:p>
    <w:p w14:paraId="22B10C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20．投标文件其他证明文件的要求</w:t>
      </w:r>
    </w:p>
    <w:p w14:paraId="3F526E3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20.1对项目招标文件《评标信息》评分项中涉及的相关业绩、社保情况、纳税情况、银行资信等级和资金流状况等内容以及《投标文件初审表》中涉及的资格证书，投标供应商应提供相关部门出具的证明材料原件复印件，原件中标备查。上述证明材料应为证件正面、背面和附件标注的全部具体内容；有关原件复印件应能清晰的阅读、识别和判断。若投标供应商未按要求提供证明材料或提供的是部分证明材料或提供不清晰的，评标委员会有权认定其投标文件未对招标文件有关需求进行响应，涉及资格性检查或符合性检查的予以无效标处理，涉及《评标信息》打分项的则该项评分予以0分处理。</w:t>
      </w:r>
    </w:p>
    <w:p w14:paraId="56E8B4A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20.2本项目涉及提供的有关资质证书，若原有资质证书处于年审期间，投标供应商提供年审证明的可按原资质投标；若投标供应商正在申报上一级别资质，在未获批准之前，仍按原级别资质投标。</w:t>
      </w:r>
    </w:p>
    <w:p w14:paraId="3933DBC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21．投标有效期</w:t>
      </w:r>
    </w:p>
    <w:p w14:paraId="5CB873E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21.1 投标有效期为从投标截止之日算起的日历天数，具体见专用条款中投标有效期的天数要求。在此期限内，所有投标文件均保持有效；</w:t>
      </w:r>
    </w:p>
    <w:p w14:paraId="0CAAD2D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21.2 在特殊的情况下，采购代理机构在原定的投标有效期满之前，采购代理机构可以根据需要以书面形式（包括网站公开发布方式）向投标供应商提出延长投标有效期的要求，对此要求投标供应商须以书面形式予以答复，投标供应商可以拒绝采购代理机构此项要求，而不被没收投标保证金，其投标在原投标有效期满后不再有效。同意延长投标有效期的投标供应商不能要求也不允许修改其投标文件，但应当相应的延长投标担保的有效期，在延长的投标有效期内本通用条款第22条关于投标保证金的退还与没收的规定仍然适用；</w:t>
      </w:r>
    </w:p>
    <w:p w14:paraId="21BDD17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21.3 中标单位的投标书有效期，截止于完成本招标文件规定的全部项目内容，并通过竣工验收及保修结束。</w:t>
      </w:r>
    </w:p>
    <w:p w14:paraId="1C6CC79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22．投标保证金</w:t>
      </w:r>
    </w:p>
    <w:p w14:paraId="465E0F0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22.1投标保证金的缴纳：</w:t>
      </w:r>
      <w:r>
        <w:rPr>
          <w:rFonts w:hint="eastAsia" w:ascii="宋体" w:hAnsi="宋体" w:eastAsia="宋体" w:cs="宋体"/>
          <w:b/>
          <w:sz w:val="22"/>
          <w:szCs w:val="22"/>
          <w:highlight w:val="none"/>
        </w:rPr>
        <w:t>（本项目不适用）</w:t>
      </w:r>
    </w:p>
    <w:p w14:paraId="01EFDCE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22.1.1缴纳投标保证金的方式：参与投标前须缴纳壹万元保证金，落标或中标项目完成后返还，参与投标前未缴纳的，其投标将不予受理。</w:t>
      </w:r>
    </w:p>
    <w:p w14:paraId="3653EC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22.1.2 若为重大项目，采购代理机构可自行决定另外收取投标保证金，不受22.1.1款限制。是否另外收取投标保证金，请见本招标文件专用条款《对通用条款的补充内容》中的相关要求。</w:t>
      </w:r>
    </w:p>
    <w:p w14:paraId="2A5BFC6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22.2投标保证金是为了保护采购代理机构和采购人免因投标供应商的行为而蒙受损失。采购代理机构和采购人因投标供应商的行为受到损害时可根据本通用条款第22.3款的规定没收投标供应商的投标保证金。</w:t>
      </w:r>
    </w:p>
    <w:p w14:paraId="2AF2D3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22.3如下列任何情况发生时，投标保证金将被没收。</w:t>
      </w:r>
    </w:p>
    <w:p w14:paraId="21CF89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1）投标供应商在招标文件中规定的投标有效期内撤回其投标；</w:t>
      </w:r>
    </w:p>
    <w:p w14:paraId="5DF506D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2）中标供应商在规定期限内未能根据本项通用条款第47条规定签订合同；</w:t>
      </w:r>
    </w:p>
    <w:p w14:paraId="2ECF063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3）投标供应商提供虚假投标文件或虚假补充文件：</w:t>
      </w:r>
    </w:p>
    <w:p w14:paraId="71A5B63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4）投标供应商以谋取中标为目的的技术规格模糊响应（如有意照搬照抄招标文件的技术要求）或虚假响应的；</w:t>
      </w:r>
    </w:p>
    <w:p w14:paraId="48EAAD7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5）投标供应商质疑投诉提供虚假情况。</w:t>
      </w:r>
    </w:p>
    <w:p w14:paraId="492A496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22.4不再收取投标保证金。</w:t>
      </w:r>
    </w:p>
    <w:p w14:paraId="1020EC4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23．投标供应商的替代方案</w:t>
      </w:r>
    </w:p>
    <w:p w14:paraId="1119C6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23.1投标供应商所提交的投标文件应完全满足招标文件（包括图纸和技术规范所示的基本技术设计）的要求。除非招标的项目明确允许投标供应商提交替代方案，否则投标供应商有关替代方案的条款将不予考虑。</w:t>
      </w:r>
    </w:p>
    <w:p w14:paraId="7F238B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sz w:val="22"/>
          <w:szCs w:val="22"/>
          <w:highlight w:val="none"/>
        </w:rPr>
        <w:t>23.2 如果允许投标供应商提交替代方案，则准备提交替代方案的投标供应商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p w14:paraId="4D7020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24．投标文件的密封、标记和装订</w:t>
      </w:r>
    </w:p>
    <w:p w14:paraId="13DDC9EE">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sz w:val="22"/>
          <w:szCs w:val="22"/>
          <w:highlight w:val="none"/>
        </w:rPr>
        <w:t xml:space="preserve">24.1 </w:t>
      </w:r>
      <w:r>
        <w:rPr>
          <w:rFonts w:hint="eastAsia" w:ascii="宋体" w:hAnsi="宋体" w:eastAsia="宋体" w:cs="宋体"/>
          <w:bCs/>
          <w:sz w:val="22"/>
          <w:szCs w:val="22"/>
          <w:highlight w:val="none"/>
        </w:rPr>
        <w:t>为方便开标唱标，投标供应商应单独提交一个密封信封，并在信封上标明“开标信封”的字样，内容包括开标一览表(报价表)、法定代表人证明书或法定代表人授权委托书、</w:t>
      </w:r>
      <w:r>
        <w:rPr>
          <w:rFonts w:hint="eastAsia" w:ascii="宋体" w:hAnsi="宋体" w:eastAsia="宋体" w:cs="宋体"/>
          <w:sz w:val="22"/>
          <w:szCs w:val="22"/>
          <w:highlight w:val="none"/>
        </w:rPr>
        <w:t>投标文件电子</w:t>
      </w:r>
      <w:r>
        <w:rPr>
          <w:rFonts w:hint="eastAsia" w:ascii="宋体" w:hAnsi="宋体" w:eastAsia="宋体" w:cs="宋体"/>
          <w:sz w:val="22"/>
          <w:szCs w:val="22"/>
          <w:highlight w:val="none"/>
          <w:lang w:val="en-US" w:eastAsia="zh-CN"/>
        </w:rPr>
        <w:t>U</w:t>
      </w:r>
      <w:r>
        <w:rPr>
          <w:rFonts w:hint="eastAsia" w:ascii="宋体" w:hAnsi="宋体" w:eastAsia="宋体" w:cs="宋体"/>
          <w:sz w:val="22"/>
          <w:szCs w:val="22"/>
          <w:highlight w:val="none"/>
        </w:rPr>
        <w:t>盘</w:t>
      </w:r>
      <w:r>
        <w:rPr>
          <w:rFonts w:hint="eastAsia" w:ascii="宋体" w:hAnsi="宋体" w:eastAsia="宋体" w:cs="宋体"/>
          <w:bCs/>
          <w:sz w:val="22"/>
          <w:szCs w:val="22"/>
          <w:highlight w:val="none"/>
        </w:rPr>
        <w:t>，若本项目（或包组）接受联合体投标，则联合体投标，应将各方共同签署的《联合投标协议》和《投标联合体授权主体方协议书》一并提交。开标信封是投标文件的组成部分。</w:t>
      </w:r>
    </w:p>
    <w:p w14:paraId="290E014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24.2 投标文件为纸质投标文件，含正本和副本，投标文件应标明项目编号、招标项目名称及“正本”或“副本”。投标文件的所有内容应按A4篇幅装订成一册，装订应牢固不可拆卸。装订好的投标文件密封包装在一个外密封袋中，并在外密封袋上注明：</w:t>
      </w:r>
    </w:p>
    <w:p w14:paraId="5D37A77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投标文件</w:t>
      </w:r>
    </w:p>
    <w:p w14:paraId="472BD0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项目编号：</w:t>
      </w:r>
    </w:p>
    <w:p w14:paraId="21B1AD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项目名称：</w:t>
      </w:r>
    </w:p>
    <w:p w14:paraId="4A5F813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投标供应商名称（盖章）：</w:t>
      </w:r>
    </w:p>
    <w:p w14:paraId="738D68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投标截止时间：</w:t>
      </w:r>
      <w:r>
        <w:rPr>
          <w:rFonts w:hint="eastAsia" w:ascii="宋体" w:hAnsi="宋体" w:eastAsia="宋体" w:cs="宋体"/>
          <w:sz w:val="22"/>
          <w:szCs w:val="22"/>
          <w:highlight w:val="none"/>
          <w:u w:val="single"/>
        </w:rPr>
        <w:t>_______年______月______日______时______分（前不得开封）</w:t>
      </w:r>
      <w:r>
        <w:rPr>
          <w:rFonts w:hint="eastAsia" w:ascii="宋体" w:hAnsi="宋体" w:eastAsia="宋体" w:cs="宋体"/>
          <w:sz w:val="22"/>
          <w:szCs w:val="22"/>
          <w:highlight w:val="none"/>
        </w:rPr>
        <w:t>。</w:t>
      </w:r>
    </w:p>
    <w:p w14:paraId="1AB44EF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24.3  所有投标文件的密封袋的封口处均应加盖投标供应商公章。</w:t>
      </w:r>
    </w:p>
    <w:p w14:paraId="345E12F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24.4  对于因标书标识不清、装订不牢、密封不严等导致的不利后果由该投标供应商自负。</w:t>
      </w:r>
    </w:p>
    <w:p w14:paraId="794489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24.5  投标方应将投标文件按24.1-24.2中的规定进行密封和标记后，按专用条款中招标公告注明的地址送至招标机构。</w:t>
      </w:r>
    </w:p>
    <w:p w14:paraId="7A5BE1A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24.6  邮寄、电报、电话、传真形式的投标概不接受。</w:t>
      </w:r>
    </w:p>
    <w:p w14:paraId="3AC54CD4">
      <w:pPr>
        <w:pageBreakBefore w:val="0"/>
        <w:tabs>
          <w:tab w:val="clear" w:pos="426"/>
        </w:tabs>
        <w:kinsoku/>
        <w:wordWrap/>
        <w:overflowPunct/>
        <w:topLinePunct w:val="0"/>
        <w:bidi w:val="0"/>
        <w:spacing w:line="360" w:lineRule="exact"/>
        <w:ind w:firstLine="442" w:firstLineChars="200"/>
        <w:rPr>
          <w:rFonts w:hint="eastAsia" w:ascii="宋体" w:hAnsi="宋体" w:eastAsia="宋体" w:cs="宋体"/>
          <w:b/>
          <w:sz w:val="22"/>
          <w:szCs w:val="22"/>
          <w:highlight w:val="none"/>
        </w:rPr>
      </w:pPr>
      <w:r>
        <w:rPr>
          <w:rFonts w:hint="eastAsia" w:ascii="宋体" w:hAnsi="宋体" w:eastAsia="宋体" w:cs="宋体"/>
          <w:b/>
          <w:sz w:val="22"/>
          <w:szCs w:val="22"/>
          <w:highlight w:val="none"/>
        </w:rPr>
        <w:t xml:space="preserve">24.7  </w:t>
      </w:r>
      <w:r>
        <w:rPr>
          <w:rFonts w:hint="eastAsia" w:ascii="宋体" w:hAnsi="宋体" w:eastAsia="宋体" w:cs="宋体"/>
          <w:b/>
          <w:bCs/>
          <w:sz w:val="22"/>
          <w:szCs w:val="22"/>
          <w:highlight w:val="none"/>
        </w:rPr>
        <w:t>投标文件电子版：电子U盘一张（WORD及投标文件正本盖章后的彩色复印件，复印件要求为PDF格式），请将该U盘放在开标信封中，并在U盘上标明项目编号、项目名称及投标供应商名称。</w:t>
      </w:r>
    </w:p>
    <w:p w14:paraId="252E3D4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25．投标截止时间</w:t>
      </w:r>
    </w:p>
    <w:p w14:paraId="06FBA9D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招标机构在投标供应商须知第24.5条规定的地址收到投标书的时间不得迟于“投标供应商须知前附表”所规定的时间。</w:t>
      </w:r>
    </w:p>
    <w:p w14:paraId="7129604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26．迟交的投标书</w:t>
      </w:r>
    </w:p>
    <w:p w14:paraId="1EB27F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按照本通用条款第25条规定，招标机构将拒绝并原封退回在其规定的投标截止期后收到的任何投标书。</w:t>
      </w:r>
    </w:p>
    <w:p w14:paraId="6A7D88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27．投标文件的提交和截标时投标文件的数量要求</w:t>
      </w:r>
    </w:p>
    <w:p w14:paraId="7BF254C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27.1  投标截止时间和地点。投标供应商应根据“专用条款”的规定，在投标截止时间前将投标文件密封送达指定地点。未及时送达指定地点及不符合密封、标记、签章、装订要求的投标文件采购代理机构将拒绝接收。</w:t>
      </w:r>
    </w:p>
    <w:p w14:paraId="48ED222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27.2  截标时递交标书的投标供应商数量未达到法定家数的，采购代理机构将按法律法规的规定暂停开标和评标程序。如导致招标失败，采购人或采购代理机构将不负担因此给投标供应商造成的损失。</w:t>
      </w:r>
    </w:p>
    <w:p w14:paraId="1C4D25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28．投标文件的修改或撤回</w:t>
      </w:r>
    </w:p>
    <w:p w14:paraId="2D6903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28.1  投标供应商已提交投标文件，规定的投标截止时间还未到，投标供应商可提出对其投标文件的修改或撤回。投标供应商须提交由投标供应商代表签名的修改或撤回的书面通知。</w:t>
      </w:r>
    </w:p>
    <w:p w14:paraId="4E464F5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28.2  采购代理机构收到由投标供应商代表签名的修改或撤回的书面通知并确认后，投标供应商可对其投标文件进行修改，或是撤回其投标。</w:t>
      </w:r>
    </w:p>
    <w:p w14:paraId="47EDD66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28.3  投标供应商的修改文件应按照本招标文件的规定进行编制、密封、标记和提交，并在密封袋上注明“投标修改”。</w:t>
      </w:r>
    </w:p>
    <w:p w14:paraId="79B87F1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28.4  投标截止时间之后至投标文件有效期终止之前，投标供应商不得要求撤回其投标。在此期间撤回投标的，其投标担保将会被没收。</w:t>
      </w:r>
    </w:p>
    <w:p w14:paraId="4E73F9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28.5  评标结束后，不论中标与否，投标供应商均不得收回投标文件。</w:t>
      </w:r>
    </w:p>
    <w:p w14:paraId="53F53D5B">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24" w:name="_Toc14427257"/>
      <w:bookmarkStart w:id="125" w:name="_Toc530152525"/>
      <w:bookmarkStart w:id="126" w:name="_Toc529280584"/>
      <w:bookmarkStart w:id="127" w:name="_Toc29488"/>
      <w:r>
        <w:rPr>
          <w:rFonts w:hint="eastAsia" w:ascii="宋体" w:hAnsi="宋体" w:eastAsia="宋体" w:cs="宋体"/>
          <w:sz w:val="22"/>
          <w:szCs w:val="22"/>
          <w:highlight w:val="none"/>
        </w:rPr>
        <w:t>第四章开标</w:t>
      </w:r>
      <w:bookmarkEnd w:id="124"/>
      <w:bookmarkEnd w:id="125"/>
      <w:bookmarkEnd w:id="126"/>
      <w:bookmarkEnd w:id="127"/>
    </w:p>
    <w:p w14:paraId="4C076F3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　开标</w:t>
      </w:r>
    </w:p>
    <w:p w14:paraId="70B747D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29.1  采购人在“投标须知前附表”中规定的时间、地点组织公开开标。邀请所有投标供应商代表参加。不参加开标会的投标供应商，视为其认可开标程序和结果。</w:t>
      </w:r>
    </w:p>
    <w:p w14:paraId="569F1FA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29.2  参加开标会议的投标供应商只委派一名代表，且必须是本单位法定代表人或授权代表，参加会议人员须提供相应的授权委托书。</w:t>
      </w:r>
    </w:p>
    <w:p w14:paraId="211ABA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  开标会由采购代理机构主持，开标程序如下：</w:t>
      </w:r>
    </w:p>
    <w:p w14:paraId="6D2A723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29.3.1  采购代理机构核对法人代表或其授权代表身份证明，若不能提供相应的身份证明或不相符，则不能参与开标会议；</w:t>
      </w:r>
    </w:p>
    <w:p w14:paraId="605DF9D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29.3.2  招标机构将按“招标公告”规定的时间和地点组织公开开标。投标供应商应委派代表参加，参加开标的代表应签名报到以证明出席。</w:t>
      </w:r>
    </w:p>
    <w:p w14:paraId="385FC8E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29.3.3  开标时，招标机构将当众宣读投标供应商名称、修改和撤回投标的通知、开标一览表（以招标文件规定的开标一览表内容为准）。投标文件中开标一览表内容与投标报价明细表内容不一致的，以开标一览表为准。</w:t>
      </w:r>
    </w:p>
    <w:p w14:paraId="0D79EB0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除了按照本通用条款第26条规定原封退回的投标之外，开标时将不得拒绝任何投标书。</w:t>
      </w:r>
    </w:p>
    <w:p w14:paraId="73A294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29.3.4  开标时，招标机构仅拆封开标信封。如投标供应商未单独密封包装开标信封，招标机构有权拆封投标文件。</w:t>
      </w:r>
    </w:p>
    <w:p w14:paraId="324178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29.3.5  按照投标供应商须知第28条规定，提交了可接受的“撤回”通知的投标将不予开封。</w:t>
      </w:r>
    </w:p>
    <w:p w14:paraId="1DBD8D3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29.3.6  无论如何在开标时没有启封和读出的投标书在评标时将不予考虑。撤回的投标书将原封退回投标供应商。</w:t>
      </w:r>
    </w:p>
    <w:p w14:paraId="18F1FE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29.3.7  招标机构将做开标记录，开标记录包括按本通用条款第29.3.3的规定在开标时宣读的全部内容。</w:t>
      </w:r>
    </w:p>
    <w:p w14:paraId="4282D6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29.3.8  供应商在开标过程中知道或者应知其权益受到损害时必须现场明确提出，未明确提出的，即视为认可开标结果。</w:t>
      </w:r>
    </w:p>
    <w:p w14:paraId="697731BA">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28" w:name="_Toc530152526"/>
      <w:bookmarkStart w:id="129" w:name="_Toc529280585"/>
      <w:bookmarkStart w:id="130" w:name="_Toc20973"/>
      <w:bookmarkStart w:id="131" w:name="_Toc14427258"/>
      <w:r>
        <w:rPr>
          <w:rFonts w:hint="eastAsia" w:ascii="宋体" w:hAnsi="宋体" w:eastAsia="宋体" w:cs="宋体"/>
          <w:sz w:val="22"/>
          <w:szCs w:val="22"/>
          <w:highlight w:val="none"/>
        </w:rPr>
        <w:t>第五章评标要求</w:t>
      </w:r>
      <w:bookmarkEnd w:id="128"/>
      <w:bookmarkEnd w:id="129"/>
      <w:bookmarkEnd w:id="130"/>
      <w:bookmarkEnd w:id="131"/>
    </w:p>
    <w:p w14:paraId="2EFBB27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30．评标委员会组成</w:t>
      </w:r>
    </w:p>
    <w:p w14:paraId="1B11A65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30.1开标结束后召开评标会议，评标委员会由采购代理机构依法组建，负责评标活动。</w:t>
      </w:r>
    </w:p>
    <w:p w14:paraId="2F2C4DA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委员会的组成及行为规范执行《中华人民共和国政府采购法》《中华人民共和国政府采购法实施条例》，评标委员会由采购人代表和有关技术、经济等方面的专家组成，成员人数为5人以上（含5人）单数，其中技术、经济等方面的专家不少于成员总数的三分之二。</w:t>
      </w:r>
    </w:p>
    <w:p w14:paraId="4FB5FF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采购人代表须持本单位签发的《评标授权书》参加评标。</w:t>
      </w:r>
    </w:p>
    <w:p w14:paraId="53FD2F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采购人无代表参与评标，应在开标前一天提交《采购人不派评委参与项目评标承诺书》给采购代理机构。</w:t>
      </w:r>
    </w:p>
    <w:p w14:paraId="1B8453E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注：《评标授权书》《采购人不派评委参与项目评标承诺书》模板由采购代理机构提供。</w:t>
      </w:r>
    </w:p>
    <w:p w14:paraId="09BBAE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30.2评标定标应当遵循公平、公正、科学、择优的原则。</w:t>
      </w:r>
    </w:p>
    <w:p w14:paraId="16AD3A5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30.3评标活动依法进行，任何单位和个人不得非法干预评标过程和结果。</w:t>
      </w:r>
    </w:p>
    <w:p w14:paraId="24C6B0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30.4评标过程中不允许违背评标程序或采用招标文件未载明的评标方法或评标因素进行评标。</w:t>
      </w:r>
    </w:p>
    <w:p w14:paraId="6F24DB7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30.5 开标后，直到授予中标供应商合同为止，凡属于对投标文件的审查、澄清、评价和比较的有关资料以及中标候选人的推荐情况、与评标有关的其他任何情况均严格保密。</w:t>
      </w:r>
    </w:p>
    <w:p w14:paraId="2B80E4A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31．向评标委员会提供的资料</w:t>
      </w:r>
    </w:p>
    <w:p w14:paraId="660C2F9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31.1公开发布的招标文件，包括图纸、服务清单、答疑文件等；</w:t>
      </w:r>
    </w:p>
    <w:p w14:paraId="4125C87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31.2其他评标必须的资料。</w:t>
      </w:r>
    </w:p>
    <w:p w14:paraId="6E720F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31.3评标委员会应当认真研究招标文件，至少应了解熟悉以下内容：</w:t>
      </w:r>
    </w:p>
    <w:p w14:paraId="127A756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（1）招标的目的；</w:t>
      </w:r>
    </w:p>
    <w:p w14:paraId="63D4EB7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（2）招标项目需求的范围和性质；</w:t>
      </w:r>
    </w:p>
    <w:p w14:paraId="232B71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（3）招标文件规定的投标供应商的资格、财政预算限额、商务条款；</w:t>
      </w:r>
    </w:p>
    <w:p w14:paraId="4B0E863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（4）招标文件规定的评标程序、评标方法和评标因素；</w:t>
      </w:r>
    </w:p>
    <w:p w14:paraId="561A978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（5）招标文件所列示的投标文件“资格、符合性评审条款”。</w:t>
      </w:r>
    </w:p>
    <w:p w14:paraId="1C9F282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32．独立评标</w:t>
      </w:r>
    </w:p>
    <w:p w14:paraId="7F2628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32.1评标委员会成员的评标活动应当独立进行，并应遵循投标文件初审、澄清有关问题、比较与评价、确定中标候选供应商、编写评标报告的工作程序。</w:t>
      </w:r>
    </w:p>
    <w:p w14:paraId="7E70D2CB">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32" w:name="_Toc529280586"/>
      <w:bookmarkStart w:id="133" w:name="_Toc530152527"/>
      <w:bookmarkStart w:id="134" w:name="_Toc4426"/>
      <w:bookmarkStart w:id="135" w:name="_Toc14427259"/>
      <w:r>
        <w:rPr>
          <w:rFonts w:hint="eastAsia" w:ascii="宋体" w:hAnsi="宋体" w:eastAsia="宋体" w:cs="宋体"/>
          <w:sz w:val="22"/>
          <w:szCs w:val="22"/>
          <w:highlight w:val="none"/>
        </w:rPr>
        <w:t>第六章评标程序及评标方法</w:t>
      </w:r>
      <w:bookmarkEnd w:id="132"/>
      <w:bookmarkEnd w:id="133"/>
      <w:bookmarkEnd w:id="134"/>
      <w:bookmarkEnd w:id="135"/>
    </w:p>
    <w:p w14:paraId="66D567D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33．投标文件初审</w:t>
      </w:r>
    </w:p>
    <w:p w14:paraId="7A050AD6">
      <w:pPr>
        <w:pageBreakBefore w:val="0"/>
        <w:widowControl w:val="0"/>
        <w:shd w:val="clear" w:color="auto" w:fill="auto"/>
        <w:tabs>
          <w:tab w:val="clear" w:pos="426"/>
        </w:tabs>
        <w:kinsoku/>
        <w:wordWrap/>
        <w:overflowPunct/>
        <w:topLinePunct w:val="0"/>
        <w:autoSpaceDE w:val="0"/>
        <w:autoSpaceDN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 xml:space="preserve">33.1 </w:t>
      </w:r>
      <w:r>
        <w:rPr>
          <w:rFonts w:hint="eastAsia" w:ascii="宋体" w:hAnsi="宋体" w:eastAsia="宋体" w:cs="宋体"/>
          <w:sz w:val="22"/>
          <w:szCs w:val="22"/>
          <w:highlight w:val="none"/>
          <w:lang w:eastAsia="zh-TW"/>
        </w:rPr>
        <w:t>评标委员会将</w:t>
      </w:r>
      <w:r>
        <w:rPr>
          <w:rFonts w:hint="eastAsia" w:ascii="宋体" w:hAnsi="宋体" w:eastAsia="宋体" w:cs="宋体"/>
          <w:sz w:val="22"/>
          <w:szCs w:val="22"/>
          <w:highlight w:val="none"/>
        </w:rPr>
        <w:t>依法对投标文件进行初审。投标文件初审包括资格性检查和符合性检查，资格性检查：依据法律法规和招标文件的规定，对投标文件中的资格证明、投标保证金等进行审查，以确定投标供应商是否具备投标资格。符合性检查：依据招标文件的规定，从投标文件的有效性、完整性和对招标文件的响应程度进行审查，以确定是否对招标文件的实质性要求作出响应。</w:t>
      </w:r>
    </w:p>
    <w:p w14:paraId="68C8E7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33.2 投标文件初审内容请详见“</w:t>
      </w:r>
      <w:r>
        <w:rPr>
          <w:rFonts w:hint="eastAsia" w:ascii="宋体" w:hAnsi="宋体" w:eastAsia="宋体" w:cs="宋体"/>
          <w:b/>
          <w:sz w:val="22"/>
          <w:szCs w:val="22"/>
          <w:highlight w:val="none"/>
        </w:rPr>
        <w:t>资格、符合性评审条款</w:t>
      </w:r>
      <w:r>
        <w:rPr>
          <w:rFonts w:hint="eastAsia" w:ascii="宋体" w:hAnsi="宋体" w:eastAsia="宋体" w:cs="宋体"/>
          <w:sz w:val="22"/>
          <w:szCs w:val="22"/>
          <w:highlight w:val="none"/>
        </w:rPr>
        <w:t>”。投标供应商若有一条审查不通过则按无效标处理。评标委员会对投标单位打√为通过审查，打×为未通过审查。</w:t>
      </w:r>
    </w:p>
    <w:p w14:paraId="6C554FB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 投标文件初审中关于供应商家数的计算。</w:t>
      </w:r>
    </w:p>
    <w:p w14:paraId="3E0A176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33.3.1 采用最低评标价法的采购项目，提供相同品牌产品的不同投标供应商参加同一合同项下投标的，以其中通过资格审查、符合性审查且报价最低的参加评标；报价相同的，由采购人或者采购人委托评标委员会按照招标文件规定的方式确定一个参加评标的投标供应商，招标文件未规定的采取随机抽取方式确定，其他投标无效。</w:t>
      </w:r>
    </w:p>
    <w:p w14:paraId="1E653DB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33.3.2使用综合评分法的采购项目，提供相同品牌产品且通过资格审查、符合性审查的不同投标供应商参加同一合同项下投标的，按一家投标供应商计算，评审后得分最高的同品牌投标供应商获得中标供应商推荐资格；评审得分相同的，由采购人或者采购人委托评标委员会按照招标文件规定的方式确定一个投标供应商获得中标供应商推荐资格，招标文件未规定的采取随机抽取方式确定，其他同品牌投标供应商不作为中标候选人。</w:t>
      </w:r>
    </w:p>
    <w:p w14:paraId="71F8317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33.3.3非单一产品采购项目，采购人应当根据采购项目技术构成、产品价格比重等合理确定核心产品，并在招标文件中载明。多家投标供应商提供的核心产品品牌相同的，按前两款规定处理。</w:t>
      </w:r>
    </w:p>
    <w:p w14:paraId="1F972DE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33.3.4公开招标以外采购方式以及采购服务和工程涉及采购货物的项目，也按此方法计算供应商家数。</w:t>
      </w:r>
    </w:p>
    <w:p w14:paraId="70E0D99E">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.4投标人投标文件作无效处理的情形，具体包括但不限于以下：</w:t>
      </w:r>
    </w:p>
    <w:p w14:paraId="2AF1A458">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.4.1不同投标人的投标文件由同一单位或者同一个人编制，或者由同一个人分阶段参与编制；</w:t>
      </w:r>
    </w:p>
    <w:p w14:paraId="3EA2E08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.4.2不同投标人委托同一单位或者个人办理投标事宜；</w:t>
      </w:r>
    </w:p>
    <w:p w14:paraId="6B0825F4">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.4.3不同投标人的投标文件载明的项目管理成员或者联系人员为同一人；</w:t>
      </w:r>
    </w:p>
    <w:p w14:paraId="4D3E76CD">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.4.4不同投标人的投标文件异常一致或者投标报价呈规律性差异；</w:t>
      </w:r>
    </w:p>
    <w:p w14:paraId="595A01D2">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.4.5不同投标供应商的投标文件或部分投标文件相互混装；</w:t>
      </w:r>
    </w:p>
    <w:p w14:paraId="08BAA83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.4.6投标供应商之间相互约定给予未中标的供应商利益补偿；</w:t>
      </w:r>
    </w:p>
    <w:p w14:paraId="26B6E409">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.4.7不同投标供应商的法定代表人、主要经营负责人、项目投标授权代表人、项目负责人、主要技术人员为同一人、属同一单位或者同一单位缴纳社会保险；</w:t>
      </w:r>
    </w:p>
    <w:p w14:paraId="419C898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.4.8不同投标供应商的投标文件内容存在非正常一致；</w:t>
      </w:r>
    </w:p>
    <w:p w14:paraId="32C8719E">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.4.9在同一单位工作人员为两家以上（含两家）供应商进行同一项投标活动；</w:t>
      </w:r>
    </w:p>
    <w:p w14:paraId="04A0EEB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33</w:t>
      </w:r>
      <w:r>
        <w:rPr>
          <w:rFonts w:hint="eastAsia" w:ascii="宋体" w:hAnsi="宋体" w:eastAsia="宋体" w:cs="宋体"/>
          <w:sz w:val="22"/>
          <w:szCs w:val="22"/>
          <w:highlight w:val="none"/>
        </w:rPr>
        <w:t>.4.10主管部门依照法律、法规认定的其他情形。</w:t>
      </w:r>
    </w:p>
    <w:p w14:paraId="0EB2FB9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33.</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 xml:space="preserve"> 对不属于投标文件“</w:t>
      </w:r>
      <w:r>
        <w:rPr>
          <w:rFonts w:hint="eastAsia" w:ascii="宋体" w:hAnsi="宋体" w:eastAsia="宋体" w:cs="宋体"/>
          <w:b/>
          <w:sz w:val="22"/>
          <w:szCs w:val="22"/>
          <w:highlight w:val="none"/>
        </w:rPr>
        <w:t>资格、符合性评审条款</w:t>
      </w:r>
      <w:r>
        <w:rPr>
          <w:rFonts w:hint="eastAsia" w:ascii="宋体" w:hAnsi="宋体" w:eastAsia="宋体" w:cs="宋体"/>
          <w:sz w:val="22"/>
          <w:szCs w:val="22"/>
          <w:highlight w:val="none"/>
        </w:rPr>
        <w:t>”要所列不符合的情形，除专用条款另有规定</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24.4条款所列情形</w:t>
      </w:r>
      <w:r>
        <w:rPr>
          <w:rFonts w:hint="eastAsia" w:ascii="宋体" w:hAnsi="宋体" w:eastAsia="宋体" w:cs="宋体"/>
          <w:sz w:val="22"/>
          <w:szCs w:val="22"/>
          <w:highlight w:val="none"/>
          <w:lang w:val="en-US" w:eastAsia="zh-CN"/>
        </w:rPr>
        <w:t>及</w:t>
      </w:r>
      <w:r>
        <w:rPr>
          <w:rFonts w:hint="eastAsia" w:ascii="宋体" w:hAnsi="宋体" w:eastAsia="宋体" w:cs="宋体"/>
          <w:sz w:val="22"/>
          <w:szCs w:val="22"/>
          <w:highlight w:val="none"/>
        </w:rPr>
        <w:t>法律法规另有规定外，不得作为废标的理由。</w:t>
      </w:r>
    </w:p>
    <w:p w14:paraId="79BCA6D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34．澄清有关问题</w:t>
      </w:r>
    </w:p>
    <w:p w14:paraId="04029FA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.1对招标文件中描述有歧义或前后不一致的地方（不含招标文件存在歧义、重大缺陷导致评审工作无法进行的情况），评审委员会有权进行评判，但对同一条款的评判应适用于每个投标人。</w:t>
      </w:r>
    </w:p>
    <w:p w14:paraId="415CEA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2评审委员会发现招标文件存在歧义、重大缺陷导致评审工作无法进行，或者招标文件内容违反国家有关强制性规定的，应当停止评审工作，与政府采购代理机构沟通并作书面记录。经确认后，项目应当修改招标文件，重新组织采购活动。</w:t>
      </w:r>
    </w:p>
    <w:p w14:paraId="795BCE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34</w:t>
      </w:r>
      <w:r>
        <w:rPr>
          <w:rFonts w:hint="eastAsia" w:ascii="宋体" w:hAnsi="宋体" w:eastAsia="宋体" w:cs="宋体"/>
          <w:sz w:val="22"/>
          <w:szCs w:val="22"/>
          <w:highlight w:val="none"/>
        </w:rPr>
        <w:t>.3对于投标文件中含义不明确、同类问题表述不一致或者有明显文字和计算错误的内容，评审委员会应当以书面形式要求投标人作出必要的澄清、说明或者补正。</w:t>
      </w:r>
    </w:p>
    <w:p w14:paraId="580EE08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投标人的澄清、说明或者补正应当采用书面形式，并加盖公章（或者由法定代表人或其授权的代表签字）。投标人的澄清、说明或者补正不得超出投标文件的范围或者改变投标文件的实质性内容。</w:t>
      </w:r>
    </w:p>
    <w:p w14:paraId="517FDF1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根据本通用条款第3</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条，凡属于评标委员会在评标中发现的算术错误进行核实的修改不在此列。</w:t>
      </w:r>
    </w:p>
    <w:p w14:paraId="07029DD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35．错误的修正</w:t>
      </w:r>
    </w:p>
    <w:p w14:paraId="6DC094B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35.1 评标委员会将审查投标文件是否完整、总体编排是否有序、文件签署是否合格、投标供应商是否提交了投标保证金、有无计算上的错误等。</w:t>
      </w:r>
    </w:p>
    <w:p w14:paraId="26A3595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 算术错误将按以下方法更正（次序排先者优先）：</w:t>
      </w:r>
    </w:p>
    <w:p w14:paraId="100EE96A">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35</w:t>
      </w:r>
      <w:r>
        <w:rPr>
          <w:rFonts w:hint="eastAsia" w:ascii="宋体" w:hAnsi="宋体" w:eastAsia="宋体" w:cs="宋体"/>
          <w:sz w:val="22"/>
          <w:szCs w:val="22"/>
          <w:highlight w:val="none"/>
        </w:rPr>
        <w:t>.2.1 单独密封提交的开标一览表（报价表）与投标文件中的开标一览表（报价表）不一致的，以单独密封提交的开标一览表（报价表）为准；</w:t>
      </w:r>
    </w:p>
    <w:p w14:paraId="4730B34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投标文件中开标一览表（报价表）内容与投标文件中相应内容不一致的，以开标一览表（报价表）为准；</w:t>
      </w:r>
    </w:p>
    <w:p w14:paraId="5B786D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大写金额和小写金额不一致的，以大写金额为准；</w:t>
      </w:r>
    </w:p>
    <w:p w14:paraId="26A920D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4</w:t>
      </w:r>
      <w:r>
        <w:rPr>
          <w:rFonts w:hint="eastAsia" w:ascii="宋体" w:hAnsi="宋体" w:eastAsia="宋体" w:cs="宋体"/>
          <w:sz w:val="22"/>
          <w:szCs w:val="22"/>
          <w:highlight w:val="none"/>
        </w:rPr>
        <w:t>单价金额小数点或者百分比有明显错位的，以开标一览表的总价为准，并修改单价；</w:t>
      </w:r>
    </w:p>
    <w:p w14:paraId="0338BE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总价金额与按单价汇总金额不一致的，以单价金额计算结果为准；</w:t>
      </w:r>
    </w:p>
    <w:p w14:paraId="6B201FB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35.2.</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对不同文字文本投标文件的解释发生异议的，以中文文本为准。</w:t>
      </w:r>
    </w:p>
    <w:p w14:paraId="0E2B3E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35.3对于投标文件中不构成实质性偏差的不正规、不一致或不规则，给评审带来不便，评标委员会可以接受。</w:t>
      </w:r>
    </w:p>
    <w:p w14:paraId="67FFF5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35.4投标供应商的投标报价是可变动价格的，或包含了价格调整要求的，或投标报价中提供两个（含两个）以上的报价（招标文件规定提交备选投标方案的除外），或严重漏项，评标委员会无法进行判断的，评标委员会可以作无效标处理。</w:t>
      </w:r>
    </w:p>
    <w:p w14:paraId="192BC2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35.5根据上述修正错误的原则及方法调整或修正投标文件的投标报价，投标供应商同意后，调整后的投标报价对投标供应商起约束作用。</w:t>
      </w:r>
      <w:r>
        <w:rPr>
          <w:rFonts w:hint="eastAsia" w:ascii="宋体" w:hAnsi="宋体" w:eastAsia="宋体" w:cs="宋体"/>
          <w:bCs/>
          <w:sz w:val="22"/>
          <w:szCs w:val="22"/>
          <w:highlight w:val="none"/>
        </w:rPr>
        <w:t>如果投标供应商不接受修正后的报价，则其投标将被拒绝并且其投标保证金也将被没收，并不影响评标工作。</w:t>
      </w:r>
    </w:p>
    <w:p w14:paraId="6A9206E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36．投标文件的比较与评价</w:t>
      </w:r>
    </w:p>
    <w:p w14:paraId="5D4A3D8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36.1评标委员会将参照相关法律、法规、规定，仅对通过资格性审查和符合性审查的投标文件进行综合比较与评价。</w:t>
      </w:r>
    </w:p>
    <w:p w14:paraId="42ECC85C">
      <w:pPr>
        <w:pStyle w:val="44"/>
        <w:pageBreakBefore w:val="0"/>
        <w:kinsoku/>
        <w:wordWrap/>
        <w:overflowPunct/>
        <w:topLinePunct w:val="0"/>
        <w:bidi w:val="0"/>
        <w:spacing w:line="360" w:lineRule="exact"/>
        <w:ind w:firstLine="440" w:firstLineChars="200"/>
        <w:rPr>
          <w:rFonts w:hint="eastAsia" w:ascii="宋体" w:hAnsi="宋体" w:eastAsia="宋体" w:cs="宋体"/>
          <w:sz w:val="22"/>
          <w:szCs w:val="22"/>
        </w:rPr>
      </w:pPr>
      <w:r>
        <w:rPr>
          <w:rFonts w:hint="eastAsia" w:ascii="宋体" w:hAnsi="宋体" w:eastAsia="宋体" w:cs="宋体"/>
          <w:sz w:val="22"/>
          <w:szCs w:val="22"/>
          <w:highlight w:val="none"/>
        </w:rPr>
        <w:t>评标</w:t>
      </w:r>
      <w:r>
        <w:rPr>
          <w:rFonts w:hint="eastAsia" w:ascii="宋体" w:hAnsi="宋体" w:eastAsia="宋体" w:cs="宋体"/>
          <w:sz w:val="22"/>
          <w:szCs w:val="22"/>
        </w:rPr>
        <w:t>委员会成员对需要共同认定的事项存在争议的，应当按照少数服从多数的原则作出结论。持不同意见的评审委员会成员应当书面作出说明，否则视为无异议。</w:t>
      </w:r>
    </w:p>
    <w:p w14:paraId="1422887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Cs/>
          <w:sz w:val="22"/>
          <w:szCs w:val="22"/>
          <w:highlight w:val="none"/>
        </w:rPr>
        <w:t xml:space="preserve">36.2  </w:t>
      </w:r>
      <w:r>
        <w:rPr>
          <w:rFonts w:hint="eastAsia" w:ascii="宋体" w:hAnsi="宋体" w:eastAsia="宋体" w:cs="宋体"/>
          <w:sz w:val="22"/>
          <w:szCs w:val="22"/>
          <w:highlight w:val="none"/>
        </w:rPr>
        <w:t>评标委员会应当根据招标文件，审查并逐项列出投标文件的全部投标偏离。投标偏离分为重大偏离和细微偏离。</w:t>
      </w:r>
    </w:p>
    <w:p w14:paraId="3AB23E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36.3 评标委员会应当对投标供应商的投标文件进行分析和比较。</w:t>
      </w:r>
    </w:p>
    <w:p w14:paraId="64497A6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36.4  评标委员会应当根据招标文件规定，对投标文件中的每项评审内容进行评审。</w:t>
      </w:r>
    </w:p>
    <w:p w14:paraId="66EC05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  投标文件存在重大偏离的，应作废标处理。下列情况属于重大偏离：</w:t>
      </w:r>
    </w:p>
    <w:p w14:paraId="16559E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  投标供应商以他人的名义投标或出现下列串通投标、弄虚作假投标嫌疑的：</w:t>
      </w:r>
    </w:p>
    <w:p w14:paraId="082863C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36.5.1.1  不同投标供应商的投标文件内容存在非正常一致的；</w:t>
      </w:r>
    </w:p>
    <w:p w14:paraId="58EF715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36.5.1.2  不同投标供应商的投标文件错漏之处一致的；</w:t>
      </w:r>
    </w:p>
    <w:p w14:paraId="66C3C2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36.5.1.3  不同投标供应商的投标报价或者报价组成异常一致或者呈规律性变化的；</w:t>
      </w:r>
    </w:p>
    <w:p w14:paraId="19027D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36.5.1.4  不同投标供应商的投标文件由同一单位或者同一个人编制的；</w:t>
      </w:r>
    </w:p>
    <w:p w14:paraId="328880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36.5.1.5  不同投标供应商的投标文件载明的项目负责人与主要技术人员出现同一人的；</w:t>
      </w:r>
    </w:p>
    <w:p w14:paraId="0BF3DC2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36.5.1.6  不同投标供应商的投标文件相互混装的；</w:t>
      </w:r>
    </w:p>
    <w:p w14:paraId="1584F1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36.5.1.7  不同投标供应商委托同一人投标的；</w:t>
      </w:r>
    </w:p>
    <w:p w14:paraId="423D2D1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36.5.1.8  不同投标供应商聘请同一人为其投标提供技术或者经济咨询服务的，但招标工程本身要求采用专有技术的除外；</w:t>
      </w:r>
    </w:p>
    <w:p w14:paraId="1530BA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36.5.1.9  评标委员会认定的其他串通投标情形。</w:t>
      </w:r>
    </w:p>
    <w:p w14:paraId="3C27C49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kern w:val="10"/>
          <w:sz w:val="22"/>
          <w:szCs w:val="22"/>
          <w:highlight w:val="none"/>
        </w:rPr>
        <w:t xml:space="preserve">36.5.2 </w:t>
      </w:r>
      <w:r>
        <w:rPr>
          <w:rFonts w:hint="eastAsia" w:ascii="宋体" w:hAnsi="宋体" w:eastAsia="宋体" w:cs="宋体"/>
          <w:sz w:val="22"/>
          <w:szCs w:val="22"/>
          <w:highlight w:val="none"/>
        </w:rPr>
        <w:t>投标文件不满足招标文件规定的任何一项实质性要求的；</w:t>
      </w:r>
    </w:p>
    <w:p w14:paraId="4DC0829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Cs/>
          <w:kern w:val="10"/>
          <w:sz w:val="22"/>
          <w:szCs w:val="22"/>
          <w:highlight w:val="none"/>
        </w:rPr>
        <w:t xml:space="preserve">36.5.3 </w:t>
      </w:r>
      <w:r>
        <w:rPr>
          <w:rFonts w:hint="eastAsia" w:ascii="宋体" w:hAnsi="宋体" w:eastAsia="宋体" w:cs="宋体"/>
          <w:sz w:val="22"/>
          <w:szCs w:val="22"/>
          <w:highlight w:val="none"/>
        </w:rPr>
        <w:t>投标文件对招标文件规定的非实质性要求的偏离，超出允许偏离的最大范围或最高项数的；</w:t>
      </w:r>
    </w:p>
    <w:p w14:paraId="16D201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kern w:val="10"/>
          <w:sz w:val="22"/>
          <w:szCs w:val="22"/>
          <w:highlight w:val="none"/>
        </w:rPr>
        <w:t xml:space="preserve">36.5.4 </w:t>
      </w:r>
      <w:r>
        <w:rPr>
          <w:rFonts w:hint="eastAsia" w:ascii="宋体" w:hAnsi="宋体" w:eastAsia="宋体" w:cs="宋体"/>
          <w:sz w:val="22"/>
          <w:szCs w:val="22"/>
          <w:highlight w:val="none"/>
        </w:rPr>
        <w:t>评标委员会根据招标文件的规定对投标文件的投标价格进行调整，投标供应商不接受调整方式的，或不接受调整后的价格的；</w:t>
      </w:r>
    </w:p>
    <w:p w14:paraId="0EFB7B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36.6  细微偏离是指投标文件在实质上响应招标文件要求，但在个别地方存在漏项或者提供了不完整的技术信息和数据等情况，并且补正这些漏项或者不完整不会对其他投标供应商造成不公平的结果。细微偏离不影响投标文件的有效性。</w:t>
      </w:r>
    </w:p>
    <w:p w14:paraId="3028AF3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kern w:val="10"/>
          <w:sz w:val="22"/>
          <w:szCs w:val="22"/>
          <w:highlight w:val="none"/>
        </w:rPr>
      </w:pPr>
      <w:r>
        <w:rPr>
          <w:rFonts w:hint="eastAsia" w:ascii="宋体" w:hAnsi="宋体" w:eastAsia="宋体" w:cs="宋体"/>
          <w:kern w:val="10"/>
          <w:sz w:val="22"/>
          <w:szCs w:val="22"/>
          <w:highlight w:val="none"/>
        </w:rPr>
        <w:t>36.7 评标委员会应书面要求存在细微偏离的投标供应商在评标结束前予以补正。拒不补正的，在详细评审时可以对细微偏离按照不利于该投标供应商的原则进行调整，且投标供应商不得因此提出任何异议。</w:t>
      </w:r>
    </w:p>
    <w:p w14:paraId="0815D47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37.实地考察、演示或设备测试</w:t>
      </w:r>
    </w:p>
    <w:p w14:paraId="28A1B17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37.1在招标过程中，评标委员会有权决定是否对本项目投标供应商进行现场勘察或实地考察或检验有关证明材料的原件。投标供应商应随时做好接受检查的准备。</w:t>
      </w:r>
    </w:p>
    <w:p w14:paraId="35376F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37.2若招标文件要求进行现场演示或设备测试的，投标供应商应做好相应准备。</w:t>
      </w:r>
    </w:p>
    <w:p w14:paraId="603622E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38．评标方法</w:t>
      </w:r>
    </w:p>
    <w:p w14:paraId="7233B2D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38.1根据有关要求，项目评标方法根据是否是评定分离项目进行选择。</w:t>
      </w:r>
    </w:p>
    <w:p w14:paraId="0FC30A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38.2非评定分离项目</w:t>
      </w:r>
    </w:p>
    <w:p w14:paraId="2CAB98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非评定分离项目评分方法为最低评标价法、综合评标法、性价比法及法律、法规允许的其它评标办法。</w:t>
      </w:r>
    </w:p>
    <w:p w14:paraId="0DED75C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38.2.1最低评标价法</w:t>
      </w:r>
    </w:p>
    <w:p w14:paraId="3456EB8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最低价法是指以价格因素确定中标候选供应商的评标方法，即在满足招标文件实质性要求前提下，以报价最低的投标供应商作为中标候选供应商或中标供应商的评标方法；</w:t>
      </w:r>
    </w:p>
    <w:p w14:paraId="6902F5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38.2.2综合评分法</w:t>
      </w:r>
    </w:p>
    <w:p w14:paraId="05DE557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综合评分法是指在最大限度地满足招标文件实质性要求前提下，按照招标文件中规定的各项因素进行量化打分，每个投标供应商的总得分确定，以评标总得分最高的投标供应商作为中标候选供应商或中标供应商的评标方法。</w:t>
      </w:r>
    </w:p>
    <w:p w14:paraId="23BD11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bCs/>
          <w:sz w:val="22"/>
          <w:szCs w:val="22"/>
          <w:highlight w:val="none"/>
        </w:rPr>
      </w:pPr>
      <w:r>
        <w:rPr>
          <w:rFonts w:hint="eastAsia" w:ascii="宋体" w:hAnsi="宋体" w:eastAsia="宋体" w:cs="宋体"/>
          <w:sz w:val="22"/>
          <w:szCs w:val="22"/>
          <w:highlight w:val="none"/>
        </w:rPr>
        <w:t>38.2.3</w:t>
      </w:r>
      <w:r>
        <w:rPr>
          <w:rFonts w:hint="eastAsia" w:ascii="宋体" w:hAnsi="宋体" w:eastAsia="宋体" w:cs="宋体"/>
          <w:bCs/>
          <w:sz w:val="22"/>
          <w:szCs w:val="22"/>
          <w:highlight w:val="none"/>
        </w:rPr>
        <w:t>性价比法</w:t>
      </w:r>
    </w:p>
    <w:p w14:paraId="2187228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性价比法是指除价格因素外，经对投标文件进行评审，计算出评分因素的总分，除以投标报价，以商数最高的投标供应商作为中标候选供应商或中标供应商的评标方法。</w:t>
      </w:r>
    </w:p>
    <w:p w14:paraId="2F209B6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38.3评定分离项目</w:t>
      </w:r>
    </w:p>
    <w:p w14:paraId="3681389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评定分离项目，评审委员会应当按照综合评分法、定性评审法、最低价法或者法律、法规及规章规定的其他评审方法对投标文件进行评审。</w:t>
      </w:r>
    </w:p>
    <w:p w14:paraId="0D3529C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38.3.1综合评分法</w:t>
      </w:r>
    </w:p>
    <w:p w14:paraId="5760638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综合评分法是指在最大限度满足招标文件实质性要求的前提下，按照招标文件中规定的各项因素进行综合评审，评审总得分排名前列的投标供应商，作为推荐的候选中标供应商。</w:t>
      </w:r>
    </w:p>
    <w:p w14:paraId="29113EA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shd w:val="clear" w:color="auto" w:fill="FFFFFF"/>
        </w:rPr>
      </w:pPr>
      <w:r>
        <w:rPr>
          <w:rFonts w:hint="eastAsia" w:ascii="宋体" w:hAnsi="宋体" w:eastAsia="宋体" w:cs="宋体"/>
          <w:sz w:val="22"/>
          <w:szCs w:val="22"/>
          <w:highlight w:val="none"/>
        </w:rPr>
        <w:t>38.3.2</w:t>
      </w:r>
      <w:r>
        <w:rPr>
          <w:rFonts w:hint="eastAsia" w:ascii="宋体" w:hAnsi="宋体" w:eastAsia="宋体" w:cs="宋体"/>
          <w:bCs/>
          <w:sz w:val="22"/>
          <w:szCs w:val="22"/>
          <w:highlight w:val="none"/>
        </w:rPr>
        <w:t>定性评审法</w:t>
      </w:r>
    </w:p>
    <w:p w14:paraId="067E11C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定性评审法是指按照招标文件规定的各项因素进行技术商务性评审，对各投标文件是否满足招标文件实质性要求提出评审意见，并形成评审报告。评审报告的内容主要包括：对各投标文件是否合格提出意见，指出各投标文件中的优点和存在的缺陷，签订合同前应注意和澄清的事项等。所有递交的投标文件未被判定为废标或者无效标的投标供应商，均推荐为候选中标供应商。</w:t>
      </w:r>
    </w:p>
    <w:p w14:paraId="2ACDB03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38.3.3最低价法</w:t>
      </w:r>
    </w:p>
    <w:p w14:paraId="4D06A51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最低价法是指以价格为主要因素确定候选中标供应商的评审方法。</w:t>
      </w:r>
    </w:p>
    <w:p w14:paraId="1714ADE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38.4本项目采用的评标方法见本项目招标文件专用条款的相关内容。</w:t>
      </w:r>
    </w:p>
    <w:p w14:paraId="3A02F5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重新评审的情形</w:t>
      </w:r>
    </w:p>
    <w:p w14:paraId="270C762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评审结果汇总完成后，除下列情形外，任何人不得修改评审结果：</w:t>
      </w:r>
    </w:p>
    <w:p w14:paraId="381F795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.1分值汇总计算错误的；</w:t>
      </w:r>
    </w:p>
    <w:p w14:paraId="60FE2EF0">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.2分项评分超出评分标准范围的；</w:t>
      </w:r>
    </w:p>
    <w:p w14:paraId="06E4CE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.3评审委员会成员对客观评审因素评分不一致的；</w:t>
      </w:r>
    </w:p>
    <w:p w14:paraId="5EB690D0">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5</w:t>
      </w:r>
      <w:r>
        <w:rPr>
          <w:rFonts w:hint="eastAsia" w:ascii="宋体" w:hAnsi="宋体" w:eastAsia="宋体" w:cs="宋体"/>
          <w:sz w:val="22"/>
          <w:szCs w:val="22"/>
          <w:highlight w:val="none"/>
        </w:rPr>
        <w:t>.4经评审委员会认定评分畸高、畸低的。</w:t>
      </w:r>
    </w:p>
    <w:p w14:paraId="5858DFB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3AD1F966">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投标人对本条第一款情形提出质疑的，采购人或者采购代理机构可以组织原评审委员会进行重新评审，重新评审改变评审结果的，应当书面报告本级财政部门。</w:t>
      </w:r>
    </w:p>
    <w:p w14:paraId="608E13C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重新组建评审委员会的情形</w:t>
      </w:r>
    </w:p>
    <w:p w14:paraId="66114997">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评审委员会或者其成员存在下列情形导致评审结果无效的，重新组建评审委员会进行评标，并书面报告本级财政部门：</w:t>
      </w:r>
    </w:p>
    <w:p w14:paraId="797E3EA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.1评审委员会组成不符合《政府采购货物和服务招标投标管理办法》规定的；</w:t>
      </w:r>
    </w:p>
    <w:p w14:paraId="161E240C">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.2有《政府采购货物和服务招标投标管理办法》第六十二条第一至五项情形的；</w:t>
      </w:r>
    </w:p>
    <w:p w14:paraId="6E2B4314">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.3评审委员会及其成员独立评标受到非法干预的；</w:t>
      </w:r>
    </w:p>
    <w:p w14:paraId="294A0B7B">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38</w:t>
      </w:r>
      <w:r>
        <w:rPr>
          <w:rFonts w:hint="eastAsia" w:ascii="宋体" w:hAnsi="宋体" w:eastAsia="宋体" w:cs="宋体"/>
          <w:sz w:val="22"/>
          <w:szCs w:val="22"/>
          <w:highlight w:val="none"/>
        </w:rPr>
        <w:t>.</w:t>
      </w:r>
      <w:r>
        <w:rPr>
          <w:rFonts w:hint="eastAsia" w:ascii="宋体" w:hAnsi="宋体" w:eastAsia="宋体" w:cs="宋体"/>
          <w:sz w:val="22"/>
          <w:szCs w:val="22"/>
          <w:highlight w:val="none"/>
          <w:lang w:val="en-US" w:eastAsia="zh-CN"/>
        </w:rPr>
        <w:t>6</w:t>
      </w:r>
      <w:r>
        <w:rPr>
          <w:rFonts w:hint="eastAsia" w:ascii="宋体" w:hAnsi="宋体" w:eastAsia="宋体" w:cs="宋体"/>
          <w:sz w:val="22"/>
          <w:szCs w:val="22"/>
          <w:highlight w:val="none"/>
        </w:rPr>
        <w:t>.4有政府采购法实施条例第七十五条规定的违法行为的。</w:t>
      </w:r>
    </w:p>
    <w:p w14:paraId="1E719335">
      <w:pPr>
        <w:pageBreakBefore w:val="0"/>
        <w:shd w:val="clear" w:color="auto" w:fill="FFFFFF"/>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有违法违规行为的原评审委员会成员不得参加重新组建的评审委员会。</w:t>
      </w:r>
    </w:p>
    <w:p w14:paraId="67023B93">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36" w:name="_Toc14427260"/>
      <w:bookmarkStart w:id="137" w:name="_Toc530152528"/>
      <w:bookmarkStart w:id="138" w:name="_Toc529280587"/>
      <w:bookmarkStart w:id="139" w:name="_Toc171"/>
      <w:r>
        <w:rPr>
          <w:rFonts w:hint="eastAsia" w:ascii="宋体" w:hAnsi="宋体" w:eastAsia="宋体" w:cs="宋体"/>
          <w:sz w:val="22"/>
          <w:szCs w:val="22"/>
          <w:highlight w:val="none"/>
        </w:rPr>
        <w:t>第七章定标及公示</w:t>
      </w:r>
      <w:bookmarkEnd w:id="136"/>
      <w:bookmarkEnd w:id="137"/>
      <w:bookmarkEnd w:id="138"/>
      <w:bookmarkEnd w:id="139"/>
    </w:p>
    <w:p w14:paraId="534CE4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39．定标方法</w:t>
      </w:r>
    </w:p>
    <w:p w14:paraId="34E1394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39.1项目定标方法根据是否是评定分离项目进行选择。</w:t>
      </w:r>
    </w:p>
    <w:p w14:paraId="6ACAEB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39.2非评定分离项目</w:t>
      </w:r>
    </w:p>
    <w:p w14:paraId="69C8878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评标委员会依据本项目招标文件所约定的评标方法进行评审和比较，向采购代理机构提交书面评标报告，并根据评标方法比较评价结果从优到劣进行排序，并推荐中标候选人或确定中标供应商；</w:t>
      </w:r>
    </w:p>
    <w:p w14:paraId="331BEDE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39.2.1采用最低评标价法的，按投标报价由低到高顺序排列，投标报价相同的，按技术指标优劣顺序排列。评标委员会认为，排在前面的供应商的最低投标报价或者某些分项报价明显不合理或者低于成本，有可能影响商品质量和不能诚信履约的，应当要求其在规定的期限内提供书面文件予以解释说明，并提交相关证明材料；否则，评标委员会可以取消该投标供应商的中标资格，按顺序由排在后面的供应商递补，以此类推。对是否满足实质性要求或报价是否合理或是否低于成本，评委会意见不一致时，按少数服从多数原则作出决定。</w:t>
      </w:r>
    </w:p>
    <w:p w14:paraId="1DD231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39.2.2采用综合评分法的，按评审后得分由高到低顺序排列。得分相同的，按投标报价由低到高顺序排列。得分且投标报价相同的，按技术指标优劣顺序排列。</w:t>
      </w:r>
    </w:p>
    <w:p w14:paraId="0B58DB2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39.2.3采用性价比法的，按商数得分由高到低顺序排列。商数得分相同的，按投标报价由低到高顺序排列。商数得分且投标报价相同的，按技术指标优劣顺序排列。</w:t>
      </w:r>
    </w:p>
    <w:p w14:paraId="1E57653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39.3评定分离项目</w:t>
      </w:r>
    </w:p>
    <w:p w14:paraId="18BE17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适用评定分离的采购项目，采购人应当根据不同的项目选用自定法、抽签法、竞价法或者法律、法规及规章规定的其他定标方法确定中标供应商。</w:t>
      </w:r>
    </w:p>
    <w:p w14:paraId="62E03A8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39.3.1自定法是指采购人组织定标委员会，由定标委员会在候选中标供应商中确定中标供应商。</w:t>
      </w:r>
    </w:p>
    <w:p w14:paraId="4F91EF4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39.3.2 抽签法是指候选中标供应商产生后，由采购人委托招标机构按照随机抽签的方式在候选中标供应商中确定中标供应商。 </w:t>
      </w:r>
    </w:p>
    <w:p w14:paraId="25BB7E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39.3.3竞价法是指候选中标供应商产生后，由采购人委托招标机构组织候选中标供应商进行二次竞价，最终报价最低的为中标供应商</w:t>
      </w:r>
    </w:p>
    <w:p w14:paraId="1FA91A2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39.4本项目采用的定标方法见本项目招标文件专用条款的相关内容。</w:t>
      </w:r>
    </w:p>
    <w:p w14:paraId="7FA86EC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40．编写评标报告</w:t>
      </w:r>
    </w:p>
    <w:p w14:paraId="1A0785A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评标报告是评标委员会根据全体评标成员签字的原始评标记录和评标结果编写的报告，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6E57C5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41．中标公告</w:t>
      </w:r>
    </w:p>
    <w:p w14:paraId="17C13BD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val="0"/>
          <w:bCs w:val="0"/>
          <w:sz w:val="22"/>
          <w:szCs w:val="22"/>
          <w:highlight w:val="none"/>
        </w:rPr>
      </w:pPr>
      <w:r>
        <w:rPr>
          <w:rFonts w:hint="eastAsia" w:ascii="宋体" w:hAnsi="宋体" w:eastAsia="宋体" w:cs="宋体"/>
          <w:b w:val="0"/>
          <w:bCs w:val="0"/>
          <w:sz w:val="22"/>
          <w:szCs w:val="22"/>
          <w:highlight w:val="none"/>
        </w:rPr>
        <w:t>41.1为体现“公开、公平、公正”的原则，评标结束后，政府采购代理机构将在主管部门指定的网站和政府采购代理机构网站（详见招标公告中的查询网址）上同时发布中标结果公告，公示期为1个工作日。供应商如对评标结果有异议，请于公示期内，以书面形式向我公司反映。若在公示期内未提出异议，则视为认同该评标结果。</w:t>
      </w:r>
    </w:p>
    <w:p w14:paraId="48F578D8">
      <w:pPr>
        <w:pStyle w:val="44"/>
        <w:pageBreakBefore w:val="0"/>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 w:val="0"/>
          <w:bCs w:val="0"/>
          <w:sz w:val="22"/>
          <w:szCs w:val="22"/>
          <w:highlight w:val="none"/>
        </w:rPr>
        <w:t>41.</w:t>
      </w:r>
      <w:r>
        <w:rPr>
          <w:rFonts w:hint="eastAsia" w:ascii="宋体" w:hAnsi="宋体" w:eastAsia="宋体" w:cs="宋体"/>
          <w:b w:val="0"/>
          <w:bCs w:val="0"/>
          <w:sz w:val="22"/>
          <w:szCs w:val="22"/>
          <w:highlight w:val="none"/>
          <w:lang w:val="en-US" w:eastAsia="zh-CN"/>
        </w:rPr>
        <w:t>2</w:t>
      </w:r>
      <w:r>
        <w:rPr>
          <w:rFonts w:hint="eastAsia" w:ascii="宋体" w:hAnsi="宋体" w:eastAsia="宋体" w:cs="宋体"/>
          <w:sz w:val="22"/>
          <w:szCs w:val="22"/>
          <w:highlight w:val="none"/>
        </w:rPr>
        <w:t>评审委员会不直接向未通过符合性检查的投标人或者未中标的投标人解释落标原因，也不退还投标文件。</w:t>
      </w:r>
    </w:p>
    <w:p w14:paraId="029864F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41.</w:t>
      </w: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质疑投诉人应保证质疑投诉内容的真实性和可靠性，并承担相应的法律责任。</w:t>
      </w:r>
    </w:p>
    <w:p w14:paraId="0604A48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42．中标通知书</w:t>
      </w:r>
    </w:p>
    <w:p w14:paraId="04F9C2D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42.1中标公告公布后,公示期内无人投诉,请中标供应商凭单位证明及本人身份证到采购代理机构领取《中标通知书》。</w:t>
      </w:r>
    </w:p>
    <w:p w14:paraId="421883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42.2中标通知书是合同的重要组成部分。</w:t>
      </w:r>
    </w:p>
    <w:p w14:paraId="1911910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42.3因质疑投诉或其它原因导致项目结果变更或采购终止的，我公司有权收回中标通知书或终止采购合同。</w:t>
      </w:r>
    </w:p>
    <w:p w14:paraId="21BD3B61">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40" w:name="_Toc14427261"/>
      <w:bookmarkStart w:id="141" w:name="_Toc10637"/>
      <w:bookmarkStart w:id="142" w:name="_Toc530152529"/>
      <w:bookmarkStart w:id="143" w:name="_Toc529280588"/>
      <w:r>
        <w:rPr>
          <w:rFonts w:hint="eastAsia" w:ascii="宋体" w:hAnsi="宋体" w:eastAsia="宋体" w:cs="宋体"/>
          <w:sz w:val="22"/>
          <w:szCs w:val="22"/>
          <w:highlight w:val="none"/>
        </w:rPr>
        <w:t>第八章公开招标失败的后续处理</w:t>
      </w:r>
      <w:bookmarkEnd w:id="140"/>
      <w:bookmarkEnd w:id="141"/>
      <w:bookmarkEnd w:id="142"/>
      <w:bookmarkEnd w:id="143"/>
    </w:p>
    <w:p w14:paraId="4EFB837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43．公开招标失败的处理</w:t>
      </w:r>
    </w:p>
    <w:p w14:paraId="6680FB5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43.1本项目公开招标过程中若由于投标截止后实际递交投标文件的供应商数量不足、经评标委员会评审对招标文件作实质响应的供应商不足等原因造成公开招标失败，可由采购代理机构重新组织采购。</w:t>
      </w:r>
    </w:p>
    <w:p w14:paraId="4BDC1DB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43.2对公开招标失败的项目，评标委员会在出具该项目招标失败结论的同时，提出重新采购组织形式的建议，以及进一步完善招标文件的资格、技术、商务要求的修改建议。</w:t>
      </w:r>
    </w:p>
    <w:p w14:paraId="1FD1C82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43.3重新组织采购有以下两种组织形式：</w:t>
      </w:r>
    </w:p>
    <w:p w14:paraId="22155C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（1）由采购代理机构重新组织公开招标；</w:t>
      </w:r>
    </w:p>
    <w:p w14:paraId="38527BE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（2）根据实际情况需要向相关监督管理部门提出非公开采购人式申请，经相关监督管理部门批准公开招标失败采购项目可转为竞争性谈判或单一来源谈判方式采购。</w:t>
      </w:r>
    </w:p>
    <w:p w14:paraId="12B14E0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43.4公开招标失败的采购项目重新组织公开招标，采购代理机构要重新按公开招标流程发布招标公告和招标文件、组成评标委员会等组织采购活动。</w:t>
      </w:r>
    </w:p>
    <w:p w14:paraId="2CE41F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43.5公开招标失败的采购项目经相关监督管理部门批准转为竞争性谈判或单一来源谈判方式采购的，可不另行制作谈判文件，采购代理机构可就原招标文件中资格、技术及评标方法等变动情况向拟谈判对象发出谈判邀请。谈判邀请文件与原招标文件具同等效力，变动部分以谈判邀请文件为准。转为竞争性谈判或单一来源谈判方式采购的，供应商的原投标文件转为谈判应答文件。</w:t>
      </w:r>
    </w:p>
    <w:p w14:paraId="31DBCEF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44．公开招标失败项目转为竞争性谈判方式采购的</w:t>
      </w:r>
    </w:p>
    <w:p w14:paraId="4109E8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44.1谈判文件</w:t>
      </w:r>
    </w:p>
    <w:p w14:paraId="3CC0C97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44.1.1公开招标失败项目转为竞争性谈判方式采购的，原招标文件转为谈判文件。</w:t>
      </w:r>
    </w:p>
    <w:p w14:paraId="5AE47B3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44.2谈判小组</w:t>
      </w:r>
    </w:p>
    <w:p w14:paraId="614560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44.2.1公开招标失败项目转为竞争性谈判方式采购后，评标委员会转为谈判小组；谈判小组成员由采购人代表和有关专家共3人以上（含3人）的单数组成；其中专家的人数不得少于成员总数的三分之二；专家可重新抽取也可继续采用评审委员会内专家。</w:t>
      </w:r>
    </w:p>
    <w:p w14:paraId="467353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44.2.2谈判前，谈判小组将对各供应商的谈判应答文件进行审查，</w:t>
      </w:r>
      <w:r>
        <w:rPr>
          <w:rFonts w:hint="eastAsia" w:ascii="宋体" w:hAnsi="宋体" w:eastAsia="宋体" w:cs="宋体"/>
          <w:bCs/>
          <w:sz w:val="22"/>
          <w:szCs w:val="22"/>
          <w:highlight w:val="none"/>
        </w:rPr>
        <w:t>当谈判应答文件出现下列情况之一的将视为无效，按无效标或废标处理，不得进入谈判，</w:t>
      </w:r>
      <w:r>
        <w:rPr>
          <w:rFonts w:hint="eastAsia" w:ascii="宋体" w:hAnsi="宋体" w:eastAsia="宋体" w:cs="宋体"/>
          <w:sz w:val="22"/>
          <w:szCs w:val="22"/>
          <w:highlight w:val="none"/>
        </w:rPr>
        <w:t>具体内容见原招标文件中“资格、符合性评审</w:t>
      </w:r>
      <w:r>
        <w:rPr>
          <w:rFonts w:hint="eastAsia" w:ascii="宋体" w:hAnsi="宋体" w:eastAsia="宋体" w:cs="宋体"/>
          <w:bCs/>
          <w:sz w:val="22"/>
          <w:szCs w:val="22"/>
          <w:highlight w:val="none"/>
        </w:rPr>
        <w:t>”</w:t>
      </w:r>
      <w:r>
        <w:rPr>
          <w:rFonts w:hint="eastAsia" w:ascii="宋体" w:hAnsi="宋体" w:eastAsia="宋体" w:cs="宋体"/>
          <w:sz w:val="22"/>
          <w:szCs w:val="22"/>
          <w:highlight w:val="none"/>
        </w:rPr>
        <w:t>部分以及谈判邀请中相应的变动部分。</w:t>
      </w:r>
    </w:p>
    <w:p w14:paraId="0BA140E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44.3谈判程序</w:t>
      </w:r>
    </w:p>
    <w:p w14:paraId="54CF391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44.3.1参加谈判的供应商和谈判小组成员填写谈判登记表，并交验证明文件（法定代表人证明书、法人授权委托书、被授权的谈判代表身份证原件）。</w:t>
      </w:r>
    </w:p>
    <w:p w14:paraId="528841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44.3.2谈判小组主持人宣布谈判规则和谈判纪律。</w:t>
      </w:r>
    </w:p>
    <w:p w14:paraId="6FA3C15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44.3.3在谈判中，谈判小组将就以下谈判内容跟供应商进行谈判：</w:t>
      </w:r>
    </w:p>
    <w:p w14:paraId="5CCCE8B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（1）项目方案；</w:t>
      </w:r>
    </w:p>
    <w:p w14:paraId="6F8518B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（2）报价；</w:t>
      </w:r>
    </w:p>
    <w:p w14:paraId="320A5E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（3）其它相关事项。</w:t>
      </w:r>
    </w:p>
    <w:p w14:paraId="14DBBF0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原招标文件或谈判邀请文件有实质性变动的，谈判小组应当通过采购代理机构通知所有参加谈判的供应商。</w:t>
      </w:r>
    </w:p>
    <w:p w14:paraId="4D144E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44.3.4谈判小组可以用书面形式要求各供应商对其谈判应答文件含义不明确的内容作必要的澄清或者说明，重要问题供应商应以书面形式进行澄清、说明。</w:t>
      </w:r>
    </w:p>
    <w:p w14:paraId="0EB902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44.3.5 允许供应商在谈判结束之前根据谈判小组提出的内容进行澄清、修改或完善，或对项目方案进行相应的调整。</w:t>
      </w:r>
    </w:p>
    <w:p w14:paraId="422B088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44.3.6供应商对谈判应答文件进行修改，都应形成文字材料，并经供应商谈判授权人签字认可。</w:t>
      </w:r>
    </w:p>
    <w:p w14:paraId="33264E9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44.3.7谈判小组所有成员集中与单一供应商分别进行谈判。在谈判中，谈判的任何一方不得透露与谈判有关的其它供应商的技术资料、价格或者其他信息；参加谈判的供应商有两次更改机会；供应商应在规定的时间内提出最后更改及书面承诺。</w:t>
      </w:r>
    </w:p>
    <w:p w14:paraId="6A4B45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44.3.8有下列情形之一的，该供应商的谈判结果</w:t>
      </w:r>
      <w:r>
        <w:rPr>
          <w:rFonts w:hint="eastAsia" w:ascii="宋体" w:hAnsi="宋体" w:eastAsia="宋体" w:cs="宋体"/>
          <w:bCs/>
          <w:sz w:val="22"/>
          <w:szCs w:val="22"/>
          <w:highlight w:val="none"/>
        </w:rPr>
        <w:t>按无效标或废标处理</w:t>
      </w:r>
      <w:r>
        <w:rPr>
          <w:rFonts w:hint="eastAsia" w:ascii="宋体" w:hAnsi="宋体" w:eastAsia="宋体" w:cs="宋体"/>
          <w:sz w:val="22"/>
          <w:szCs w:val="22"/>
          <w:highlight w:val="none"/>
        </w:rPr>
        <w:t>，具体内容见原招标文件中不符合“资格、符合性评审条款”部分以及谈判邀请中相应的变动部分。</w:t>
      </w:r>
    </w:p>
    <w:p w14:paraId="3858A90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44.3.9谈判结束后，谈判小组根据供应商提供的谈判应答文件、谈判过程中产生的相关资料，对供应商谈判应答文件进行评估与比较，提出书面评审意见。</w:t>
      </w:r>
    </w:p>
    <w:p w14:paraId="29B5410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44.3.10谈判小组将对谈判过程进行记录，以存档备查。</w:t>
      </w:r>
    </w:p>
    <w:p w14:paraId="6E3611A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44.4评标方法和定标原则</w:t>
      </w:r>
    </w:p>
    <w:p w14:paraId="66867E0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44.4.1竞争性谈判采购项目的评标方法要比照最低评标价法规定执行。如确因实际情况需要采用其他评标方法的，应报经同级相关监督管理部门批准。原招标文件若采用</w:t>
      </w:r>
      <w:r>
        <w:rPr>
          <w:rFonts w:hint="eastAsia" w:ascii="宋体" w:hAnsi="宋体" w:eastAsia="宋体" w:cs="宋体"/>
          <w:bCs/>
          <w:sz w:val="22"/>
          <w:szCs w:val="22"/>
          <w:highlight w:val="none"/>
        </w:rPr>
        <w:t>最低评标价法以外的评标方法，转为竞争性谈判后，评标方法应采用</w:t>
      </w:r>
      <w:r>
        <w:rPr>
          <w:rFonts w:hint="eastAsia" w:ascii="宋体" w:hAnsi="宋体" w:eastAsia="宋体" w:cs="宋体"/>
          <w:sz w:val="22"/>
          <w:szCs w:val="22"/>
          <w:highlight w:val="none"/>
        </w:rPr>
        <w:t>最低评标价法。</w:t>
      </w:r>
    </w:p>
    <w:p w14:paraId="5A69CBB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44.4.2对公开招标失败转为竞争性谈判方式采购的项目，谈判小组对谈判应答文件进行评审和比较，综合各家供应商最终的方案、服务和投资等谈判结果并按本通用条款第</w:t>
      </w:r>
      <w:r>
        <w:rPr>
          <w:rFonts w:hint="eastAsia" w:ascii="宋体" w:hAnsi="宋体" w:eastAsia="宋体" w:cs="宋体"/>
          <w:bCs/>
          <w:sz w:val="22"/>
          <w:szCs w:val="22"/>
          <w:highlight w:val="none"/>
        </w:rPr>
        <w:t>37.1.1款</w:t>
      </w:r>
      <w:r>
        <w:rPr>
          <w:rFonts w:hint="eastAsia" w:ascii="宋体" w:hAnsi="宋体" w:eastAsia="宋体" w:cs="宋体"/>
          <w:sz w:val="22"/>
          <w:szCs w:val="22"/>
          <w:highlight w:val="none"/>
        </w:rPr>
        <w:t>的</w:t>
      </w:r>
      <w:r>
        <w:rPr>
          <w:rFonts w:hint="eastAsia" w:ascii="宋体" w:hAnsi="宋体" w:eastAsia="宋体" w:cs="宋体"/>
          <w:bCs/>
          <w:sz w:val="22"/>
          <w:szCs w:val="22"/>
          <w:highlight w:val="none"/>
        </w:rPr>
        <w:t>最低评标价法</w:t>
      </w:r>
      <w:r>
        <w:rPr>
          <w:rFonts w:hint="eastAsia" w:ascii="宋体" w:hAnsi="宋体" w:eastAsia="宋体" w:cs="宋体"/>
          <w:sz w:val="22"/>
          <w:szCs w:val="22"/>
          <w:highlight w:val="none"/>
        </w:rPr>
        <w:t>进行评审。</w:t>
      </w:r>
    </w:p>
    <w:p w14:paraId="36BE7FA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44.4.3若要采用其他评标方法的，必须报经相关监督管理部门批准，谈判小组按批准的评标方法进行评审。谈判邀请文件中应注明批准的评标方法。</w:t>
      </w:r>
    </w:p>
    <w:p w14:paraId="72D9C4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44.4.4谈判小组向采购代理机构提交书面评标报告，并推荐中标候选人或确定中标供应商。</w:t>
      </w:r>
    </w:p>
    <w:p w14:paraId="1318979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45．公开招标失败项目转为单一来源谈判方式采购</w:t>
      </w:r>
    </w:p>
    <w:p w14:paraId="20A3357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45.1谈判文件</w:t>
      </w:r>
    </w:p>
    <w:p w14:paraId="34606E5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45.1.1公开招标失败项目转为单一来源谈判方式采购的，原招标文件转为谈判文件。</w:t>
      </w:r>
    </w:p>
    <w:p w14:paraId="7C48F5C8">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45.2谈判小组</w:t>
      </w:r>
    </w:p>
    <w:p w14:paraId="6584AE3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45.2.1公开招标失败项目转为单一来源谈判方式采购后，评标委员会转为谈判小组，专家可重新抽取也可继续采用评标委员会内专家。</w:t>
      </w:r>
    </w:p>
    <w:p w14:paraId="230DC02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45.2.2谈判前，谈判小组将对单一来源供应商的谈判应答文件进行审查，</w:t>
      </w:r>
      <w:r>
        <w:rPr>
          <w:rFonts w:hint="eastAsia" w:ascii="宋体" w:hAnsi="宋体" w:eastAsia="宋体" w:cs="宋体"/>
          <w:bCs/>
          <w:sz w:val="22"/>
          <w:szCs w:val="22"/>
          <w:highlight w:val="none"/>
        </w:rPr>
        <w:t>当谈判应答文件出现下列情况之一的将视为无效，按无效标或废标处理，不得进入谈判，</w:t>
      </w:r>
      <w:r>
        <w:rPr>
          <w:rFonts w:hint="eastAsia" w:ascii="宋体" w:hAnsi="宋体" w:eastAsia="宋体" w:cs="宋体"/>
          <w:sz w:val="22"/>
          <w:szCs w:val="22"/>
          <w:highlight w:val="none"/>
        </w:rPr>
        <w:t>具体内容见原招标文件中“资格、符合性评审条款</w:t>
      </w:r>
      <w:r>
        <w:rPr>
          <w:rFonts w:hint="eastAsia" w:ascii="宋体" w:hAnsi="宋体" w:eastAsia="宋体" w:cs="宋体"/>
          <w:bCs/>
          <w:sz w:val="22"/>
          <w:szCs w:val="22"/>
          <w:highlight w:val="none"/>
        </w:rPr>
        <w:t>”</w:t>
      </w:r>
      <w:r>
        <w:rPr>
          <w:rFonts w:hint="eastAsia" w:ascii="宋体" w:hAnsi="宋体" w:eastAsia="宋体" w:cs="宋体"/>
          <w:sz w:val="22"/>
          <w:szCs w:val="22"/>
          <w:highlight w:val="none"/>
        </w:rPr>
        <w:t>部分以及谈判邀请中相应的变动部分。</w:t>
      </w:r>
    </w:p>
    <w:p w14:paraId="286B016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45.3谈判程序</w:t>
      </w:r>
    </w:p>
    <w:p w14:paraId="53267D4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45.3.1参加谈判的供应商和谈判小组成员填写谈判登记表，并交验证明文件（法定代表人证明书、法人授权委托书、被授权的谈判代表身份证原件）。</w:t>
      </w:r>
    </w:p>
    <w:p w14:paraId="6F26618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45.3.2谈判小组主持人宣布谈判规则和谈判纪律。</w:t>
      </w:r>
    </w:p>
    <w:p w14:paraId="47C40F6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45.3.3在谈判中，谈判小组将就以下谈判内容跟供应商进行谈判：</w:t>
      </w:r>
    </w:p>
    <w:p w14:paraId="7E0A9C1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（1）项目方案；</w:t>
      </w:r>
    </w:p>
    <w:p w14:paraId="245F036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（2）报价；</w:t>
      </w:r>
    </w:p>
    <w:p w14:paraId="1AA9AD0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（3）其它相关事项。</w:t>
      </w:r>
    </w:p>
    <w:p w14:paraId="5EA1CC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原招标文件或谈判邀请文件有实质性变动的，谈判小组应当通过采购代理机构通知供应商。</w:t>
      </w:r>
    </w:p>
    <w:p w14:paraId="1114009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45.3.4谈判小组可以用书面形式要求供应商对其谈判应答文件含义不明确的内容作必要的澄清或者说明，重要问题供应商应以书面形式进行澄清、说明。</w:t>
      </w:r>
    </w:p>
    <w:p w14:paraId="6D83E0F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45.3.5 允许供应商在谈判结束之前根据谈判小组提出的内容进行澄清、修改或完善，或对项目方案进行相应的调整。</w:t>
      </w:r>
    </w:p>
    <w:p w14:paraId="11B5709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45.3.6供应商对谈判应答文件进行修改，都应形成文字材料，并经供应商谈判授权人签字认可。</w:t>
      </w:r>
    </w:p>
    <w:p w14:paraId="7C30671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45.3.7谈判小组与单一来源供应商进行谈判。供应商有两次更改机会；供应商应在规定的时间内提出最后更改及书面承诺。</w:t>
      </w:r>
    </w:p>
    <w:p w14:paraId="6D1533D0">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45.3.8有下列情形之一的，供应商的谈判结果作废标处理，具体内容见原招标文件中不符合“资格、符合性评审条款”部分以及谈判邀请中相应的变动部分。</w:t>
      </w:r>
    </w:p>
    <w:p w14:paraId="17B34AE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45.3.9谈判结束后，谈判小组根据供应商提供的谈判应答文件、谈判过程中产生的相关资料，对供应商谈判应答文件进行评估与比较，提出书面评审意见。</w:t>
      </w:r>
    </w:p>
    <w:p w14:paraId="6D2AB70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45.3.10谈判小组将对谈判过程进行记录，以存档备查。</w:t>
      </w:r>
    </w:p>
    <w:p w14:paraId="7D026B0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45.4评标方法和定标原则</w:t>
      </w:r>
    </w:p>
    <w:p w14:paraId="3ED7B0E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45.4.1单一来源谈判采用最低评标价法。原招标文件若采用</w:t>
      </w:r>
      <w:r>
        <w:rPr>
          <w:rFonts w:hint="eastAsia" w:ascii="宋体" w:hAnsi="宋体" w:eastAsia="宋体" w:cs="宋体"/>
          <w:bCs/>
          <w:sz w:val="22"/>
          <w:szCs w:val="22"/>
          <w:highlight w:val="none"/>
        </w:rPr>
        <w:t>最低评标价法以外的评标方法，转为单一来源谈判后，评标方法改为</w:t>
      </w:r>
      <w:r>
        <w:rPr>
          <w:rFonts w:hint="eastAsia" w:ascii="宋体" w:hAnsi="宋体" w:eastAsia="宋体" w:cs="宋体"/>
          <w:sz w:val="22"/>
          <w:szCs w:val="22"/>
          <w:highlight w:val="none"/>
        </w:rPr>
        <w:t>最低评标价法。谈判小组对谈判应答文件进行评审和比较，对供应商最终的方案、服务和投资等谈判结果按本通用条款第37.1.1的</w:t>
      </w:r>
      <w:r>
        <w:rPr>
          <w:rFonts w:hint="eastAsia" w:ascii="宋体" w:hAnsi="宋体" w:eastAsia="宋体" w:cs="宋体"/>
          <w:bCs/>
          <w:sz w:val="22"/>
          <w:szCs w:val="22"/>
          <w:highlight w:val="none"/>
        </w:rPr>
        <w:t>最低评标价法</w:t>
      </w:r>
      <w:r>
        <w:rPr>
          <w:rFonts w:hint="eastAsia" w:ascii="宋体" w:hAnsi="宋体" w:eastAsia="宋体" w:cs="宋体"/>
          <w:sz w:val="22"/>
          <w:szCs w:val="22"/>
          <w:highlight w:val="none"/>
        </w:rPr>
        <w:t>进行评审。</w:t>
      </w:r>
    </w:p>
    <w:p w14:paraId="47C936C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45.4.2谈判小组向采购代理机构提交书面评标报告，并推荐中标候选人或确定中标供应商。</w:t>
      </w:r>
    </w:p>
    <w:p w14:paraId="56E06187">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44" w:name="_Toc529280589"/>
      <w:bookmarkStart w:id="145" w:name="_Toc530152530"/>
      <w:bookmarkStart w:id="146" w:name="_Toc2952"/>
      <w:bookmarkStart w:id="147" w:name="_Toc14427262"/>
      <w:r>
        <w:rPr>
          <w:rFonts w:hint="eastAsia" w:ascii="宋体" w:hAnsi="宋体" w:eastAsia="宋体" w:cs="宋体"/>
          <w:sz w:val="22"/>
          <w:szCs w:val="22"/>
          <w:highlight w:val="none"/>
        </w:rPr>
        <w:t>第九章合同的授予与备案</w:t>
      </w:r>
      <w:bookmarkEnd w:id="144"/>
      <w:bookmarkEnd w:id="145"/>
      <w:bookmarkEnd w:id="146"/>
      <w:bookmarkEnd w:id="147"/>
    </w:p>
    <w:p w14:paraId="5CB856C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46．履约担保</w:t>
      </w:r>
    </w:p>
    <w:p w14:paraId="04CFF8D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46.1  本项目履约担保的相关要求：详见“投标须知前附表”。</w:t>
      </w:r>
    </w:p>
    <w:p w14:paraId="3D1A800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46.2  在签订合同前，中标供应商应按规定向采购人提交履约担保，采用履约保函形式的可参照使用本招标文件提供的格式。</w:t>
      </w:r>
    </w:p>
    <w:p w14:paraId="698D1EFD">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46.3  联合体中标的，其履约担保由联合体牵头人提交，并应符合本节第42.1条、第45.2条的规定。</w:t>
      </w:r>
    </w:p>
    <w:p w14:paraId="68E78A8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46.4  如果中标供应商拒不提交本节第42.1条、第42.2条要求的履约担保的，采购人可取消其中标资格，并没收其投标担保。</w:t>
      </w:r>
    </w:p>
    <w:p w14:paraId="26B820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47．签订合同</w:t>
      </w:r>
    </w:p>
    <w:p w14:paraId="6588B8A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47.1  采购人和中标供应商应当按“投标须知前附表”的规定，依据招标文件和中标供应商的投标文件订立书面合同。</w:t>
      </w:r>
    </w:p>
    <w:p w14:paraId="1A56D2E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47.2  中标供应商无正当理由拒签合同的，或者在签订合同时向采购人提出附加条件或者更改合同实质性内容的，采购人可取消其中标资格，并没收其投标担保；给采购人的损失超过其投标担保数额的，中标供应商应当对超过部分予以赔偿。</w:t>
      </w:r>
    </w:p>
    <w:p w14:paraId="21E9ED72">
      <w:pPr>
        <w:pStyle w:val="4"/>
        <w:pageBreakBefore w:val="0"/>
        <w:numPr>
          <w:ilvl w:val="3"/>
          <w:numId w:val="0"/>
        </w:numPr>
        <w:shd w:val="clear" w:color="auto" w:fill="auto"/>
        <w:tabs>
          <w:tab w:val="clear" w:pos="1680"/>
        </w:tabs>
        <w:kinsoku/>
        <w:wordWrap/>
        <w:overflowPunct/>
        <w:topLinePunct w:val="0"/>
        <w:bidi w:val="0"/>
        <w:spacing w:before="0" w:after="0" w:line="360" w:lineRule="exact"/>
        <w:ind w:firstLine="440" w:firstLineChars="200"/>
        <w:rPr>
          <w:rFonts w:hint="eastAsia" w:ascii="宋体" w:hAnsi="宋体" w:eastAsia="宋体" w:cs="宋体"/>
          <w:sz w:val="22"/>
          <w:szCs w:val="22"/>
          <w:highlight w:val="none"/>
        </w:rPr>
      </w:pPr>
      <w:bookmarkStart w:id="148" w:name="_Toc529280590"/>
      <w:bookmarkStart w:id="149" w:name="_Toc19106"/>
      <w:bookmarkStart w:id="150" w:name="_Toc14427263"/>
      <w:bookmarkStart w:id="151" w:name="_Toc530152531"/>
      <w:r>
        <w:rPr>
          <w:rFonts w:hint="eastAsia" w:ascii="宋体" w:hAnsi="宋体" w:eastAsia="宋体" w:cs="宋体"/>
          <w:sz w:val="22"/>
          <w:szCs w:val="22"/>
          <w:highlight w:val="none"/>
        </w:rPr>
        <w:t>第十章质疑受理</w:t>
      </w:r>
      <w:bookmarkEnd w:id="148"/>
      <w:bookmarkEnd w:id="149"/>
      <w:bookmarkEnd w:id="150"/>
      <w:bookmarkEnd w:id="151"/>
    </w:p>
    <w:p w14:paraId="7FCDF7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48.质疑受理机构</w:t>
      </w:r>
    </w:p>
    <w:p w14:paraId="7E95D053">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采购代理机构及采购人负责受理和答复质疑。</w:t>
      </w:r>
    </w:p>
    <w:p w14:paraId="5B6E3AF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49.质疑处理原则</w:t>
      </w:r>
    </w:p>
    <w:p w14:paraId="1ADD7D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49.1质疑处理遵循公平、公正、规范、高效的原则。</w:t>
      </w:r>
    </w:p>
    <w:p w14:paraId="25DB19D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49.2供应商质疑实行实名制和“谁质疑，谁举证”的原则，质疑应有具体的事项及事实根据。</w:t>
      </w:r>
    </w:p>
    <w:p w14:paraId="7608CC1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50.质疑受理的时效和范围</w:t>
      </w:r>
    </w:p>
    <w:p w14:paraId="5D42C84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50.1供应商认为采购文件、采购过程和中标、成交结果使自己权益受到损害的，可以在知道或者应知其权益受到损害之日起</w:t>
      </w:r>
      <w:r>
        <w:rPr>
          <w:rFonts w:hint="eastAsia" w:ascii="宋体" w:hAnsi="宋体" w:eastAsia="宋体" w:cs="宋体"/>
          <w:sz w:val="22"/>
          <w:szCs w:val="22"/>
          <w:highlight w:val="none"/>
          <w:lang w:val="en-US" w:eastAsia="zh-CN"/>
        </w:rPr>
        <w:t>7</w:t>
      </w:r>
      <w:r>
        <w:rPr>
          <w:rFonts w:hint="eastAsia" w:ascii="宋体" w:hAnsi="宋体" w:eastAsia="宋体" w:cs="宋体"/>
          <w:sz w:val="22"/>
          <w:szCs w:val="22"/>
          <w:highlight w:val="none"/>
        </w:rPr>
        <w:t>个工作日内，以书面形式向采购代理机构提出质疑。</w:t>
      </w:r>
    </w:p>
    <w:p w14:paraId="46CF9F3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50.2供应商对采购文件有疑问的，采购代理机构及采购人按答疑程序处理；供应商对采购文件有异议的，按质疑程序处理。</w:t>
      </w:r>
    </w:p>
    <w:p w14:paraId="260EBF5F">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51.质疑条件</w:t>
      </w:r>
    </w:p>
    <w:p w14:paraId="5B31C3C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51.1提出质疑的应是直接参与相应采购项目的供应商。以联合体形式参与的，由联合体共同提出；</w:t>
      </w:r>
    </w:p>
    <w:p w14:paraId="199E6245">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51.2提供质疑的项目名称和编号、质疑供应商的单位名称、详细地址、邮政编码、联系人及联系电话等基本情况；</w:t>
      </w:r>
    </w:p>
    <w:p w14:paraId="66BC835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51.3有质疑的具体事项、请求及理由，并附相关证据材料；</w:t>
      </w:r>
    </w:p>
    <w:p w14:paraId="3EF6A07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51.4质疑书加盖公章，被授权人进行质疑的同时提交法人授权委托书；</w:t>
      </w:r>
    </w:p>
    <w:p w14:paraId="275C7007">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51.5质疑材料中有外文资料的，应一并附上中文译本，并以中文译本为准。</w:t>
      </w:r>
    </w:p>
    <w:p w14:paraId="752BECE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51.6质疑不得超过质疑受理的时效和范围。</w:t>
      </w:r>
    </w:p>
    <w:p w14:paraId="5B6339E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不符合上述条件的，我采购代理机构不予受理。</w:t>
      </w:r>
    </w:p>
    <w:p w14:paraId="3B3EBCA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52.受理质疑办理程序</w:t>
      </w:r>
    </w:p>
    <w:p w14:paraId="700AF8B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52.1先与质疑供应商进行沟通，以消除因误解或对采购规则和程序的不了解而引起的质疑。对沟通情况满意的，供应商撤回质疑，质疑处理程序终止。</w:t>
      </w:r>
    </w:p>
    <w:p w14:paraId="0F2F79B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52.2处理质疑一般进行书面审查；必要时听取各方当事人的陈述和申辩、进行相关调查；组织原评标委员会或谈判小组进行复议。</w:t>
      </w:r>
    </w:p>
    <w:p w14:paraId="13BA488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52.3在质疑处理期间，采购代理机构视情形决定暂停采购活动。</w:t>
      </w:r>
    </w:p>
    <w:p w14:paraId="2799EA4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52.4采购代理机构原则上在质疑受理之日起7个工作日内书面答复质疑供应商。答复函以直接领取、传真或邮寄方式送达。</w:t>
      </w:r>
    </w:p>
    <w:p w14:paraId="2E8D2496">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52.5供应商向采购代理机构提出质疑后，在质疑处理期限内，不得同时向其他方面提起同一质疑。质疑供应商如已就同一事项提起投诉、提请行政复议或诉讼的，质疑程序终止。</w:t>
      </w:r>
    </w:p>
    <w:p w14:paraId="478E056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53.相关责任与义务</w:t>
      </w:r>
    </w:p>
    <w:p w14:paraId="7149F61A">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53.1采购人、评标专家和相关供应商等当事人应积极配合采购代理机构进行质疑调查，如实反映情况，及时提供证明材料。</w:t>
      </w:r>
    </w:p>
    <w:p w14:paraId="5C950CA1">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质疑供应商有下列情形之一的，属于虚假、恶意质疑，采购代理机构将有权力将质疑供应商虚假、恶意质疑的行为上报相关监督管理部门，并视情节提请相关监督管理部门给予一定年限内禁止参与相关采购活动资格或其他处罚：</w:t>
      </w:r>
    </w:p>
    <w:p w14:paraId="1B7B2D9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53.2.1捏造事实或提供虚假证明材料的；</w:t>
      </w:r>
    </w:p>
    <w:p w14:paraId="5B43DAF2">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53.2.2假冒他人名义进行质疑的；</w:t>
      </w:r>
    </w:p>
    <w:p w14:paraId="61D9BEA4">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53.2.3拒不配合进行有关调查、情节严重的。</w:t>
      </w:r>
    </w:p>
    <w:p w14:paraId="4F8127AB">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b/>
          <w:sz w:val="22"/>
          <w:szCs w:val="22"/>
          <w:highlight w:val="none"/>
        </w:rPr>
      </w:pPr>
      <w:r>
        <w:rPr>
          <w:rFonts w:hint="eastAsia" w:ascii="宋体" w:hAnsi="宋体" w:eastAsia="宋体" w:cs="宋体"/>
          <w:sz w:val="22"/>
          <w:szCs w:val="22"/>
          <w:highlight w:val="none"/>
        </w:rPr>
        <w:t>54．</w:t>
      </w:r>
      <w:r>
        <w:rPr>
          <w:rFonts w:hint="eastAsia" w:ascii="宋体" w:hAnsi="宋体" w:eastAsia="宋体" w:cs="宋体"/>
          <w:b/>
          <w:sz w:val="22"/>
          <w:szCs w:val="22"/>
          <w:highlight w:val="none"/>
        </w:rPr>
        <w:t>其他</w:t>
      </w:r>
    </w:p>
    <w:p w14:paraId="720F159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54.1  本招标文件的解释权归采购代理机构所有，采购代理机构在征得采购人或相关主管部门同意后，有权在法律允许范围内调整本次招标活动的细节及保留最终解释权。</w:t>
      </w:r>
    </w:p>
    <w:p w14:paraId="3622E6F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54.2 采购代理机构向投标供应商提供的资料和数据，是采购代理机构现有的能供投标供应商利用的资料，采购代理机构对投标供应商由此而作出的推论、理解和结论概不负责。</w:t>
      </w:r>
    </w:p>
    <w:p w14:paraId="28F24629">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54.3 如果投标供应商实质上不符合投标资格，即使已购买招标文件、参加投标并缴纳各种费用，采购代理机构或采购人可以随时取消其投标或中标资格，采购代理机构或采购人对该投标供应商的一切损失概不责任。</w:t>
      </w:r>
    </w:p>
    <w:p w14:paraId="5B321B1C">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54.4 中标无效的，发出的中标通知书和签订的合同自始没有法律约束力，但不影响合同中存在的有关解决争议方法的条款的效力。</w:t>
      </w:r>
    </w:p>
    <w:p w14:paraId="683674BE">
      <w:pPr>
        <w:pageBreakBefore w:val="0"/>
        <w:tabs>
          <w:tab w:val="clear" w:pos="426"/>
        </w:tabs>
        <w:kinsoku/>
        <w:wordWrap/>
        <w:overflowPunct/>
        <w:topLinePunct w:val="0"/>
        <w:bidi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54.5 本招标文件所有的附件与本招标文件具有同等效力。</w:t>
      </w:r>
    </w:p>
    <w:p w14:paraId="64E8550F">
      <w:pPr>
        <w:tabs>
          <w:tab w:val="clear" w:pos="426"/>
        </w:tabs>
        <w:ind w:left="424" w:leftChars="202" w:firstLine="440" w:firstLineChars="200"/>
        <w:rPr>
          <w:sz w:val="22"/>
          <w:highlight w:val="none"/>
        </w:rPr>
      </w:pPr>
    </w:p>
    <w:sectPr>
      <w:headerReference r:id="rId8" w:type="first"/>
      <w:footerReference r:id="rId10" w:type="first"/>
      <w:headerReference r:id="rId7" w:type="default"/>
      <w:footerReference r:id="rId9" w:type="default"/>
      <w:pgSz w:w="11906" w:h="16838"/>
      <w:pgMar w:top="1134" w:right="1134" w:bottom="1134" w:left="1418" w:header="851" w:footer="992" w:gutter="0"/>
      <w:pgBorders>
        <w:top w:val="none" w:sz="0" w:space="0"/>
        <w:left w:val="none" w:sz="0" w:space="0"/>
        <w:bottom w:val="none" w:sz="0" w:space="0"/>
        <w:right w:val="none" w:sz="0" w:space="0"/>
      </w:pgBorders>
      <w:cols w:space="720" w:num="1"/>
      <w:titlePg/>
      <w:docGrid w:type="lines" w:linePitch="46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75E7E16-AF6E-424F-98FD-9B09286E9DEA}"/>
  </w:font>
  <w:font w:name="黑体">
    <w:panose1 w:val="02010609060101010101"/>
    <w:charset w:val="86"/>
    <w:family w:val="auto"/>
    <w:pitch w:val="default"/>
    <w:sig w:usb0="800002BF" w:usb1="38CF7CFA" w:usb2="00000016" w:usb3="00000000" w:csb0="00040001" w:csb1="00000000"/>
    <w:embedRegular r:id="rId2" w:fontKey="{992BEC72-BEAC-4B16-859C-5DAB889A3B6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F3CBBEC-A6FE-4C55-A51F-1EDA8F431B3D}"/>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长城仿宋">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894E1139-15AE-48D6-ADE6-7CD8A72F57EB}"/>
  </w:font>
  <w:font w:name="Helvetica">
    <w:altName w:val="Arial"/>
    <w:panose1 w:val="020B0604020202020204"/>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5" w:fontKey="{87D4B69A-419E-4D85-A3A4-6A8C8772C5FA}"/>
  </w:font>
  <w:font w:name="ˎ̥">
    <w:altName w:val="Times New Roman"/>
    <w:panose1 w:val="00000000000000000000"/>
    <w:charset w:val="00"/>
    <w:family w:val="roma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华康简标题宋">
    <w:altName w:val="宋体"/>
    <w:panose1 w:val="00000000000000000000"/>
    <w:charset w:val="86"/>
    <w:family w:val="modern"/>
    <w:pitch w:val="default"/>
    <w:sig w:usb0="00000000" w:usb1="00000000" w:usb2="00000010" w:usb3="00000000" w:csb0="00040000" w:csb1="0000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embedRegular r:id="rId6" w:fontKey="{F2167BA9-56F2-4CCE-8B16-24F59A99D88E}"/>
  </w:font>
  <w:font w:name="仿宋体">
    <w:altName w:val="宋体"/>
    <w:panose1 w:val="00000000000000000000"/>
    <w:charset w:val="86"/>
    <w:family w:val="roman"/>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 w:name="MS PGothic">
    <w:panose1 w:val="020B0600070205080204"/>
    <w:charset w:val="80"/>
    <w:family w:val="auto"/>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27F6AF">
    <w:pPr>
      <w:pStyle w:val="54"/>
      <w:rPr>
        <w:rStyle w:val="90"/>
      </w:rPr>
    </w:pPr>
    <w:r>
      <w:rPr>
        <w:rStyle w:val="90"/>
      </w:rPr>
      <w:fldChar w:fldCharType="begin"/>
    </w:r>
    <w:r>
      <w:rPr>
        <w:rStyle w:val="90"/>
      </w:rPr>
      <w:instrText xml:space="preserve">PAGE  </w:instrText>
    </w:r>
    <w:r>
      <w:rPr>
        <w:rStyle w:val="90"/>
      </w:rPr>
      <w:fldChar w:fldCharType="separate"/>
    </w:r>
    <w:r>
      <w:rPr>
        <w:rStyle w:val="90"/>
      </w:rPr>
      <w:t>65</w:t>
    </w:r>
    <w:r>
      <w:rPr>
        <w:rStyle w:val="90"/>
      </w:rPr>
      <w:fldChar w:fldCharType="end"/>
    </w:r>
  </w:p>
  <w:p w14:paraId="0A7F0E82">
    <w:pPr>
      <w:pStyle w:val="5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F39F5">
    <w:pPr>
      <w:pStyle w:val="54"/>
      <w:tabs>
        <w:tab w:val="right" w:pos="9180"/>
        <w:tab w:val="clear" w:pos="426"/>
        <w:tab w:val="clear" w:pos="8306"/>
      </w:tabs>
      <w:ind w:left="-523" w:leftChars="-249" w:right="-868" w:firstLine="630" w:firstLineChars="300"/>
      <w:rPr>
        <w:rFonts w:hint="eastAsia" w:ascii="仿宋" w:hAnsi="仿宋" w:eastAsia="仿宋"/>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F7A629D">
                          <w:pPr>
                            <w:pStyle w:val="54"/>
                            <w:tabs>
                              <w:tab w:val="clear" w:pos="426"/>
                            </w:tabs>
                          </w:pPr>
                          <w:r>
                            <w:fldChar w:fldCharType="begin"/>
                          </w:r>
                          <w:r>
                            <w:instrText xml:space="preserve"> PAGE  \* MERGEFORMAT </w:instrText>
                          </w:r>
                          <w:r>
                            <w:fldChar w:fldCharType="separate"/>
                          </w:r>
                          <w:r>
                            <w:t>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14:paraId="0F7A629D">
                    <w:pPr>
                      <w:pStyle w:val="54"/>
                      <w:tabs>
                        <w:tab w:val="clear" w:pos="426"/>
                      </w:tabs>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7DB3F">
    <w:pPr>
      <w:pStyle w:val="54"/>
      <w:jc w:val="center"/>
    </w:pPr>
    <w:r>
      <w:fldChar w:fldCharType="begin"/>
    </w:r>
    <w:r>
      <w:instrText xml:space="preserve">PAGE   \* MERGEFORMAT</w:instrText>
    </w:r>
    <w:r>
      <w:fldChar w:fldCharType="separate"/>
    </w:r>
    <w:r>
      <w:rPr>
        <w:lang w:val="zh-CN"/>
      </w:rPr>
      <w:t>32</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58804">
    <w:pPr>
      <w:pStyle w:val="54"/>
      <w:jc w:val="center"/>
    </w:pPr>
    <w:r>
      <w:fldChar w:fldCharType="begin"/>
    </w:r>
    <w:r>
      <w:instrText xml:space="preserve"> PAGE   \* MERGEFORMAT </w:instrText>
    </w:r>
    <w:r>
      <w:fldChar w:fldCharType="separate"/>
    </w:r>
    <w:r>
      <w:rPr>
        <w:lang w:val="zh-CN"/>
      </w:rPr>
      <w:t>11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A963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97A8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81758"/>
    <w:multiLevelType w:val="singleLevel"/>
    <w:tmpl w:val="90581758"/>
    <w:lvl w:ilvl="0" w:tentative="0">
      <w:start w:val="1"/>
      <w:numFmt w:val="decimal"/>
      <w:suff w:val="nothing"/>
      <w:lvlText w:val="%1、"/>
      <w:lvlJc w:val="left"/>
    </w:lvl>
  </w:abstractNum>
  <w:abstractNum w:abstractNumId="1">
    <w:nsid w:val="9C9D3C3D"/>
    <w:multiLevelType w:val="multilevel"/>
    <w:tmpl w:val="9C9D3C3D"/>
    <w:lvl w:ilvl="0" w:tentative="0">
      <w:start w:val="1"/>
      <w:numFmt w:val="decimal"/>
      <w:pStyle w:val="156"/>
      <w:lvlText w:val="%1)"/>
      <w:lvlJc w:val="left"/>
      <w:pPr>
        <w:tabs>
          <w:tab w:val="left" w:pos="0"/>
        </w:tabs>
        <w:ind w:left="420" w:hanging="420"/>
      </w:pPr>
      <w:rPr>
        <w:rFonts w:hint="default"/>
      </w:rPr>
    </w:lvl>
    <w:lvl w:ilvl="1" w:tentative="0">
      <w:start w:val="1"/>
      <w:numFmt w:val="bullet"/>
      <w:lvlText w:val=""/>
      <w:lvlJc w:val="left"/>
      <w:pPr>
        <w:tabs>
          <w:tab w:val="left" w:pos="0"/>
        </w:tabs>
        <w:ind w:left="1260" w:hanging="420"/>
      </w:pPr>
      <w:rPr>
        <w:rFonts w:hint="default" w:ascii="Wingdings" w:hAnsi="Wingdings"/>
      </w:rPr>
    </w:lvl>
    <w:lvl w:ilvl="2" w:tentative="0">
      <w:start w:val="1"/>
      <w:numFmt w:val="bullet"/>
      <w:lvlText w:val=""/>
      <w:lvlJc w:val="left"/>
      <w:pPr>
        <w:tabs>
          <w:tab w:val="left" w:pos="0"/>
        </w:tabs>
        <w:ind w:left="1680" w:hanging="420"/>
      </w:pPr>
      <w:rPr>
        <w:rFonts w:hint="default" w:ascii="Wingdings" w:hAnsi="Wingdings"/>
      </w:rPr>
    </w:lvl>
    <w:lvl w:ilvl="3" w:tentative="0">
      <w:start w:val="1"/>
      <w:numFmt w:val="bullet"/>
      <w:lvlText w:val=""/>
      <w:lvlJc w:val="left"/>
      <w:pPr>
        <w:tabs>
          <w:tab w:val="left" w:pos="0"/>
        </w:tabs>
        <w:ind w:left="2100" w:hanging="420"/>
      </w:pPr>
      <w:rPr>
        <w:rFonts w:hint="default" w:ascii="Wingdings" w:hAnsi="Wingdings"/>
      </w:rPr>
    </w:lvl>
    <w:lvl w:ilvl="4" w:tentative="0">
      <w:start w:val="1"/>
      <w:numFmt w:val="bullet"/>
      <w:lvlText w:val=""/>
      <w:lvlJc w:val="left"/>
      <w:pPr>
        <w:tabs>
          <w:tab w:val="left" w:pos="0"/>
        </w:tabs>
        <w:ind w:left="2520" w:hanging="420"/>
      </w:pPr>
      <w:rPr>
        <w:rFonts w:hint="default" w:ascii="Wingdings" w:hAnsi="Wingdings"/>
      </w:rPr>
    </w:lvl>
    <w:lvl w:ilvl="5" w:tentative="0">
      <w:start w:val="1"/>
      <w:numFmt w:val="bullet"/>
      <w:lvlText w:val=""/>
      <w:lvlJc w:val="left"/>
      <w:pPr>
        <w:tabs>
          <w:tab w:val="left" w:pos="0"/>
        </w:tabs>
        <w:ind w:left="2940" w:hanging="420"/>
      </w:pPr>
      <w:rPr>
        <w:rFonts w:hint="default" w:ascii="Wingdings" w:hAnsi="Wingdings"/>
      </w:rPr>
    </w:lvl>
    <w:lvl w:ilvl="6" w:tentative="0">
      <w:start w:val="1"/>
      <w:numFmt w:val="bullet"/>
      <w:lvlText w:val=""/>
      <w:lvlJc w:val="left"/>
      <w:pPr>
        <w:tabs>
          <w:tab w:val="left" w:pos="0"/>
        </w:tabs>
        <w:ind w:left="3360" w:hanging="420"/>
      </w:pPr>
      <w:rPr>
        <w:rFonts w:hint="default" w:ascii="Wingdings" w:hAnsi="Wingdings"/>
      </w:rPr>
    </w:lvl>
    <w:lvl w:ilvl="7" w:tentative="0">
      <w:start w:val="1"/>
      <w:numFmt w:val="bullet"/>
      <w:lvlText w:val=""/>
      <w:lvlJc w:val="left"/>
      <w:pPr>
        <w:tabs>
          <w:tab w:val="left" w:pos="0"/>
        </w:tabs>
        <w:ind w:left="3780" w:hanging="420"/>
      </w:pPr>
      <w:rPr>
        <w:rFonts w:hint="default" w:ascii="Wingdings" w:hAnsi="Wingdings"/>
      </w:rPr>
    </w:lvl>
    <w:lvl w:ilvl="8" w:tentative="0">
      <w:start w:val="1"/>
      <w:numFmt w:val="bullet"/>
      <w:lvlText w:val=""/>
      <w:lvlJc w:val="left"/>
      <w:pPr>
        <w:tabs>
          <w:tab w:val="left" w:pos="0"/>
        </w:tabs>
        <w:ind w:left="4200" w:hanging="420"/>
      </w:pPr>
      <w:rPr>
        <w:rFonts w:hint="default" w:ascii="Wingdings" w:hAnsi="Wingdings"/>
      </w:rPr>
    </w:lvl>
  </w:abstractNum>
  <w:abstractNum w:abstractNumId="2">
    <w:nsid w:val="9DF148B3"/>
    <w:multiLevelType w:val="multilevel"/>
    <w:tmpl w:val="9DF148B3"/>
    <w:lvl w:ilvl="0" w:tentative="0">
      <w:start w:val="1"/>
      <w:numFmt w:val="chineseCountingThousand"/>
      <w:pStyle w:val="391"/>
      <w:suff w:val="space"/>
      <w:lvlText w:val="第%1章"/>
      <w:lvlJc w:val="left"/>
      <w:pPr>
        <w:tabs>
          <w:tab w:val="left" w:pos="0"/>
        </w:tabs>
        <w:ind w:left="284" w:hanging="284"/>
      </w:pPr>
      <w:rPr>
        <w:rFonts w:hint="eastAsia" w:ascii="黑体" w:hAnsi="黑体" w:eastAsia="黑体"/>
        <w:sz w:val="30"/>
      </w:rPr>
    </w:lvl>
    <w:lvl w:ilvl="1" w:tentative="0">
      <w:start w:val="1"/>
      <w:numFmt w:val="decimal"/>
      <w:isLgl/>
      <w:suff w:val="space"/>
      <w:lvlText w:val="%1.%2"/>
      <w:lvlJc w:val="left"/>
      <w:pPr>
        <w:tabs>
          <w:tab w:val="left" w:pos="0"/>
        </w:tabs>
        <w:ind w:left="284" w:hanging="284"/>
      </w:pPr>
      <w:rPr>
        <w:rFonts w:hint="eastAsia" w:ascii="黑体" w:hAnsi="黑体" w:eastAsia="黑体"/>
        <w:sz w:val="28"/>
      </w:rPr>
    </w:lvl>
    <w:lvl w:ilvl="2" w:tentative="0">
      <w:start w:val="1"/>
      <w:numFmt w:val="decimal"/>
      <w:isLgl/>
      <w:suff w:val="space"/>
      <w:lvlText w:val="%1.%2.%3"/>
      <w:lvlJc w:val="left"/>
      <w:pPr>
        <w:tabs>
          <w:tab w:val="left" w:pos="0"/>
        </w:tabs>
        <w:ind w:left="284" w:hanging="284"/>
      </w:pPr>
      <w:rPr>
        <w:rFonts w:hint="eastAsia" w:ascii="黑体" w:hAnsi="黑体" w:eastAsia="黑体"/>
        <w:sz w:val="26"/>
      </w:rPr>
    </w:lvl>
    <w:lvl w:ilvl="3" w:tentative="0">
      <w:start w:val="1"/>
      <w:numFmt w:val="decimal"/>
      <w:isLgl/>
      <w:suff w:val="space"/>
      <w:lvlText w:val="%1.%2.%3.%4"/>
      <w:lvlJc w:val="left"/>
      <w:pPr>
        <w:tabs>
          <w:tab w:val="left" w:pos="0"/>
        </w:tabs>
        <w:ind w:left="284" w:hanging="284"/>
      </w:pPr>
      <w:rPr>
        <w:rFonts w:hint="eastAsia" w:ascii="黑体" w:hAnsi="黑体" w:eastAsia="黑体"/>
        <w:sz w:val="24"/>
      </w:rPr>
    </w:lvl>
    <w:lvl w:ilvl="4" w:tentative="0">
      <w:start w:val="1"/>
      <w:numFmt w:val="none"/>
      <w:suff w:val="space"/>
      <w:lvlText w:val=""/>
      <w:lvlJc w:val="left"/>
      <w:pPr>
        <w:tabs>
          <w:tab w:val="left" w:pos="0"/>
        </w:tabs>
        <w:ind w:left="0" w:firstLine="0"/>
      </w:pPr>
      <w:rPr>
        <w:rFonts w:hint="eastAsia"/>
      </w:rPr>
    </w:lvl>
    <w:lvl w:ilvl="5" w:tentative="0">
      <w:start w:val="1"/>
      <w:numFmt w:val="none"/>
      <w:suff w:val="nothing"/>
      <w:lvlText w:val=""/>
      <w:lvlJc w:val="left"/>
      <w:pPr>
        <w:tabs>
          <w:tab w:val="left" w:pos="0"/>
        </w:tabs>
        <w:ind w:left="0" w:firstLine="0"/>
      </w:pPr>
      <w:rPr>
        <w:rFonts w:hint="eastAsia"/>
      </w:rPr>
    </w:lvl>
    <w:lvl w:ilvl="6" w:tentative="0">
      <w:start w:val="1"/>
      <w:numFmt w:val="none"/>
      <w:suff w:val="nothing"/>
      <w:lvlText w:val=""/>
      <w:lvlJc w:val="left"/>
      <w:pPr>
        <w:tabs>
          <w:tab w:val="left" w:pos="0"/>
        </w:tabs>
        <w:ind w:left="0" w:firstLine="0"/>
      </w:pPr>
      <w:rPr>
        <w:rFonts w:hint="eastAsia"/>
      </w:rPr>
    </w:lvl>
    <w:lvl w:ilvl="7" w:tentative="0">
      <w:start w:val="1"/>
      <w:numFmt w:val="none"/>
      <w:suff w:val="nothing"/>
      <w:lvlText w:val=""/>
      <w:lvlJc w:val="left"/>
      <w:pPr>
        <w:tabs>
          <w:tab w:val="left" w:pos="0"/>
        </w:tabs>
        <w:ind w:left="0" w:firstLine="0"/>
      </w:pPr>
      <w:rPr>
        <w:rFonts w:hint="eastAsia"/>
      </w:rPr>
    </w:lvl>
    <w:lvl w:ilvl="8" w:tentative="0">
      <w:start w:val="1"/>
      <w:numFmt w:val="none"/>
      <w:suff w:val="nothing"/>
      <w:lvlText w:val=""/>
      <w:lvlJc w:val="left"/>
      <w:pPr>
        <w:tabs>
          <w:tab w:val="left" w:pos="0"/>
        </w:tabs>
        <w:ind w:left="0" w:firstLine="0"/>
      </w:pPr>
      <w:rPr>
        <w:rFonts w:hint="eastAsia"/>
      </w:rPr>
    </w:lvl>
  </w:abstractNum>
  <w:abstractNum w:abstractNumId="3">
    <w:nsid w:val="9F175D3E"/>
    <w:multiLevelType w:val="multilevel"/>
    <w:tmpl w:val="9F175D3E"/>
    <w:lvl w:ilvl="0" w:tentative="0">
      <w:start w:val="1"/>
      <w:numFmt w:val="bullet"/>
      <w:pStyle w:val="175"/>
      <w:lvlText w:val=""/>
      <w:lvlJc w:val="left"/>
      <w:pPr>
        <w:tabs>
          <w:tab w:val="left" w:pos="0"/>
        </w:tabs>
        <w:ind w:left="420" w:hanging="420"/>
      </w:pPr>
      <w:rPr>
        <w:rFonts w:hint="default" w:ascii="Wingdings" w:hAnsi="Wingdings"/>
      </w:rPr>
    </w:lvl>
    <w:lvl w:ilvl="1" w:tentative="0">
      <w:start w:val="1"/>
      <w:numFmt w:val="bullet"/>
      <w:lvlText w:val=""/>
      <w:lvlJc w:val="left"/>
      <w:pPr>
        <w:tabs>
          <w:tab w:val="left" w:pos="0"/>
        </w:tabs>
        <w:ind w:left="840" w:hanging="420"/>
      </w:pPr>
      <w:rPr>
        <w:rFonts w:hint="default" w:ascii="Wingdings" w:hAnsi="Wingdings"/>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4">
    <w:nsid w:val="AC0D3E71"/>
    <w:multiLevelType w:val="multilevel"/>
    <w:tmpl w:val="AC0D3E71"/>
    <w:lvl w:ilvl="0" w:tentative="0">
      <w:start w:val="1"/>
      <w:numFmt w:val="chineseCountingThousand"/>
      <w:pStyle w:val="271"/>
      <w:lvlText w:val="第%1章"/>
      <w:lvlJc w:val="left"/>
      <w:pPr>
        <w:tabs>
          <w:tab w:val="left" w:pos="340"/>
        </w:tabs>
        <w:ind w:left="0" w:firstLine="0"/>
      </w:pPr>
      <w:rPr>
        <w:rFonts w:hint="eastAsia"/>
      </w:rPr>
    </w:lvl>
    <w:lvl w:ilvl="1" w:tentative="0">
      <w:start w:val="1"/>
      <w:numFmt w:val="decimal"/>
      <w:pStyle w:val="272"/>
      <w:isLgl/>
      <w:suff w:val="space"/>
      <w:lvlText w:val="%1.%2"/>
      <w:lvlJc w:val="left"/>
      <w:pPr>
        <w:tabs>
          <w:tab w:val="left" w:pos="0"/>
        </w:tabs>
        <w:ind w:left="0" w:firstLine="0"/>
      </w:pPr>
      <w:rPr>
        <w:rFonts w:hint="eastAsia"/>
      </w:rPr>
    </w:lvl>
    <w:lvl w:ilvl="2" w:tentative="0">
      <w:start w:val="1"/>
      <w:numFmt w:val="decimal"/>
      <w:pStyle w:val="273"/>
      <w:isLgl/>
      <w:suff w:val="space"/>
      <w:lvlText w:val="%1.%2.%3"/>
      <w:lvlJc w:val="left"/>
      <w:pPr>
        <w:tabs>
          <w:tab w:val="left" w:pos="0"/>
        </w:tabs>
        <w:ind w:left="0" w:firstLine="0"/>
      </w:pPr>
      <w:rPr>
        <w:rFonts w:hint="eastAsia"/>
      </w:rPr>
    </w:lvl>
    <w:lvl w:ilvl="3" w:tentative="0">
      <w:start w:val="1"/>
      <w:numFmt w:val="decimal"/>
      <w:pStyle w:val="274"/>
      <w:isLgl/>
      <w:suff w:val="space"/>
      <w:lvlText w:val="%1.%2.%3.%4"/>
      <w:lvlJc w:val="left"/>
      <w:pPr>
        <w:tabs>
          <w:tab w:val="left" w:pos="0"/>
        </w:tabs>
        <w:ind w:left="0" w:firstLine="0"/>
      </w:pPr>
      <w:rPr>
        <w:b w:val="0"/>
        <w:bCs w:val="0"/>
        <w:i w:val="0"/>
        <w:iCs w:val="0"/>
        <w:caps w:val="0"/>
        <w:smallCaps w:val="0"/>
        <w:strike w:val="0"/>
        <w:dstrike w:val="0"/>
        <w:vanish w:val="0"/>
        <w:color w:val="000000"/>
        <w:spacing w:val="0"/>
        <w:position w:val="0"/>
        <w:u w:val="none"/>
        <w:vertAlign w:val="baseline"/>
      </w:rPr>
    </w:lvl>
    <w:lvl w:ilvl="4" w:tentative="0">
      <w:start w:val="1"/>
      <w:numFmt w:val="decimal"/>
      <w:pStyle w:val="275"/>
      <w:isLgl/>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5">
    <w:nsid w:val="B150720D"/>
    <w:multiLevelType w:val="multilevel"/>
    <w:tmpl w:val="B150720D"/>
    <w:lvl w:ilvl="0" w:tentative="0">
      <w:start w:val="1"/>
      <w:numFmt w:val="bullet"/>
      <w:pStyle w:val="180"/>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B4E76765"/>
    <w:multiLevelType w:val="singleLevel"/>
    <w:tmpl w:val="B4E76765"/>
    <w:lvl w:ilvl="0" w:tentative="0">
      <w:start w:val="1"/>
      <w:numFmt w:val="decimal"/>
      <w:pStyle w:val="35"/>
      <w:lvlText w:val="%1."/>
      <w:lvlJc w:val="left"/>
      <w:pPr>
        <w:tabs>
          <w:tab w:val="left" w:pos="1200"/>
        </w:tabs>
        <w:ind w:left="1200" w:hanging="360"/>
      </w:pPr>
    </w:lvl>
  </w:abstractNum>
  <w:abstractNum w:abstractNumId="7">
    <w:nsid w:val="B5028AB8"/>
    <w:multiLevelType w:val="singleLevel"/>
    <w:tmpl w:val="B5028AB8"/>
    <w:lvl w:ilvl="0" w:tentative="0">
      <w:start w:val="1"/>
      <w:numFmt w:val="decimal"/>
      <w:suff w:val="nothing"/>
      <w:lvlText w:val="%1．"/>
      <w:lvlJc w:val="left"/>
      <w:pPr>
        <w:ind w:left="0" w:firstLine="0"/>
      </w:pPr>
      <w:rPr>
        <w:rFonts w:hint="default" w:ascii="宋体" w:hAnsi="宋体" w:cs="宋体"/>
        <w:sz w:val="22"/>
        <w:szCs w:val="22"/>
      </w:rPr>
    </w:lvl>
  </w:abstractNum>
  <w:abstractNum w:abstractNumId="8">
    <w:nsid w:val="B985D9C8"/>
    <w:multiLevelType w:val="multilevel"/>
    <w:tmpl w:val="B985D9C8"/>
    <w:lvl w:ilvl="0" w:tentative="0">
      <w:start w:val="1"/>
      <w:numFmt w:val="chineseCountingThousand"/>
      <w:pStyle w:val="183"/>
      <w:lvlText w:val="第%1章"/>
      <w:lvlJc w:val="left"/>
      <w:pPr>
        <w:tabs>
          <w:tab w:val="left" w:pos="1440"/>
        </w:tabs>
        <w:ind w:left="0" w:firstLine="0"/>
      </w:pPr>
      <w:rPr>
        <w:rFonts w:hint="eastAsia"/>
      </w:rPr>
    </w:lvl>
    <w:lvl w:ilvl="1" w:tentative="0">
      <w:start w:val="1"/>
      <w:numFmt w:val="decimal"/>
      <w:pStyle w:val="184"/>
      <w:isLgl/>
      <w:lvlText w:val="%1.%2"/>
      <w:lvlJc w:val="left"/>
      <w:pPr>
        <w:tabs>
          <w:tab w:val="left" w:pos="720"/>
        </w:tabs>
        <w:ind w:left="0" w:firstLine="0"/>
      </w:pPr>
      <w:rPr>
        <w:rFonts w:hint="eastAsia"/>
      </w:rPr>
    </w:lvl>
    <w:lvl w:ilvl="2" w:tentative="0">
      <w:start w:val="1"/>
      <w:numFmt w:val="decimal"/>
      <w:pStyle w:val="185"/>
      <w:isLgl/>
      <w:suff w:val="space"/>
      <w:lvlText w:val="%1.%2.%3"/>
      <w:lvlJc w:val="left"/>
      <w:pPr>
        <w:tabs>
          <w:tab w:val="left" w:pos="0"/>
        </w:tabs>
        <w:ind w:left="0" w:firstLine="0"/>
      </w:pPr>
      <w:rPr>
        <w:rFonts w:hint="eastAsia"/>
      </w:rPr>
    </w:lvl>
    <w:lvl w:ilvl="3" w:tentative="0">
      <w:start w:val="1"/>
      <w:numFmt w:val="decimal"/>
      <w:lvlText w:val=""/>
      <w:lvlJc w:val="left"/>
      <w:pPr>
        <w:tabs>
          <w:tab w:val="left" w:pos="360"/>
        </w:tabs>
        <w:ind w:left="0" w:firstLine="0"/>
      </w:pPr>
      <w:rPr>
        <w:rFonts w:hint="eastAsia"/>
      </w:rPr>
    </w:lvl>
    <w:lvl w:ilvl="4" w:tentative="0">
      <w:start w:val="1"/>
      <w:numFmt w:val="decimal"/>
      <w:lvlText w:val=""/>
      <w:lvlJc w:val="left"/>
      <w:pPr>
        <w:tabs>
          <w:tab w:val="left" w:pos="360"/>
        </w:tabs>
        <w:ind w:left="0" w:firstLine="0"/>
      </w:pPr>
      <w:rPr>
        <w:rFonts w:hint="eastAsia"/>
      </w:rPr>
    </w:lvl>
    <w:lvl w:ilvl="5" w:tentative="0">
      <w:start w:val="1"/>
      <w:numFmt w:val="decimal"/>
      <w:lvlText w:val=""/>
      <w:lvlJc w:val="left"/>
      <w:pPr>
        <w:tabs>
          <w:tab w:val="left" w:pos="360"/>
        </w:tabs>
        <w:ind w:left="0" w:firstLine="0"/>
      </w:pPr>
      <w:rPr>
        <w:rFonts w:hint="eastAsia"/>
      </w:rPr>
    </w:lvl>
    <w:lvl w:ilvl="6" w:tentative="0">
      <w:start w:val="1"/>
      <w:numFmt w:val="decimal"/>
      <w:lvlText w:val=""/>
      <w:lvlJc w:val="left"/>
      <w:pPr>
        <w:tabs>
          <w:tab w:val="left" w:pos="360"/>
        </w:tabs>
        <w:ind w:left="0" w:firstLine="0"/>
      </w:pPr>
      <w:rPr>
        <w:rFonts w:hint="eastAsia"/>
      </w:rPr>
    </w:lvl>
    <w:lvl w:ilvl="7" w:tentative="0">
      <w:start w:val="1"/>
      <w:numFmt w:val="decimal"/>
      <w:lvlText w:val=""/>
      <w:lvlJc w:val="left"/>
      <w:pPr>
        <w:tabs>
          <w:tab w:val="left" w:pos="360"/>
        </w:tabs>
        <w:ind w:left="0" w:firstLine="0"/>
      </w:pPr>
      <w:rPr>
        <w:rFonts w:hint="eastAsia"/>
      </w:rPr>
    </w:lvl>
    <w:lvl w:ilvl="8" w:tentative="0">
      <w:start w:val="1"/>
      <w:numFmt w:val="decimal"/>
      <w:lvlText w:val=""/>
      <w:lvlJc w:val="left"/>
      <w:pPr>
        <w:tabs>
          <w:tab w:val="left" w:pos="360"/>
        </w:tabs>
        <w:ind w:left="0" w:firstLine="0"/>
      </w:pPr>
      <w:rPr>
        <w:rFonts w:hint="eastAsia"/>
      </w:rPr>
    </w:lvl>
  </w:abstractNum>
  <w:abstractNum w:abstractNumId="9">
    <w:nsid w:val="B9B1C257"/>
    <w:multiLevelType w:val="multilevel"/>
    <w:tmpl w:val="B9B1C257"/>
    <w:lvl w:ilvl="0" w:tentative="0">
      <w:start w:val="1"/>
      <w:numFmt w:val="bullet"/>
      <w:lvlText w:val=""/>
      <w:lvlJc w:val="left"/>
      <w:pPr>
        <w:tabs>
          <w:tab w:val="left" w:pos="0"/>
        </w:tabs>
        <w:ind w:left="420" w:hanging="420"/>
      </w:pPr>
      <w:rPr>
        <w:rFonts w:hint="default" w:ascii="Wingdings" w:hAnsi="Wingdings"/>
      </w:rPr>
    </w:lvl>
    <w:lvl w:ilvl="1" w:tentative="0">
      <w:start w:val="1"/>
      <w:numFmt w:val="decimal"/>
      <w:pStyle w:val="290"/>
      <w:lvlText w:val="%2)"/>
      <w:lvlJc w:val="left"/>
      <w:pPr>
        <w:tabs>
          <w:tab w:val="left" w:pos="0"/>
        </w:tabs>
        <w:ind w:left="840" w:hanging="420"/>
      </w:pPr>
      <w:rPr>
        <w:rFonts w:hint="default"/>
      </w:rPr>
    </w:lvl>
    <w:lvl w:ilvl="2" w:tentative="0">
      <w:start w:val="1"/>
      <w:numFmt w:val="bullet"/>
      <w:lvlText w:val=""/>
      <w:lvlJc w:val="left"/>
      <w:pPr>
        <w:tabs>
          <w:tab w:val="left" w:pos="0"/>
        </w:tabs>
        <w:ind w:left="1260" w:hanging="420"/>
      </w:pPr>
      <w:rPr>
        <w:rFonts w:hint="default" w:ascii="Wingdings" w:hAnsi="Wingdings"/>
      </w:rPr>
    </w:lvl>
    <w:lvl w:ilvl="3" w:tentative="0">
      <w:start w:val="1"/>
      <w:numFmt w:val="bullet"/>
      <w:lvlText w:val=""/>
      <w:lvlJc w:val="left"/>
      <w:pPr>
        <w:tabs>
          <w:tab w:val="left" w:pos="0"/>
        </w:tabs>
        <w:ind w:left="1680" w:hanging="420"/>
      </w:pPr>
      <w:rPr>
        <w:rFonts w:hint="default" w:ascii="Wingdings" w:hAnsi="Wingdings"/>
      </w:rPr>
    </w:lvl>
    <w:lvl w:ilvl="4" w:tentative="0">
      <w:start w:val="1"/>
      <w:numFmt w:val="bullet"/>
      <w:lvlText w:val=""/>
      <w:lvlJc w:val="left"/>
      <w:pPr>
        <w:tabs>
          <w:tab w:val="left" w:pos="0"/>
        </w:tabs>
        <w:ind w:left="2100" w:hanging="420"/>
      </w:pPr>
      <w:rPr>
        <w:rFonts w:hint="default" w:ascii="Wingdings" w:hAnsi="Wingdings"/>
      </w:rPr>
    </w:lvl>
    <w:lvl w:ilvl="5" w:tentative="0">
      <w:start w:val="1"/>
      <w:numFmt w:val="bullet"/>
      <w:lvlText w:val=""/>
      <w:lvlJc w:val="left"/>
      <w:pPr>
        <w:tabs>
          <w:tab w:val="left" w:pos="0"/>
        </w:tabs>
        <w:ind w:left="2520" w:hanging="420"/>
      </w:pPr>
      <w:rPr>
        <w:rFonts w:hint="default" w:ascii="Wingdings" w:hAnsi="Wingdings"/>
      </w:rPr>
    </w:lvl>
    <w:lvl w:ilvl="6" w:tentative="0">
      <w:start w:val="1"/>
      <w:numFmt w:val="bullet"/>
      <w:lvlText w:val=""/>
      <w:lvlJc w:val="left"/>
      <w:pPr>
        <w:tabs>
          <w:tab w:val="left" w:pos="0"/>
        </w:tabs>
        <w:ind w:left="2940" w:hanging="420"/>
      </w:pPr>
      <w:rPr>
        <w:rFonts w:hint="default" w:ascii="Wingdings" w:hAnsi="Wingdings"/>
      </w:rPr>
    </w:lvl>
    <w:lvl w:ilvl="7" w:tentative="0">
      <w:start w:val="1"/>
      <w:numFmt w:val="bullet"/>
      <w:lvlText w:val=""/>
      <w:lvlJc w:val="left"/>
      <w:pPr>
        <w:tabs>
          <w:tab w:val="left" w:pos="0"/>
        </w:tabs>
        <w:ind w:left="3360" w:hanging="420"/>
      </w:pPr>
      <w:rPr>
        <w:rFonts w:hint="default" w:ascii="Wingdings" w:hAnsi="Wingdings"/>
      </w:rPr>
    </w:lvl>
    <w:lvl w:ilvl="8" w:tentative="0">
      <w:start w:val="1"/>
      <w:numFmt w:val="bullet"/>
      <w:lvlText w:val=""/>
      <w:lvlJc w:val="left"/>
      <w:pPr>
        <w:tabs>
          <w:tab w:val="left" w:pos="0"/>
        </w:tabs>
        <w:ind w:left="3780" w:hanging="420"/>
      </w:pPr>
      <w:rPr>
        <w:rFonts w:hint="default" w:ascii="Wingdings" w:hAnsi="Wingdings"/>
      </w:rPr>
    </w:lvl>
  </w:abstractNum>
  <w:abstractNum w:abstractNumId="10">
    <w:nsid w:val="C26D0BD1"/>
    <w:multiLevelType w:val="singleLevel"/>
    <w:tmpl w:val="C26D0BD1"/>
    <w:lvl w:ilvl="0" w:tentative="0">
      <w:start w:val="1"/>
      <w:numFmt w:val="bullet"/>
      <w:pStyle w:val="210"/>
      <w:lvlText w:val=""/>
      <w:lvlJc w:val="left"/>
      <w:pPr>
        <w:tabs>
          <w:tab w:val="left" w:pos="360"/>
        </w:tabs>
        <w:ind w:left="360" w:hanging="360"/>
      </w:pPr>
      <w:rPr>
        <w:rFonts w:hint="default" w:ascii="Wingdings" w:hAnsi="Wingdings"/>
      </w:rPr>
    </w:lvl>
  </w:abstractNum>
  <w:abstractNum w:abstractNumId="11">
    <w:nsid w:val="C4527E8E"/>
    <w:multiLevelType w:val="multilevel"/>
    <w:tmpl w:val="C4527E8E"/>
    <w:lvl w:ilvl="0" w:tentative="0">
      <w:start w:val="1"/>
      <w:numFmt w:val="decimal"/>
      <w:pStyle w:val="288"/>
      <w:lvlText w:val="%1)"/>
      <w:lvlJc w:val="left"/>
      <w:pPr>
        <w:tabs>
          <w:tab w:val="left" w:pos="0"/>
        </w:tabs>
        <w:ind w:left="420"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2">
    <w:nsid w:val="D04EF464"/>
    <w:multiLevelType w:val="multilevel"/>
    <w:tmpl w:val="D04EF464"/>
    <w:lvl w:ilvl="0" w:tentative="0">
      <w:start w:val="1"/>
      <w:numFmt w:val="decimal"/>
      <w:pStyle w:val="361"/>
      <w:suff w:val="nothing"/>
      <w:lvlText w:val="%1."/>
      <w:lvlJc w:val="left"/>
      <w:pPr>
        <w:tabs>
          <w:tab w:val="left" w:pos="0"/>
        </w:tabs>
        <w:ind w:left="180" w:firstLine="0"/>
      </w:pPr>
      <w:rPr>
        <w:rFonts w:hint="eastAsia" w:ascii="宋体" w:hAnsi="宋体" w:eastAsia="宋体"/>
        <w:b w:val="0"/>
        <w:i w:val="0"/>
        <w:caps w:val="0"/>
        <w:smallCaps w:val="0"/>
        <w:strike w:val="0"/>
        <w:dstrike w:val="0"/>
        <w:vanish w:val="0"/>
        <w:color w:val="000000"/>
        <w:spacing w:val="0"/>
        <w:position w:val="0"/>
        <w:sz w:val="24"/>
        <w:szCs w:val="24"/>
        <w:vertAlign w:val="baseline"/>
      </w:rPr>
    </w:lvl>
    <w:lvl w:ilvl="1" w:tentative="0">
      <w:start w:val="1"/>
      <w:numFmt w:val="decimal"/>
      <w:pStyle w:val="362"/>
      <w:suff w:val="nothing"/>
      <w:lvlText w:val="%1.%2"/>
      <w:lvlJc w:val="left"/>
      <w:pPr>
        <w:tabs>
          <w:tab w:val="left" w:pos="0"/>
        </w:tabs>
        <w:ind w:left="4736" w:hanging="3836"/>
      </w:pPr>
      <w:rPr>
        <w:rFonts w:hint="eastAsia" w:ascii="Times New Roman" w:hAnsi="Times New Roman" w:cs="Times New Roman"/>
        <w:b w:val="0"/>
        <w:bCs w:val="0"/>
        <w:i w:val="0"/>
        <w:iCs w:val="0"/>
        <w:caps w:val="0"/>
        <w:smallCaps w:val="0"/>
        <w:strike w:val="0"/>
        <w:dstrike w:val="0"/>
        <w:vanish w:val="0"/>
        <w:color w:val="000000"/>
        <w:spacing w:val="0"/>
        <w:position w:val="0"/>
        <w:sz w:val="24"/>
        <w:szCs w:val="24"/>
        <w:u w:val="none"/>
        <w:vertAlign w:val="baseline"/>
      </w:rPr>
    </w:lvl>
    <w:lvl w:ilvl="2" w:tentative="0">
      <w:start w:val="1"/>
      <w:numFmt w:val="decimal"/>
      <w:pStyle w:val="363"/>
      <w:suff w:val="nothing"/>
      <w:lvlText w:val="%3）"/>
      <w:lvlJc w:val="left"/>
      <w:pPr>
        <w:tabs>
          <w:tab w:val="left" w:pos="0"/>
        </w:tabs>
        <w:ind w:left="890" w:hanging="170"/>
      </w:pPr>
      <w:rPr>
        <w:b w:val="0"/>
        <w:i w:val="0"/>
        <w:strike w:val="0"/>
        <w:dstrike w:val="0"/>
        <w:color w:val="000000"/>
      </w:rPr>
    </w:lvl>
    <w:lvl w:ilvl="3" w:tentative="0">
      <w:start w:val="1"/>
      <w:numFmt w:val="decimal"/>
      <w:pStyle w:val="364"/>
      <w:suff w:val="nothing"/>
      <w:lvlText w:val="%1.%2.%3.%4"/>
      <w:lvlJc w:val="left"/>
      <w:pPr>
        <w:tabs>
          <w:tab w:val="left" w:pos="0"/>
        </w:tabs>
        <w:ind w:left="284" w:hanging="227"/>
      </w:pPr>
      <w:rPr>
        <w:rFonts w:hint="eastAsia"/>
        <w:b w:val="0"/>
        <w:i w:val="0"/>
      </w:rPr>
    </w:lvl>
    <w:lvl w:ilvl="4" w:tentative="0">
      <w:start w:val="1"/>
      <w:numFmt w:val="decimal"/>
      <w:pStyle w:val="365"/>
      <w:suff w:val="nothing"/>
      <w:lvlText w:val="%1.%2.%3.%4.%5"/>
      <w:lvlJc w:val="left"/>
      <w:pPr>
        <w:tabs>
          <w:tab w:val="left" w:pos="0"/>
        </w:tabs>
        <w:ind w:left="397" w:hanging="340"/>
      </w:pPr>
      <w:rPr>
        <w:rFonts w:hint="eastAsia" w:ascii="宋体" w:hAnsi="宋体" w:eastAsia="宋体"/>
        <w:b w:val="0"/>
        <w:i w:val="0"/>
        <w:caps w:val="0"/>
        <w:small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abstractNum w:abstractNumId="13">
    <w:nsid w:val="D3185048"/>
    <w:multiLevelType w:val="multilevel"/>
    <w:tmpl w:val="D3185048"/>
    <w:lvl w:ilvl="0" w:tentative="0">
      <w:start w:val="1"/>
      <w:numFmt w:val="decimal"/>
      <w:pStyle w:val="266"/>
      <w:suff w:val="space"/>
      <w:lvlText w:val="%1"/>
      <w:lvlJc w:val="left"/>
      <w:pPr>
        <w:tabs>
          <w:tab w:val="left" w:pos="0"/>
        </w:tabs>
        <w:ind w:left="0" w:firstLine="0"/>
      </w:pPr>
      <w:rPr>
        <w:rFonts w:hint="eastAsia"/>
      </w:rPr>
    </w:lvl>
    <w:lvl w:ilvl="1" w:tentative="0">
      <w:start w:val="1"/>
      <w:numFmt w:val="decimal"/>
      <w:pStyle w:val="267"/>
      <w:suff w:val="space"/>
      <w:lvlText w:val="%1.%2"/>
      <w:lvlJc w:val="left"/>
      <w:pPr>
        <w:tabs>
          <w:tab w:val="left" w:pos="0"/>
        </w:tabs>
        <w:ind w:left="0" w:firstLine="0"/>
      </w:pPr>
      <w:rPr>
        <w:rFonts w:hint="eastAsia"/>
      </w:rPr>
    </w:lvl>
    <w:lvl w:ilvl="2" w:tentative="0">
      <w:start w:val="1"/>
      <w:numFmt w:val="decimal"/>
      <w:pStyle w:val="268"/>
      <w:suff w:val="space"/>
      <w:lvlText w:val="%1.%2.%3"/>
      <w:lvlJc w:val="left"/>
      <w:pPr>
        <w:tabs>
          <w:tab w:val="left" w:pos="0"/>
        </w:tabs>
        <w:ind w:left="0" w:firstLine="0"/>
      </w:pPr>
      <w:rPr>
        <w:rFonts w:hint="eastAsia"/>
      </w:rPr>
    </w:lvl>
    <w:lvl w:ilvl="3" w:tentative="0">
      <w:start w:val="1"/>
      <w:numFmt w:val="decimal"/>
      <w:pStyle w:val="269"/>
      <w:suff w:val="space"/>
      <w:lvlText w:val="%1.%2.%3.%4"/>
      <w:lvlJc w:val="left"/>
      <w:pPr>
        <w:tabs>
          <w:tab w:val="left" w:pos="0"/>
        </w:tabs>
        <w:ind w:left="0" w:firstLine="0"/>
      </w:pPr>
      <w:rPr>
        <w:rFonts w:hint="eastAsia"/>
      </w:rPr>
    </w:lvl>
    <w:lvl w:ilvl="4" w:tentative="0">
      <w:start w:val="1"/>
      <w:numFmt w:val="decimal"/>
      <w:pStyle w:val="270"/>
      <w:suff w:val="space"/>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4">
    <w:nsid w:val="DCA6C445"/>
    <w:multiLevelType w:val="multilevel"/>
    <w:tmpl w:val="DCA6C445"/>
    <w:lvl w:ilvl="0" w:tentative="0">
      <w:start w:val="1"/>
      <w:numFmt w:val="decimal"/>
      <w:pStyle w:val="278"/>
      <w:lvlText w:val="%1)"/>
      <w:lvlJc w:val="left"/>
      <w:pPr>
        <w:tabs>
          <w:tab w:val="left" w:pos="0"/>
        </w:tabs>
        <w:ind w:left="620" w:hanging="420"/>
      </w:pPr>
    </w:lvl>
    <w:lvl w:ilvl="1" w:tentative="0">
      <w:start w:val="1"/>
      <w:numFmt w:val="lowerLetter"/>
      <w:lvlText w:val="%2)"/>
      <w:lvlJc w:val="left"/>
      <w:pPr>
        <w:tabs>
          <w:tab w:val="left" w:pos="0"/>
        </w:tabs>
        <w:ind w:left="1040" w:hanging="420"/>
      </w:pPr>
    </w:lvl>
    <w:lvl w:ilvl="2" w:tentative="0">
      <w:start w:val="1"/>
      <w:numFmt w:val="lowerRoman"/>
      <w:lvlText w:val="%3."/>
      <w:lvlJc w:val="right"/>
      <w:pPr>
        <w:tabs>
          <w:tab w:val="left" w:pos="0"/>
        </w:tabs>
        <w:ind w:left="1460" w:hanging="420"/>
      </w:pPr>
    </w:lvl>
    <w:lvl w:ilvl="3" w:tentative="0">
      <w:start w:val="1"/>
      <w:numFmt w:val="decimal"/>
      <w:lvlText w:val="%4."/>
      <w:lvlJc w:val="left"/>
      <w:pPr>
        <w:tabs>
          <w:tab w:val="left" w:pos="0"/>
        </w:tabs>
        <w:ind w:left="1880" w:hanging="420"/>
      </w:pPr>
    </w:lvl>
    <w:lvl w:ilvl="4" w:tentative="0">
      <w:start w:val="1"/>
      <w:numFmt w:val="lowerLetter"/>
      <w:lvlText w:val="%5)"/>
      <w:lvlJc w:val="left"/>
      <w:pPr>
        <w:tabs>
          <w:tab w:val="left" w:pos="0"/>
        </w:tabs>
        <w:ind w:left="2300" w:hanging="420"/>
      </w:pPr>
    </w:lvl>
    <w:lvl w:ilvl="5" w:tentative="0">
      <w:start w:val="1"/>
      <w:numFmt w:val="lowerRoman"/>
      <w:lvlText w:val="%6."/>
      <w:lvlJc w:val="right"/>
      <w:pPr>
        <w:tabs>
          <w:tab w:val="left" w:pos="0"/>
        </w:tabs>
        <w:ind w:left="2720" w:hanging="420"/>
      </w:pPr>
    </w:lvl>
    <w:lvl w:ilvl="6" w:tentative="0">
      <w:start w:val="1"/>
      <w:numFmt w:val="decimal"/>
      <w:lvlText w:val="%7."/>
      <w:lvlJc w:val="left"/>
      <w:pPr>
        <w:tabs>
          <w:tab w:val="left" w:pos="0"/>
        </w:tabs>
        <w:ind w:left="3140" w:hanging="420"/>
      </w:pPr>
    </w:lvl>
    <w:lvl w:ilvl="7" w:tentative="0">
      <w:start w:val="1"/>
      <w:numFmt w:val="lowerLetter"/>
      <w:lvlText w:val="%8)"/>
      <w:lvlJc w:val="left"/>
      <w:pPr>
        <w:tabs>
          <w:tab w:val="left" w:pos="0"/>
        </w:tabs>
        <w:ind w:left="3560" w:hanging="420"/>
      </w:pPr>
    </w:lvl>
    <w:lvl w:ilvl="8" w:tentative="0">
      <w:start w:val="1"/>
      <w:numFmt w:val="lowerRoman"/>
      <w:lvlText w:val="%9."/>
      <w:lvlJc w:val="right"/>
      <w:pPr>
        <w:tabs>
          <w:tab w:val="left" w:pos="0"/>
        </w:tabs>
        <w:ind w:left="3980" w:hanging="420"/>
      </w:pPr>
    </w:lvl>
  </w:abstractNum>
  <w:abstractNum w:abstractNumId="15">
    <w:nsid w:val="E4C626FC"/>
    <w:multiLevelType w:val="singleLevel"/>
    <w:tmpl w:val="E4C626FC"/>
    <w:lvl w:ilvl="0" w:tentative="0">
      <w:start w:val="1"/>
      <w:numFmt w:val="decimal"/>
      <w:pStyle w:val="46"/>
      <w:lvlText w:val="%1."/>
      <w:lvlJc w:val="left"/>
      <w:pPr>
        <w:tabs>
          <w:tab w:val="left" w:pos="1620"/>
        </w:tabs>
        <w:ind w:left="1620" w:hanging="360"/>
      </w:pPr>
    </w:lvl>
  </w:abstractNum>
  <w:abstractNum w:abstractNumId="16">
    <w:nsid w:val="00000004"/>
    <w:multiLevelType w:val="multilevel"/>
    <w:tmpl w:val="00000004"/>
    <w:lvl w:ilvl="0" w:tentative="0">
      <w:start w:val="1"/>
      <w:numFmt w:val="decimal"/>
      <w:lvlText w:val="%1."/>
      <w:lvlJc w:val="left"/>
      <w:pPr>
        <w:tabs>
          <w:tab w:val="left" w:pos="0"/>
        </w:tabs>
        <w:ind w:left="0" w:firstLine="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6"/>
      <w:lvlText w:val="%4."/>
      <w:lvlJc w:val="left"/>
      <w:pPr>
        <w:tabs>
          <w:tab w:val="left" w:pos="1680"/>
        </w:tabs>
        <w:ind w:left="1680" w:hanging="420"/>
      </w:pPr>
    </w:lvl>
    <w:lvl w:ilvl="4" w:tentative="0">
      <w:start w:val="1"/>
      <w:numFmt w:val="lowerLetter"/>
      <w:pStyle w:val="7"/>
      <w:lvlText w:val="%5)"/>
      <w:lvlJc w:val="left"/>
      <w:pPr>
        <w:tabs>
          <w:tab w:val="left" w:pos="2100"/>
        </w:tabs>
        <w:ind w:left="2100" w:hanging="420"/>
      </w:pPr>
    </w:lvl>
    <w:lvl w:ilvl="5" w:tentative="0">
      <w:start w:val="1"/>
      <w:numFmt w:val="lowerRoman"/>
      <w:pStyle w:val="9"/>
      <w:lvlText w:val="%6."/>
      <w:lvlJc w:val="right"/>
      <w:pPr>
        <w:tabs>
          <w:tab w:val="left" w:pos="2520"/>
        </w:tabs>
        <w:ind w:left="2520" w:hanging="420"/>
      </w:pPr>
    </w:lvl>
    <w:lvl w:ilvl="6" w:tentative="0">
      <w:start w:val="1"/>
      <w:numFmt w:val="decimal"/>
      <w:pStyle w:val="10"/>
      <w:lvlText w:val="%7."/>
      <w:lvlJc w:val="left"/>
      <w:pPr>
        <w:tabs>
          <w:tab w:val="left" w:pos="2940"/>
        </w:tabs>
        <w:ind w:left="2940" w:hanging="420"/>
      </w:pPr>
    </w:lvl>
    <w:lvl w:ilvl="7" w:tentative="0">
      <w:start w:val="1"/>
      <w:numFmt w:val="lowerLetter"/>
      <w:pStyle w:val="11"/>
      <w:lvlText w:val="%8)"/>
      <w:lvlJc w:val="left"/>
      <w:pPr>
        <w:tabs>
          <w:tab w:val="left" w:pos="3360"/>
        </w:tabs>
        <w:ind w:left="3360" w:hanging="420"/>
      </w:pPr>
    </w:lvl>
    <w:lvl w:ilvl="8" w:tentative="0">
      <w:start w:val="1"/>
      <w:numFmt w:val="lowerRoman"/>
      <w:pStyle w:val="12"/>
      <w:lvlText w:val="%9."/>
      <w:lvlJc w:val="right"/>
      <w:pPr>
        <w:tabs>
          <w:tab w:val="left" w:pos="3780"/>
        </w:tabs>
        <w:ind w:left="3780" w:hanging="420"/>
      </w:pPr>
    </w:lvl>
  </w:abstractNum>
  <w:abstractNum w:abstractNumId="17">
    <w:nsid w:val="0000000F"/>
    <w:multiLevelType w:val="multilevel"/>
    <w:tmpl w:val="0000000F"/>
    <w:lvl w:ilvl="0" w:tentative="0">
      <w:start w:val="0"/>
      <w:numFmt w:val="decimal"/>
      <w:pStyle w:val="530"/>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053BEEC5"/>
    <w:multiLevelType w:val="multilevel"/>
    <w:tmpl w:val="053BEEC5"/>
    <w:lvl w:ilvl="0" w:tentative="0">
      <w:start w:val="1"/>
      <w:numFmt w:val="chineseCountingThousand"/>
      <w:pStyle w:val="153"/>
      <w:lvlText w:val="第%1章"/>
      <w:lvlJc w:val="left"/>
      <w:pPr>
        <w:tabs>
          <w:tab w:val="left" w:pos="0"/>
        </w:tabs>
        <w:ind w:left="420" w:hanging="420"/>
      </w:pPr>
      <w:rPr>
        <w:rFonts w:hint="eastAsia"/>
      </w:rPr>
    </w:lvl>
    <w:lvl w:ilvl="1" w:tentative="0">
      <w:start w:val="1"/>
      <w:numFmt w:val="decimal"/>
      <w:lvlText w:val="1.%2"/>
      <w:lvlJc w:val="left"/>
      <w:pPr>
        <w:tabs>
          <w:tab w:val="left" w:pos="0"/>
        </w:tabs>
        <w:ind w:left="420" w:hanging="420"/>
      </w:pPr>
      <w:rPr>
        <w:rFonts w:hint="default" w:ascii="Calibri Light" w:hAnsi="Calibri Light" w:eastAsia="宋体" w:cs="Calibri"/>
        <w:sz w:val="32"/>
        <w:szCs w:val="32"/>
      </w:rPr>
    </w:lvl>
    <w:lvl w:ilvl="2" w:tentative="0">
      <w:start w:val="1"/>
      <w:numFmt w:val="decimal"/>
      <w:lvlText w:val="1.1.%3"/>
      <w:lvlJc w:val="left"/>
      <w:pPr>
        <w:tabs>
          <w:tab w:val="left" w:pos="0"/>
        </w:tabs>
        <w:ind w:left="420" w:firstLine="147"/>
      </w:pPr>
      <w:rPr>
        <w:rFonts w:hint="eastAsia"/>
      </w:r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9">
    <w:nsid w:val="0AE64B02"/>
    <w:multiLevelType w:val="multilevel"/>
    <w:tmpl w:val="0AE64B02"/>
    <w:lvl w:ilvl="0" w:tentative="0">
      <w:start w:val="1"/>
      <w:numFmt w:val="decimal"/>
      <w:pStyle w:val="151"/>
      <w:lvlText w:val="图4-%1."/>
      <w:lvlJc w:val="center"/>
      <w:pPr>
        <w:tabs>
          <w:tab w:val="left" w:pos="737"/>
        </w:tabs>
        <w:ind w:left="737" w:hanging="449"/>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1235B5CB"/>
    <w:multiLevelType w:val="multilevel"/>
    <w:tmpl w:val="1235B5CB"/>
    <w:lvl w:ilvl="0" w:tentative="0">
      <w:start w:val="1"/>
      <w:numFmt w:val="bullet"/>
      <w:pStyle w:val="260"/>
      <w:lvlText w:val=""/>
      <w:lvlJc w:val="left"/>
      <w:pPr>
        <w:tabs>
          <w:tab w:val="left" w:pos="0"/>
        </w:tabs>
        <w:ind w:left="900" w:hanging="420"/>
      </w:pPr>
      <w:rPr>
        <w:rFonts w:hint="default" w:ascii="Wingdings" w:hAnsi="Wingdings"/>
      </w:rPr>
    </w:lvl>
    <w:lvl w:ilvl="1" w:tentative="0">
      <w:start w:val="1"/>
      <w:numFmt w:val="bullet"/>
      <w:lvlText w:val=""/>
      <w:lvlJc w:val="left"/>
      <w:pPr>
        <w:tabs>
          <w:tab w:val="left" w:pos="0"/>
        </w:tabs>
        <w:ind w:left="1320" w:hanging="420"/>
      </w:pPr>
      <w:rPr>
        <w:rFonts w:hint="default" w:ascii="Wingdings" w:hAnsi="Wingdings"/>
      </w:rPr>
    </w:lvl>
    <w:lvl w:ilvl="2" w:tentative="0">
      <w:start w:val="1"/>
      <w:numFmt w:val="bullet"/>
      <w:lvlText w:val=""/>
      <w:lvlJc w:val="left"/>
      <w:pPr>
        <w:tabs>
          <w:tab w:val="left" w:pos="0"/>
        </w:tabs>
        <w:ind w:left="1740" w:hanging="420"/>
      </w:pPr>
      <w:rPr>
        <w:rFonts w:hint="default" w:ascii="Wingdings" w:hAnsi="Wingdings"/>
      </w:rPr>
    </w:lvl>
    <w:lvl w:ilvl="3" w:tentative="0">
      <w:start w:val="1"/>
      <w:numFmt w:val="bullet"/>
      <w:lvlText w:val=""/>
      <w:lvlJc w:val="left"/>
      <w:pPr>
        <w:tabs>
          <w:tab w:val="left" w:pos="0"/>
        </w:tabs>
        <w:ind w:left="2160" w:hanging="420"/>
      </w:pPr>
      <w:rPr>
        <w:rFonts w:hint="default" w:ascii="Wingdings" w:hAnsi="Wingdings"/>
      </w:rPr>
    </w:lvl>
    <w:lvl w:ilvl="4" w:tentative="0">
      <w:start w:val="1"/>
      <w:numFmt w:val="bullet"/>
      <w:lvlText w:val=""/>
      <w:lvlJc w:val="left"/>
      <w:pPr>
        <w:tabs>
          <w:tab w:val="left" w:pos="0"/>
        </w:tabs>
        <w:ind w:left="2580" w:hanging="420"/>
      </w:pPr>
      <w:rPr>
        <w:rFonts w:hint="default" w:ascii="Wingdings" w:hAnsi="Wingdings"/>
      </w:rPr>
    </w:lvl>
    <w:lvl w:ilvl="5" w:tentative="0">
      <w:start w:val="1"/>
      <w:numFmt w:val="bullet"/>
      <w:lvlText w:val=""/>
      <w:lvlJc w:val="left"/>
      <w:pPr>
        <w:tabs>
          <w:tab w:val="left" w:pos="0"/>
        </w:tabs>
        <w:ind w:left="3000" w:hanging="420"/>
      </w:pPr>
      <w:rPr>
        <w:rFonts w:hint="default" w:ascii="Wingdings" w:hAnsi="Wingdings"/>
      </w:rPr>
    </w:lvl>
    <w:lvl w:ilvl="6" w:tentative="0">
      <w:start w:val="1"/>
      <w:numFmt w:val="bullet"/>
      <w:lvlText w:val=""/>
      <w:lvlJc w:val="left"/>
      <w:pPr>
        <w:tabs>
          <w:tab w:val="left" w:pos="0"/>
        </w:tabs>
        <w:ind w:left="3420" w:hanging="420"/>
      </w:pPr>
      <w:rPr>
        <w:rFonts w:hint="default" w:ascii="Wingdings" w:hAnsi="Wingdings"/>
      </w:rPr>
    </w:lvl>
    <w:lvl w:ilvl="7" w:tentative="0">
      <w:start w:val="1"/>
      <w:numFmt w:val="bullet"/>
      <w:lvlText w:val=""/>
      <w:lvlJc w:val="left"/>
      <w:pPr>
        <w:tabs>
          <w:tab w:val="left" w:pos="0"/>
        </w:tabs>
        <w:ind w:left="3840" w:hanging="420"/>
      </w:pPr>
      <w:rPr>
        <w:rFonts w:hint="default" w:ascii="Wingdings" w:hAnsi="Wingdings"/>
      </w:rPr>
    </w:lvl>
    <w:lvl w:ilvl="8" w:tentative="0">
      <w:start w:val="1"/>
      <w:numFmt w:val="bullet"/>
      <w:lvlText w:val=""/>
      <w:lvlJc w:val="left"/>
      <w:pPr>
        <w:tabs>
          <w:tab w:val="left" w:pos="0"/>
        </w:tabs>
        <w:ind w:left="4260" w:hanging="420"/>
      </w:pPr>
      <w:rPr>
        <w:rFonts w:hint="default" w:ascii="Wingdings" w:hAnsi="Wingdings"/>
      </w:rPr>
    </w:lvl>
  </w:abstractNum>
  <w:abstractNum w:abstractNumId="21">
    <w:nsid w:val="15E07CC4"/>
    <w:multiLevelType w:val="singleLevel"/>
    <w:tmpl w:val="15E07CC4"/>
    <w:lvl w:ilvl="0" w:tentative="0">
      <w:start w:val="2"/>
      <w:numFmt w:val="decimal"/>
      <w:suff w:val="nothing"/>
      <w:lvlText w:val="（%1）"/>
      <w:lvlJc w:val="left"/>
    </w:lvl>
  </w:abstractNum>
  <w:abstractNum w:abstractNumId="22">
    <w:nsid w:val="1EC1F55B"/>
    <w:multiLevelType w:val="multilevel"/>
    <w:tmpl w:val="1EC1F55B"/>
    <w:lvl w:ilvl="0" w:tentative="0">
      <w:start w:val="5"/>
      <w:numFmt w:val="decimal"/>
      <w:lvlText w:val="%1"/>
      <w:lvlJc w:val="left"/>
      <w:pPr>
        <w:tabs>
          <w:tab w:val="left" w:pos="425"/>
        </w:tabs>
        <w:ind w:left="425" w:hanging="425"/>
      </w:pPr>
      <w:rPr>
        <w:rFonts w:hint="eastAsia"/>
      </w:rPr>
    </w:lvl>
    <w:lvl w:ilvl="1" w:tentative="0">
      <w:start w:val="1"/>
      <w:numFmt w:val="decimal"/>
      <w:pStyle w:val="150"/>
      <w:lvlText w:val="%1.%2"/>
      <w:lvlJc w:val="left"/>
      <w:pPr>
        <w:tabs>
          <w:tab w:val="left" w:pos="510"/>
        </w:tabs>
        <w:ind w:left="420" w:hanging="420"/>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226B47A1"/>
    <w:multiLevelType w:val="multilevel"/>
    <w:tmpl w:val="226B47A1"/>
    <w:lvl w:ilvl="0" w:tentative="0">
      <w:start w:val="1"/>
      <w:numFmt w:val="decimal"/>
      <w:pStyle w:val="187"/>
      <w:lvlText w:val="%1."/>
      <w:lvlJc w:val="left"/>
      <w:pPr>
        <w:tabs>
          <w:tab w:val="left" w:pos="900"/>
        </w:tabs>
        <w:ind w:left="9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28FE580F"/>
    <w:multiLevelType w:val="singleLevel"/>
    <w:tmpl w:val="28FE580F"/>
    <w:lvl w:ilvl="0" w:tentative="0">
      <w:start w:val="1"/>
      <w:numFmt w:val="decimal"/>
      <w:pStyle w:val="63"/>
      <w:lvlText w:val="%1."/>
      <w:lvlJc w:val="left"/>
      <w:pPr>
        <w:tabs>
          <w:tab w:val="left" w:pos="2040"/>
        </w:tabs>
        <w:ind w:left="2040" w:hanging="360"/>
      </w:pPr>
    </w:lvl>
  </w:abstractNum>
  <w:abstractNum w:abstractNumId="25">
    <w:nsid w:val="2D4C6A2F"/>
    <w:multiLevelType w:val="singleLevel"/>
    <w:tmpl w:val="2D4C6A2F"/>
    <w:lvl w:ilvl="0" w:tentative="0">
      <w:start w:val="1"/>
      <w:numFmt w:val="bullet"/>
      <w:pStyle w:val="32"/>
      <w:lvlText w:val=""/>
      <w:lvlJc w:val="left"/>
      <w:pPr>
        <w:tabs>
          <w:tab w:val="left" w:pos="1200"/>
        </w:tabs>
        <w:ind w:left="1200" w:hanging="360"/>
      </w:pPr>
      <w:rPr>
        <w:rFonts w:hint="default" w:ascii="Wingdings" w:hAnsi="Wingdings"/>
      </w:rPr>
    </w:lvl>
  </w:abstractNum>
  <w:abstractNum w:abstractNumId="26">
    <w:nsid w:val="404F81CC"/>
    <w:multiLevelType w:val="singleLevel"/>
    <w:tmpl w:val="404F81CC"/>
    <w:lvl w:ilvl="0" w:tentative="0">
      <w:start w:val="1"/>
      <w:numFmt w:val="decimal"/>
      <w:pStyle w:val="20"/>
      <w:lvlText w:val="%1."/>
      <w:lvlJc w:val="left"/>
      <w:pPr>
        <w:tabs>
          <w:tab w:val="left" w:pos="360"/>
        </w:tabs>
        <w:ind w:left="360" w:hanging="360"/>
      </w:pPr>
    </w:lvl>
  </w:abstractNum>
  <w:abstractNum w:abstractNumId="27">
    <w:nsid w:val="499CB997"/>
    <w:multiLevelType w:val="singleLevel"/>
    <w:tmpl w:val="499CB997"/>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28">
    <w:nsid w:val="4C296137"/>
    <w:multiLevelType w:val="singleLevel"/>
    <w:tmpl w:val="4C296137"/>
    <w:lvl w:ilvl="0" w:tentative="0">
      <w:start w:val="1"/>
      <w:numFmt w:val="bullet"/>
      <w:pStyle w:val="39"/>
      <w:lvlText w:val=""/>
      <w:lvlJc w:val="left"/>
      <w:pPr>
        <w:tabs>
          <w:tab w:val="left" w:pos="780"/>
        </w:tabs>
        <w:ind w:left="780" w:hanging="360"/>
      </w:pPr>
      <w:rPr>
        <w:rFonts w:hint="default" w:ascii="Wingdings" w:hAnsi="Wingdings"/>
      </w:rPr>
    </w:lvl>
  </w:abstractNum>
  <w:abstractNum w:abstractNumId="29">
    <w:nsid w:val="54C72B21"/>
    <w:multiLevelType w:val="multilevel"/>
    <w:tmpl w:val="54C72B21"/>
    <w:lvl w:ilvl="0" w:tentative="0">
      <w:start w:val="1"/>
      <w:numFmt w:val="bullet"/>
      <w:pStyle w:val="154"/>
      <w:lvlText w:val=""/>
      <w:lvlJc w:val="left"/>
      <w:pPr>
        <w:tabs>
          <w:tab w:val="left" w:pos="0"/>
        </w:tabs>
        <w:ind w:left="780" w:hanging="420"/>
      </w:pPr>
      <w:rPr>
        <w:rFonts w:hint="default" w:ascii="Wingdings" w:hAnsi="Wingdings"/>
      </w:rPr>
    </w:lvl>
    <w:lvl w:ilvl="1" w:tentative="0">
      <w:start w:val="1"/>
      <w:numFmt w:val="bullet"/>
      <w:lvlText w:val=""/>
      <w:lvlJc w:val="left"/>
      <w:pPr>
        <w:tabs>
          <w:tab w:val="left" w:pos="0"/>
        </w:tabs>
        <w:ind w:left="1200" w:hanging="420"/>
      </w:pPr>
      <w:rPr>
        <w:rFonts w:hint="default" w:ascii="Wingdings" w:hAnsi="Wingdings"/>
      </w:rPr>
    </w:lvl>
    <w:lvl w:ilvl="2" w:tentative="0">
      <w:start w:val="1"/>
      <w:numFmt w:val="bullet"/>
      <w:lvlText w:val=""/>
      <w:lvlJc w:val="left"/>
      <w:pPr>
        <w:tabs>
          <w:tab w:val="left" w:pos="0"/>
        </w:tabs>
        <w:ind w:left="1620" w:hanging="420"/>
      </w:pPr>
      <w:rPr>
        <w:rFonts w:hint="default" w:ascii="Wingdings" w:hAnsi="Wingdings"/>
      </w:rPr>
    </w:lvl>
    <w:lvl w:ilvl="3" w:tentative="0">
      <w:start w:val="1"/>
      <w:numFmt w:val="bullet"/>
      <w:lvlText w:val=""/>
      <w:lvlJc w:val="left"/>
      <w:pPr>
        <w:tabs>
          <w:tab w:val="left" w:pos="0"/>
        </w:tabs>
        <w:ind w:left="2040" w:hanging="420"/>
      </w:pPr>
      <w:rPr>
        <w:rFonts w:hint="default" w:ascii="Wingdings" w:hAnsi="Wingdings"/>
      </w:rPr>
    </w:lvl>
    <w:lvl w:ilvl="4" w:tentative="0">
      <w:start w:val="1"/>
      <w:numFmt w:val="bullet"/>
      <w:lvlText w:val=""/>
      <w:lvlJc w:val="left"/>
      <w:pPr>
        <w:tabs>
          <w:tab w:val="left" w:pos="0"/>
        </w:tabs>
        <w:ind w:left="2460" w:hanging="420"/>
      </w:pPr>
      <w:rPr>
        <w:rFonts w:hint="default" w:ascii="Wingdings" w:hAnsi="Wingdings"/>
      </w:rPr>
    </w:lvl>
    <w:lvl w:ilvl="5" w:tentative="0">
      <w:start w:val="1"/>
      <w:numFmt w:val="bullet"/>
      <w:lvlText w:val=""/>
      <w:lvlJc w:val="left"/>
      <w:pPr>
        <w:tabs>
          <w:tab w:val="left" w:pos="0"/>
        </w:tabs>
        <w:ind w:left="2880" w:hanging="420"/>
      </w:pPr>
      <w:rPr>
        <w:rFonts w:hint="default" w:ascii="Wingdings" w:hAnsi="Wingdings"/>
      </w:rPr>
    </w:lvl>
    <w:lvl w:ilvl="6" w:tentative="0">
      <w:start w:val="1"/>
      <w:numFmt w:val="bullet"/>
      <w:lvlText w:val=""/>
      <w:lvlJc w:val="left"/>
      <w:pPr>
        <w:tabs>
          <w:tab w:val="left" w:pos="0"/>
        </w:tabs>
        <w:ind w:left="3300" w:hanging="420"/>
      </w:pPr>
      <w:rPr>
        <w:rFonts w:hint="default" w:ascii="Wingdings" w:hAnsi="Wingdings"/>
      </w:rPr>
    </w:lvl>
    <w:lvl w:ilvl="7" w:tentative="0">
      <w:start w:val="1"/>
      <w:numFmt w:val="bullet"/>
      <w:lvlText w:val=""/>
      <w:lvlJc w:val="left"/>
      <w:pPr>
        <w:tabs>
          <w:tab w:val="left" w:pos="0"/>
        </w:tabs>
        <w:ind w:left="3720" w:hanging="420"/>
      </w:pPr>
      <w:rPr>
        <w:rFonts w:hint="default" w:ascii="Wingdings" w:hAnsi="Wingdings"/>
      </w:rPr>
    </w:lvl>
    <w:lvl w:ilvl="8" w:tentative="0">
      <w:start w:val="1"/>
      <w:numFmt w:val="bullet"/>
      <w:lvlText w:val=""/>
      <w:lvlJc w:val="left"/>
      <w:pPr>
        <w:tabs>
          <w:tab w:val="left" w:pos="0"/>
        </w:tabs>
        <w:ind w:left="4140" w:hanging="420"/>
      </w:pPr>
      <w:rPr>
        <w:rFonts w:hint="default" w:ascii="Wingdings" w:hAnsi="Wingdings"/>
      </w:rPr>
    </w:lvl>
  </w:abstractNum>
  <w:abstractNum w:abstractNumId="30">
    <w:nsid w:val="59F52AF8"/>
    <w:multiLevelType w:val="multilevel"/>
    <w:tmpl w:val="59F52AF8"/>
    <w:lvl w:ilvl="0" w:tentative="0">
      <w:start w:val="1"/>
      <w:numFmt w:val="decimal"/>
      <w:pStyle w:val="283"/>
      <w:lvlText w:val="%1)"/>
      <w:lvlJc w:val="left"/>
      <w:pPr>
        <w:tabs>
          <w:tab w:val="left" w:pos="0"/>
        </w:tabs>
        <w:ind w:left="982" w:hanging="420"/>
      </w:pPr>
    </w:lvl>
    <w:lvl w:ilvl="1" w:tentative="0">
      <w:start w:val="1"/>
      <w:numFmt w:val="lowerLetter"/>
      <w:pStyle w:val="280"/>
      <w:lvlText w:val="%2)"/>
      <w:lvlJc w:val="left"/>
      <w:pPr>
        <w:tabs>
          <w:tab w:val="left" w:pos="0"/>
        </w:tabs>
        <w:ind w:left="1402" w:hanging="420"/>
      </w:pPr>
    </w:lvl>
    <w:lvl w:ilvl="2" w:tentative="0">
      <w:start w:val="1"/>
      <w:numFmt w:val="lowerRoman"/>
      <w:pStyle w:val="281"/>
      <w:lvlText w:val="%3."/>
      <w:lvlJc w:val="right"/>
      <w:pPr>
        <w:tabs>
          <w:tab w:val="left" w:pos="0"/>
        </w:tabs>
        <w:ind w:left="1822" w:hanging="420"/>
      </w:pPr>
    </w:lvl>
    <w:lvl w:ilvl="3" w:tentative="0">
      <w:start w:val="1"/>
      <w:numFmt w:val="decimal"/>
      <w:lvlText w:val="%4."/>
      <w:lvlJc w:val="left"/>
      <w:pPr>
        <w:tabs>
          <w:tab w:val="left" w:pos="0"/>
        </w:tabs>
        <w:ind w:left="2242" w:hanging="420"/>
      </w:pPr>
    </w:lvl>
    <w:lvl w:ilvl="4" w:tentative="0">
      <w:start w:val="1"/>
      <w:numFmt w:val="lowerLetter"/>
      <w:lvlText w:val="%5)"/>
      <w:lvlJc w:val="left"/>
      <w:pPr>
        <w:tabs>
          <w:tab w:val="left" w:pos="0"/>
        </w:tabs>
        <w:ind w:left="2662" w:hanging="420"/>
      </w:pPr>
    </w:lvl>
    <w:lvl w:ilvl="5" w:tentative="0">
      <w:start w:val="1"/>
      <w:numFmt w:val="lowerRoman"/>
      <w:lvlText w:val="%6."/>
      <w:lvlJc w:val="right"/>
      <w:pPr>
        <w:tabs>
          <w:tab w:val="left" w:pos="0"/>
        </w:tabs>
        <w:ind w:left="3082" w:hanging="420"/>
      </w:pPr>
    </w:lvl>
    <w:lvl w:ilvl="6" w:tentative="0">
      <w:start w:val="1"/>
      <w:numFmt w:val="decimal"/>
      <w:lvlText w:val="%7."/>
      <w:lvlJc w:val="left"/>
      <w:pPr>
        <w:tabs>
          <w:tab w:val="left" w:pos="0"/>
        </w:tabs>
        <w:ind w:left="3502" w:hanging="420"/>
      </w:pPr>
    </w:lvl>
    <w:lvl w:ilvl="7" w:tentative="0">
      <w:start w:val="1"/>
      <w:numFmt w:val="lowerLetter"/>
      <w:lvlText w:val="%8)"/>
      <w:lvlJc w:val="left"/>
      <w:pPr>
        <w:tabs>
          <w:tab w:val="left" w:pos="0"/>
        </w:tabs>
        <w:ind w:left="3922" w:hanging="420"/>
      </w:pPr>
    </w:lvl>
    <w:lvl w:ilvl="8" w:tentative="0">
      <w:start w:val="1"/>
      <w:numFmt w:val="lowerRoman"/>
      <w:lvlText w:val="%9."/>
      <w:lvlJc w:val="right"/>
      <w:pPr>
        <w:tabs>
          <w:tab w:val="left" w:pos="0"/>
        </w:tabs>
        <w:ind w:left="4342" w:hanging="420"/>
      </w:pPr>
    </w:lvl>
  </w:abstractNum>
  <w:abstractNum w:abstractNumId="31">
    <w:nsid w:val="5B5AF7FA"/>
    <w:multiLevelType w:val="multilevel"/>
    <w:tmpl w:val="5B5AF7FA"/>
    <w:lvl w:ilvl="0" w:tentative="0">
      <w:start w:val="1"/>
      <w:numFmt w:val="decimal"/>
      <w:pStyle w:val="285"/>
      <w:lvlText w:val="%1)"/>
      <w:lvlJc w:val="left"/>
      <w:pPr>
        <w:tabs>
          <w:tab w:val="left" w:pos="0"/>
        </w:tabs>
        <w:ind w:left="980" w:hanging="420"/>
      </w:pPr>
      <w:rPr>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tabs>
          <w:tab w:val="left" w:pos="0"/>
        </w:tabs>
        <w:ind w:left="1400" w:hanging="420"/>
      </w:pPr>
    </w:lvl>
    <w:lvl w:ilvl="2" w:tentative="0">
      <w:start w:val="1"/>
      <w:numFmt w:val="lowerRoman"/>
      <w:lvlText w:val="%3."/>
      <w:lvlJc w:val="right"/>
      <w:pPr>
        <w:tabs>
          <w:tab w:val="left" w:pos="0"/>
        </w:tabs>
        <w:ind w:left="1820" w:hanging="420"/>
      </w:pPr>
    </w:lvl>
    <w:lvl w:ilvl="3" w:tentative="0">
      <w:start w:val="1"/>
      <w:numFmt w:val="decimal"/>
      <w:lvlText w:val="%4."/>
      <w:lvlJc w:val="left"/>
      <w:pPr>
        <w:tabs>
          <w:tab w:val="left" w:pos="0"/>
        </w:tabs>
        <w:ind w:left="2240" w:hanging="420"/>
      </w:pPr>
    </w:lvl>
    <w:lvl w:ilvl="4" w:tentative="0">
      <w:start w:val="1"/>
      <w:numFmt w:val="lowerLetter"/>
      <w:lvlText w:val="%5)"/>
      <w:lvlJc w:val="left"/>
      <w:pPr>
        <w:tabs>
          <w:tab w:val="left" w:pos="0"/>
        </w:tabs>
        <w:ind w:left="2660" w:hanging="420"/>
      </w:pPr>
    </w:lvl>
    <w:lvl w:ilvl="5" w:tentative="0">
      <w:start w:val="1"/>
      <w:numFmt w:val="lowerRoman"/>
      <w:lvlText w:val="%6."/>
      <w:lvlJc w:val="right"/>
      <w:pPr>
        <w:tabs>
          <w:tab w:val="left" w:pos="0"/>
        </w:tabs>
        <w:ind w:left="3080" w:hanging="420"/>
      </w:pPr>
    </w:lvl>
    <w:lvl w:ilvl="6" w:tentative="0">
      <w:start w:val="1"/>
      <w:numFmt w:val="decimal"/>
      <w:lvlText w:val="%7."/>
      <w:lvlJc w:val="left"/>
      <w:pPr>
        <w:tabs>
          <w:tab w:val="left" w:pos="0"/>
        </w:tabs>
        <w:ind w:left="3500" w:hanging="420"/>
      </w:pPr>
    </w:lvl>
    <w:lvl w:ilvl="7" w:tentative="0">
      <w:start w:val="1"/>
      <w:numFmt w:val="lowerLetter"/>
      <w:lvlText w:val="%8)"/>
      <w:lvlJc w:val="left"/>
      <w:pPr>
        <w:tabs>
          <w:tab w:val="left" w:pos="0"/>
        </w:tabs>
        <w:ind w:left="3920" w:hanging="420"/>
      </w:pPr>
    </w:lvl>
    <w:lvl w:ilvl="8" w:tentative="0">
      <w:start w:val="1"/>
      <w:numFmt w:val="lowerRoman"/>
      <w:lvlText w:val="%9."/>
      <w:lvlJc w:val="right"/>
      <w:pPr>
        <w:tabs>
          <w:tab w:val="left" w:pos="0"/>
        </w:tabs>
        <w:ind w:left="4340" w:hanging="420"/>
      </w:pPr>
    </w:lvl>
  </w:abstractNum>
  <w:abstractNum w:abstractNumId="32">
    <w:nsid w:val="5D34656E"/>
    <w:multiLevelType w:val="multilevel"/>
    <w:tmpl w:val="5D34656E"/>
    <w:lvl w:ilvl="0" w:tentative="0">
      <w:start w:val="1"/>
      <w:numFmt w:val="bullet"/>
      <w:pStyle w:val="15"/>
      <w:lvlText w:val=""/>
      <w:lvlJc w:val="left"/>
      <w:pPr>
        <w:tabs>
          <w:tab w:val="left" w:pos="0"/>
        </w:tabs>
        <w:ind w:left="988" w:hanging="420"/>
      </w:pPr>
      <w:rPr>
        <w:rFonts w:hint="default" w:ascii="Wingdings" w:hAnsi="Wingdings"/>
      </w:rPr>
    </w:lvl>
    <w:lvl w:ilvl="1" w:tentative="0">
      <w:start w:val="1"/>
      <w:numFmt w:val="bullet"/>
      <w:lvlText w:val=""/>
      <w:lvlJc w:val="left"/>
      <w:pPr>
        <w:tabs>
          <w:tab w:val="left" w:pos="0"/>
        </w:tabs>
        <w:ind w:left="1400" w:hanging="420"/>
      </w:pPr>
      <w:rPr>
        <w:rFonts w:hint="default" w:ascii="Wingdings" w:hAnsi="Wingdings"/>
      </w:rPr>
    </w:lvl>
    <w:lvl w:ilvl="2" w:tentative="0">
      <w:start w:val="1"/>
      <w:numFmt w:val="bullet"/>
      <w:lvlText w:val=""/>
      <w:lvlJc w:val="left"/>
      <w:pPr>
        <w:tabs>
          <w:tab w:val="left" w:pos="0"/>
        </w:tabs>
        <w:ind w:left="1820" w:hanging="420"/>
      </w:pPr>
      <w:rPr>
        <w:rFonts w:hint="default" w:ascii="Wingdings" w:hAnsi="Wingdings"/>
      </w:rPr>
    </w:lvl>
    <w:lvl w:ilvl="3" w:tentative="0">
      <w:start w:val="1"/>
      <w:numFmt w:val="bullet"/>
      <w:lvlText w:val=""/>
      <w:lvlJc w:val="left"/>
      <w:pPr>
        <w:tabs>
          <w:tab w:val="left" w:pos="0"/>
        </w:tabs>
        <w:ind w:left="2240" w:hanging="420"/>
      </w:pPr>
      <w:rPr>
        <w:rFonts w:hint="default" w:ascii="Wingdings" w:hAnsi="Wingdings"/>
      </w:rPr>
    </w:lvl>
    <w:lvl w:ilvl="4" w:tentative="0">
      <w:start w:val="1"/>
      <w:numFmt w:val="bullet"/>
      <w:lvlText w:val=""/>
      <w:lvlJc w:val="left"/>
      <w:pPr>
        <w:tabs>
          <w:tab w:val="left" w:pos="0"/>
        </w:tabs>
        <w:ind w:left="2660" w:hanging="420"/>
      </w:pPr>
      <w:rPr>
        <w:rFonts w:hint="default" w:ascii="Wingdings" w:hAnsi="Wingdings"/>
      </w:rPr>
    </w:lvl>
    <w:lvl w:ilvl="5" w:tentative="0">
      <w:start w:val="1"/>
      <w:numFmt w:val="bullet"/>
      <w:lvlText w:val=""/>
      <w:lvlJc w:val="left"/>
      <w:pPr>
        <w:tabs>
          <w:tab w:val="left" w:pos="0"/>
        </w:tabs>
        <w:ind w:left="3080" w:hanging="420"/>
      </w:pPr>
      <w:rPr>
        <w:rFonts w:hint="default" w:ascii="Wingdings" w:hAnsi="Wingdings"/>
      </w:rPr>
    </w:lvl>
    <w:lvl w:ilvl="6" w:tentative="0">
      <w:start w:val="1"/>
      <w:numFmt w:val="bullet"/>
      <w:lvlText w:val=""/>
      <w:lvlJc w:val="left"/>
      <w:pPr>
        <w:tabs>
          <w:tab w:val="left" w:pos="0"/>
        </w:tabs>
        <w:ind w:left="3500" w:hanging="420"/>
      </w:pPr>
      <w:rPr>
        <w:rFonts w:hint="default" w:ascii="Wingdings" w:hAnsi="Wingdings"/>
      </w:rPr>
    </w:lvl>
    <w:lvl w:ilvl="7" w:tentative="0">
      <w:start w:val="1"/>
      <w:numFmt w:val="bullet"/>
      <w:lvlText w:val=""/>
      <w:lvlJc w:val="left"/>
      <w:pPr>
        <w:tabs>
          <w:tab w:val="left" w:pos="0"/>
        </w:tabs>
        <w:ind w:left="3920" w:hanging="420"/>
      </w:pPr>
      <w:rPr>
        <w:rFonts w:hint="default" w:ascii="Wingdings" w:hAnsi="Wingdings"/>
      </w:rPr>
    </w:lvl>
    <w:lvl w:ilvl="8" w:tentative="0">
      <w:start w:val="1"/>
      <w:numFmt w:val="bullet"/>
      <w:lvlText w:val=""/>
      <w:lvlJc w:val="left"/>
      <w:pPr>
        <w:tabs>
          <w:tab w:val="left" w:pos="0"/>
        </w:tabs>
        <w:ind w:left="4340" w:hanging="420"/>
      </w:pPr>
      <w:rPr>
        <w:rFonts w:hint="default" w:ascii="Wingdings" w:hAnsi="Wingdings"/>
      </w:rPr>
    </w:lvl>
  </w:abstractNum>
  <w:abstractNum w:abstractNumId="33">
    <w:nsid w:val="797F14BE"/>
    <w:multiLevelType w:val="singleLevel"/>
    <w:tmpl w:val="797F14BE"/>
    <w:lvl w:ilvl="0" w:tentative="0">
      <w:start w:val="1"/>
      <w:numFmt w:val="bullet"/>
      <w:pStyle w:val="45"/>
      <w:lvlText w:val=""/>
      <w:lvlJc w:val="left"/>
      <w:pPr>
        <w:tabs>
          <w:tab w:val="left" w:pos="2040"/>
        </w:tabs>
        <w:ind w:left="2040" w:hanging="360"/>
      </w:pPr>
      <w:rPr>
        <w:rFonts w:hint="default" w:ascii="Wingdings" w:hAnsi="Wingdings"/>
      </w:rPr>
    </w:lvl>
  </w:abstractNum>
  <w:num w:numId="1">
    <w:abstractNumId w:val="16"/>
  </w:num>
  <w:num w:numId="2">
    <w:abstractNumId w:val="32"/>
  </w:num>
  <w:num w:numId="3">
    <w:abstractNumId w:val="27"/>
  </w:num>
  <w:num w:numId="4">
    <w:abstractNumId w:val="26"/>
  </w:num>
  <w:num w:numId="5">
    <w:abstractNumId w:val="25"/>
  </w:num>
  <w:num w:numId="6">
    <w:abstractNumId w:val="6"/>
  </w:num>
  <w:num w:numId="7">
    <w:abstractNumId w:val="28"/>
  </w:num>
  <w:num w:numId="8">
    <w:abstractNumId w:val="33"/>
  </w:num>
  <w:num w:numId="9">
    <w:abstractNumId w:val="15"/>
  </w:num>
  <w:num w:numId="10">
    <w:abstractNumId w:val="24"/>
  </w:num>
  <w:num w:numId="11">
    <w:abstractNumId w:val="22"/>
  </w:num>
  <w:num w:numId="12">
    <w:abstractNumId w:val="19"/>
  </w:num>
  <w:num w:numId="13">
    <w:abstractNumId w:val="18"/>
  </w:num>
  <w:num w:numId="14">
    <w:abstractNumId w:val="29"/>
  </w:num>
  <w:num w:numId="15">
    <w:abstractNumId w:val="1"/>
  </w:num>
  <w:num w:numId="16">
    <w:abstractNumId w:val="3"/>
  </w:num>
  <w:num w:numId="17">
    <w:abstractNumId w:val="5"/>
  </w:num>
  <w:num w:numId="18">
    <w:abstractNumId w:val="8"/>
  </w:num>
  <w:num w:numId="19">
    <w:abstractNumId w:val="23"/>
  </w:num>
  <w:num w:numId="20">
    <w:abstractNumId w:val="10"/>
  </w:num>
  <w:num w:numId="21">
    <w:abstractNumId w:val="20"/>
  </w:num>
  <w:num w:numId="22">
    <w:abstractNumId w:val="13"/>
  </w:num>
  <w:num w:numId="23">
    <w:abstractNumId w:val="4"/>
  </w:num>
  <w:num w:numId="24">
    <w:abstractNumId w:val="14"/>
  </w:num>
  <w:num w:numId="25">
    <w:abstractNumId w:val="30"/>
  </w:num>
  <w:num w:numId="26">
    <w:abstractNumId w:val="31"/>
  </w:num>
  <w:num w:numId="27">
    <w:abstractNumId w:val="11"/>
  </w:num>
  <w:num w:numId="28">
    <w:abstractNumId w:val="9"/>
  </w:num>
  <w:num w:numId="29">
    <w:abstractNumId w:val="12"/>
  </w:num>
  <w:num w:numId="30">
    <w:abstractNumId w:val="2"/>
  </w:num>
  <w:num w:numId="31">
    <w:abstractNumId w:val="17"/>
  </w:num>
  <w:num w:numId="32">
    <w:abstractNumId w:val="0"/>
  </w:num>
  <w:num w:numId="33">
    <w:abstractNumId w:val="7"/>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TrueTypeFonts/>
  <w:saveSubsetFonts/>
  <w:bordersDoNotSurroundHeader w:val="0"/>
  <w:bordersDoNotSurroundFooter w:val="0"/>
  <w:documentProtection w:enforcement="0"/>
  <w:defaultTabStop w:val="420"/>
  <w:drawingGridHorizontalSpacing w:val="105"/>
  <w:drawingGridVerticalSpacing w:val="231"/>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1YjMwMzc5NDFjZjhhODI4ZTBkYjRiYzdjM2IyZTAifQ=="/>
  </w:docVars>
  <w:rsids>
    <w:rsidRoot w:val="006C5683"/>
    <w:rsid w:val="000015CB"/>
    <w:rsid w:val="000017FA"/>
    <w:rsid w:val="000021E9"/>
    <w:rsid w:val="000027F1"/>
    <w:rsid w:val="00003511"/>
    <w:rsid w:val="00004873"/>
    <w:rsid w:val="00004AEC"/>
    <w:rsid w:val="00005B02"/>
    <w:rsid w:val="000060D0"/>
    <w:rsid w:val="00006D88"/>
    <w:rsid w:val="00010C75"/>
    <w:rsid w:val="00011D2E"/>
    <w:rsid w:val="000145F4"/>
    <w:rsid w:val="0001650A"/>
    <w:rsid w:val="00017A00"/>
    <w:rsid w:val="000200F4"/>
    <w:rsid w:val="00020BF0"/>
    <w:rsid w:val="00021C95"/>
    <w:rsid w:val="00022110"/>
    <w:rsid w:val="00031D0B"/>
    <w:rsid w:val="00033912"/>
    <w:rsid w:val="000355DB"/>
    <w:rsid w:val="00035638"/>
    <w:rsid w:val="00035D60"/>
    <w:rsid w:val="000379AC"/>
    <w:rsid w:val="00040351"/>
    <w:rsid w:val="0004289B"/>
    <w:rsid w:val="00043266"/>
    <w:rsid w:val="00044738"/>
    <w:rsid w:val="00045A4A"/>
    <w:rsid w:val="00047D3A"/>
    <w:rsid w:val="000518A9"/>
    <w:rsid w:val="00051F63"/>
    <w:rsid w:val="0005491F"/>
    <w:rsid w:val="00055B0A"/>
    <w:rsid w:val="00055C0E"/>
    <w:rsid w:val="000562DD"/>
    <w:rsid w:val="0006047C"/>
    <w:rsid w:val="00061424"/>
    <w:rsid w:val="00061F80"/>
    <w:rsid w:val="00062150"/>
    <w:rsid w:val="00063076"/>
    <w:rsid w:val="00063A10"/>
    <w:rsid w:val="00065D87"/>
    <w:rsid w:val="00065F3F"/>
    <w:rsid w:val="00066E2A"/>
    <w:rsid w:val="000675EA"/>
    <w:rsid w:val="00070E31"/>
    <w:rsid w:val="00073781"/>
    <w:rsid w:val="0007403B"/>
    <w:rsid w:val="000761F4"/>
    <w:rsid w:val="00076C4E"/>
    <w:rsid w:val="000775F2"/>
    <w:rsid w:val="00077C1C"/>
    <w:rsid w:val="000816F0"/>
    <w:rsid w:val="0008437A"/>
    <w:rsid w:val="0008483B"/>
    <w:rsid w:val="00086008"/>
    <w:rsid w:val="00086ED9"/>
    <w:rsid w:val="00087CC7"/>
    <w:rsid w:val="00090EAE"/>
    <w:rsid w:val="00092DD1"/>
    <w:rsid w:val="0009300C"/>
    <w:rsid w:val="000942A1"/>
    <w:rsid w:val="00094482"/>
    <w:rsid w:val="00094AC5"/>
    <w:rsid w:val="00094CE9"/>
    <w:rsid w:val="00096521"/>
    <w:rsid w:val="00096FCE"/>
    <w:rsid w:val="000A06B5"/>
    <w:rsid w:val="000A1509"/>
    <w:rsid w:val="000A1C1D"/>
    <w:rsid w:val="000A3668"/>
    <w:rsid w:val="000A4BA3"/>
    <w:rsid w:val="000A636C"/>
    <w:rsid w:val="000A65DB"/>
    <w:rsid w:val="000B054C"/>
    <w:rsid w:val="000B22EA"/>
    <w:rsid w:val="000B3A7B"/>
    <w:rsid w:val="000B67F3"/>
    <w:rsid w:val="000C0489"/>
    <w:rsid w:val="000C27F8"/>
    <w:rsid w:val="000C2925"/>
    <w:rsid w:val="000C2ED1"/>
    <w:rsid w:val="000C36E3"/>
    <w:rsid w:val="000C41A6"/>
    <w:rsid w:val="000C49EB"/>
    <w:rsid w:val="000C4EC9"/>
    <w:rsid w:val="000C5C2B"/>
    <w:rsid w:val="000C7449"/>
    <w:rsid w:val="000D05BA"/>
    <w:rsid w:val="000D3422"/>
    <w:rsid w:val="000D649C"/>
    <w:rsid w:val="000E06EB"/>
    <w:rsid w:val="000E2F6C"/>
    <w:rsid w:val="000E5A5F"/>
    <w:rsid w:val="000E5C46"/>
    <w:rsid w:val="000E7652"/>
    <w:rsid w:val="000F0838"/>
    <w:rsid w:val="000F18A9"/>
    <w:rsid w:val="000F5162"/>
    <w:rsid w:val="000F5CC5"/>
    <w:rsid w:val="000F5E31"/>
    <w:rsid w:val="000F5F2D"/>
    <w:rsid w:val="000F6D23"/>
    <w:rsid w:val="00100890"/>
    <w:rsid w:val="00100985"/>
    <w:rsid w:val="0010331A"/>
    <w:rsid w:val="0010394D"/>
    <w:rsid w:val="00104157"/>
    <w:rsid w:val="001052B1"/>
    <w:rsid w:val="001061B4"/>
    <w:rsid w:val="00107D53"/>
    <w:rsid w:val="00107EB0"/>
    <w:rsid w:val="0011106F"/>
    <w:rsid w:val="00113686"/>
    <w:rsid w:val="00113B47"/>
    <w:rsid w:val="00115F02"/>
    <w:rsid w:val="001166FC"/>
    <w:rsid w:val="00116B2C"/>
    <w:rsid w:val="0012044A"/>
    <w:rsid w:val="00122279"/>
    <w:rsid w:val="00122DBE"/>
    <w:rsid w:val="00122F14"/>
    <w:rsid w:val="001230F7"/>
    <w:rsid w:val="00123716"/>
    <w:rsid w:val="001264C4"/>
    <w:rsid w:val="00126858"/>
    <w:rsid w:val="00126BBC"/>
    <w:rsid w:val="00127026"/>
    <w:rsid w:val="00127E5A"/>
    <w:rsid w:val="00130483"/>
    <w:rsid w:val="00130521"/>
    <w:rsid w:val="001314E7"/>
    <w:rsid w:val="00131A80"/>
    <w:rsid w:val="00132428"/>
    <w:rsid w:val="001343B6"/>
    <w:rsid w:val="00134697"/>
    <w:rsid w:val="00134C01"/>
    <w:rsid w:val="00136AEC"/>
    <w:rsid w:val="001379AF"/>
    <w:rsid w:val="00140435"/>
    <w:rsid w:val="00140FE1"/>
    <w:rsid w:val="001413BF"/>
    <w:rsid w:val="00141882"/>
    <w:rsid w:val="00141A1B"/>
    <w:rsid w:val="00144851"/>
    <w:rsid w:val="001500F5"/>
    <w:rsid w:val="00150D74"/>
    <w:rsid w:val="00151BCC"/>
    <w:rsid w:val="00154382"/>
    <w:rsid w:val="00154962"/>
    <w:rsid w:val="00154B08"/>
    <w:rsid w:val="001569BD"/>
    <w:rsid w:val="0016088B"/>
    <w:rsid w:val="001608B6"/>
    <w:rsid w:val="001620E0"/>
    <w:rsid w:val="00162E69"/>
    <w:rsid w:val="001635E6"/>
    <w:rsid w:val="001659CA"/>
    <w:rsid w:val="00167FEB"/>
    <w:rsid w:val="00170993"/>
    <w:rsid w:val="00171DEE"/>
    <w:rsid w:val="0017394E"/>
    <w:rsid w:val="00174CFF"/>
    <w:rsid w:val="0018016B"/>
    <w:rsid w:val="00180ACA"/>
    <w:rsid w:val="001824A0"/>
    <w:rsid w:val="00182DA1"/>
    <w:rsid w:val="0018349F"/>
    <w:rsid w:val="00183BFA"/>
    <w:rsid w:val="0018428F"/>
    <w:rsid w:val="00184350"/>
    <w:rsid w:val="001843F3"/>
    <w:rsid w:val="0018549E"/>
    <w:rsid w:val="001860D3"/>
    <w:rsid w:val="001914F1"/>
    <w:rsid w:val="00191B0F"/>
    <w:rsid w:val="00192555"/>
    <w:rsid w:val="001932DD"/>
    <w:rsid w:val="0019369C"/>
    <w:rsid w:val="00194FEA"/>
    <w:rsid w:val="00195297"/>
    <w:rsid w:val="001955C7"/>
    <w:rsid w:val="001965F1"/>
    <w:rsid w:val="0019688B"/>
    <w:rsid w:val="0019695C"/>
    <w:rsid w:val="001969A0"/>
    <w:rsid w:val="001A102D"/>
    <w:rsid w:val="001A1048"/>
    <w:rsid w:val="001A16C8"/>
    <w:rsid w:val="001A2318"/>
    <w:rsid w:val="001A3552"/>
    <w:rsid w:val="001A40BB"/>
    <w:rsid w:val="001A51FD"/>
    <w:rsid w:val="001A5C59"/>
    <w:rsid w:val="001A6998"/>
    <w:rsid w:val="001A6AD1"/>
    <w:rsid w:val="001A7128"/>
    <w:rsid w:val="001A7216"/>
    <w:rsid w:val="001A797B"/>
    <w:rsid w:val="001B1008"/>
    <w:rsid w:val="001B12D5"/>
    <w:rsid w:val="001B37C0"/>
    <w:rsid w:val="001B47E7"/>
    <w:rsid w:val="001B67D7"/>
    <w:rsid w:val="001C0D27"/>
    <w:rsid w:val="001C3AD2"/>
    <w:rsid w:val="001C3FAF"/>
    <w:rsid w:val="001D1DCD"/>
    <w:rsid w:val="001D22A3"/>
    <w:rsid w:val="001D2A82"/>
    <w:rsid w:val="001D2F7C"/>
    <w:rsid w:val="001D38D1"/>
    <w:rsid w:val="001D3D19"/>
    <w:rsid w:val="001D6978"/>
    <w:rsid w:val="001D794F"/>
    <w:rsid w:val="001E1F04"/>
    <w:rsid w:val="001E2C66"/>
    <w:rsid w:val="001E3A30"/>
    <w:rsid w:val="001E53F4"/>
    <w:rsid w:val="001E5464"/>
    <w:rsid w:val="001E609A"/>
    <w:rsid w:val="001E6B73"/>
    <w:rsid w:val="001E7A5D"/>
    <w:rsid w:val="001E7D48"/>
    <w:rsid w:val="001E7D7C"/>
    <w:rsid w:val="001F20D4"/>
    <w:rsid w:val="001F5680"/>
    <w:rsid w:val="001F78BB"/>
    <w:rsid w:val="00201CD2"/>
    <w:rsid w:val="00201D97"/>
    <w:rsid w:val="0020226C"/>
    <w:rsid w:val="0020377D"/>
    <w:rsid w:val="00204419"/>
    <w:rsid w:val="00204DEC"/>
    <w:rsid w:val="00205CE6"/>
    <w:rsid w:val="002070C4"/>
    <w:rsid w:val="002073AB"/>
    <w:rsid w:val="002100D0"/>
    <w:rsid w:val="002100F4"/>
    <w:rsid w:val="002111EC"/>
    <w:rsid w:val="002126A5"/>
    <w:rsid w:val="0021375E"/>
    <w:rsid w:val="00216F17"/>
    <w:rsid w:val="002171F6"/>
    <w:rsid w:val="002205BB"/>
    <w:rsid w:val="00220AD9"/>
    <w:rsid w:val="002251B8"/>
    <w:rsid w:val="0022630B"/>
    <w:rsid w:val="00231531"/>
    <w:rsid w:val="00232170"/>
    <w:rsid w:val="002345EF"/>
    <w:rsid w:val="00236FE2"/>
    <w:rsid w:val="002371C4"/>
    <w:rsid w:val="002442D8"/>
    <w:rsid w:val="00244979"/>
    <w:rsid w:val="0024536B"/>
    <w:rsid w:val="00246E8E"/>
    <w:rsid w:val="002478CB"/>
    <w:rsid w:val="00247BA2"/>
    <w:rsid w:val="00250F84"/>
    <w:rsid w:val="00251762"/>
    <w:rsid w:val="002527B0"/>
    <w:rsid w:val="00253881"/>
    <w:rsid w:val="002546DA"/>
    <w:rsid w:val="00254FC7"/>
    <w:rsid w:val="002563D1"/>
    <w:rsid w:val="00256808"/>
    <w:rsid w:val="002579BB"/>
    <w:rsid w:val="00260505"/>
    <w:rsid w:val="002624AB"/>
    <w:rsid w:val="002641FB"/>
    <w:rsid w:val="00264F1A"/>
    <w:rsid w:val="00265C84"/>
    <w:rsid w:val="00267C7A"/>
    <w:rsid w:val="002712D5"/>
    <w:rsid w:val="00274604"/>
    <w:rsid w:val="00275A7B"/>
    <w:rsid w:val="00275F53"/>
    <w:rsid w:val="00276053"/>
    <w:rsid w:val="00276521"/>
    <w:rsid w:val="00277361"/>
    <w:rsid w:val="0028141F"/>
    <w:rsid w:val="0028145D"/>
    <w:rsid w:val="00281E98"/>
    <w:rsid w:val="00283027"/>
    <w:rsid w:val="00286E2B"/>
    <w:rsid w:val="00287754"/>
    <w:rsid w:val="00291058"/>
    <w:rsid w:val="00291CE4"/>
    <w:rsid w:val="0029281A"/>
    <w:rsid w:val="00292F16"/>
    <w:rsid w:val="0029564A"/>
    <w:rsid w:val="00296E9D"/>
    <w:rsid w:val="0029708A"/>
    <w:rsid w:val="0029791C"/>
    <w:rsid w:val="002A1A37"/>
    <w:rsid w:val="002A2758"/>
    <w:rsid w:val="002A283D"/>
    <w:rsid w:val="002A41E8"/>
    <w:rsid w:val="002A472D"/>
    <w:rsid w:val="002A7241"/>
    <w:rsid w:val="002B1EB2"/>
    <w:rsid w:val="002B209F"/>
    <w:rsid w:val="002B4EB1"/>
    <w:rsid w:val="002B6A0E"/>
    <w:rsid w:val="002C0BF4"/>
    <w:rsid w:val="002C20D2"/>
    <w:rsid w:val="002C2236"/>
    <w:rsid w:val="002C244A"/>
    <w:rsid w:val="002C3899"/>
    <w:rsid w:val="002C4CCE"/>
    <w:rsid w:val="002D0511"/>
    <w:rsid w:val="002D1468"/>
    <w:rsid w:val="002D3711"/>
    <w:rsid w:val="002D3C8B"/>
    <w:rsid w:val="002D65CC"/>
    <w:rsid w:val="002D6E9A"/>
    <w:rsid w:val="002D7843"/>
    <w:rsid w:val="002E2099"/>
    <w:rsid w:val="002E2807"/>
    <w:rsid w:val="002E2834"/>
    <w:rsid w:val="002E2921"/>
    <w:rsid w:val="002E3519"/>
    <w:rsid w:val="002E51B7"/>
    <w:rsid w:val="002E646F"/>
    <w:rsid w:val="002E7118"/>
    <w:rsid w:val="002E7B1C"/>
    <w:rsid w:val="002F11E5"/>
    <w:rsid w:val="002F165B"/>
    <w:rsid w:val="002F2F4A"/>
    <w:rsid w:val="002F4E4D"/>
    <w:rsid w:val="002F6E8F"/>
    <w:rsid w:val="00303E1C"/>
    <w:rsid w:val="003057D9"/>
    <w:rsid w:val="00305A66"/>
    <w:rsid w:val="003066BF"/>
    <w:rsid w:val="00312064"/>
    <w:rsid w:val="00312722"/>
    <w:rsid w:val="0031310F"/>
    <w:rsid w:val="00320E76"/>
    <w:rsid w:val="00321570"/>
    <w:rsid w:val="00321D5A"/>
    <w:rsid w:val="00325368"/>
    <w:rsid w:val="00330C9E"/>
    <w:rsid w:val="00331378"/>
    <w:rsid w:val="0033176D"/>
    <w:rsid w:val="00331923"/>
    <w:rsid w:val="0033338D"/>
    <w:rsid w:val="0033425C"/>
    <w:rsid w:val="00334C79"/>
    <w:rsid w:val="00335A27"/>
    <w:rsid w:val="00335B0B"/>
    <w:rsid w:val="003365DB"/>
    <w:rsid w:val="003403E4"/>
    <w:rsid w:val="003404BA"/>
    <w:rsid w:val="003410C7"/>
    <w:rsid w:val="00343C42"/>
    <w:rsid w:val="00344970"/>
    <w:rsid w:val="00346259"/>
    <w:rsid w:val="003478F1"/>
    <w:rsid w:val="003504DC"/>
    <w:rsid w:val="0035081D"/>
    <w:rsid w:val="00351012"/>
    <w:rsid w:val="00351229"/>
    <w:rsid w:val="0035158F"/>
    <w:rsid w:val="003546A2"/>
    <w:rsid w:val="00355AE1"/>
    <w:rsid w:val="00357827"/>
    <w:rsid w:val="003612B7"/>
    <w:rsid w:val="003614AA"/>
    <w:rsid w:val="0036283F"/>
    <w:rsid w:val="0036492D"/>
    <w:rsid w:val="00364935"/>
    <w:rsid w:val="00365B87"/>
    <w:rsid w:val="00366DC6"/>
    <w:rsid w:val="0036797B"/>
    <w:rsid w:val="003718D3"/>
    <w:rsid w:val="00371A5A"/>
    <w:rsid w:val="003748AD"/>
    <w:rsid w:val="00377A00"/>
    <w:rsid w:val="00380033"/>
    <w:rsid w:val="0038016C"/>
    <w:rsid w:val="00380A89"/>
    <w:rsid w:val="00382E2D"/>
    <w:rsid w:val="00382EE2"/>
    <w:rsid w:val="00384C59"/>
    <w:rsid w:val="003918A5"/>
    <w:rsid w:val="00391ED9"/>
    <w:rsid w:val="00393FA9"/>
    <w:rsid w:val="003949D9"/>
    <w:rsid w:val="003967C1"/>
    <w:rsid w:val="00396F92"/>
    <w:rsid w:val="00396FB1"/>
    <w:rsid w:val="003A11B6"/>
    <w:rsid w:val="003A23C5"/>
    <w:rsid w:val="003A2807"/>
    <w:rsid w:val="003A29A8"/>
    <w:rsid w:val="003A69BD"/>
    <w:rsid w:val="003B2ABF"/>
    <w:rsid w:val="003B2D01"/>
    <w:rsid w:val="003C20E2"/>
    <w:rsid w:val="003C284E"/>
    <w:rsid w:val="003C30DF"/>
    <w:rsid w:val="003C532C"/>
    <w:rsid w:val="003C5917"/>
    <w:rsid w:val="003C5D58"/>
    <w:rsid w:val="003D0533"/>
    <w:rsid w:val="003D1BCB"/>
    <w:rsid w:val="003D258F"/>
    <w:rsid w:val="003D3777"/>
    <w:rsid w:val="003D428F"/>
    <w:rsid w:val="003D73B8"/>
    <w:rsid w:val="003E2663"/>
    <w:rsid w:val="003E332C"/>
    <w:rsid w:val="003E37A7"/>
    <w:rsid w:val="003E4400"/>
    <w:rsid w:val="003E470E"/>
    <w:rsid w:val="003E4ADE"/>
    <w:rsid w:val="003E568D"/>
    <w:rsid w:val="003E6FC6"/>
    <w:rsid w:val="003E7DD2"/>
    <w:rsid w:val="003F0670"/>
    <w:rsid w:val="003F1948"/>
    <w:rsid w:val="003F1B79"/>
    <w:rsid w:val="003F1F77"/>
    <w:rsid w:val="003F35D1"/>
    <w:rsid w:val="003F4A23"/>
    <w:rsid w:val="003F55CF"/>
    <w:rsid w:val="003F5B73"/>
    <w:rsid w:val="003F646F"/>
    <w:rsid w:val="003F66AC"/>
    <w:rsid w:val="00400128"/>
    <w:rsid w:val="0040029A"/>
    <w:rsid w:val="004029A6"/>
    <w:rsid w:val="00402F04"/>
    <w:rsid w:val="00404660"/>
    <w:rsid w:val="00404969"/>
    <w:rsid w:val="0040573B"/>
    <w:rsid w:val="00407177"/>
    <w:rsid w:val="00407DAD"/>
    <w:rsid w:val="00413B34"/>
    <w:rsid w:val="00413DD2"/>
    <w:rsid w:val="00414823"/>
    <w:rsid w:val="0041507C"/>
    <w:rsid w:val="00415193"/>
    <w:rsid w:val="00416E40"/>
    <w:rsid w:val="00420B0F"/>
    <w:rsid w:val="00420CE9"/>
    <w:rsid w:val="00421F60"/>
    <w:rsid w:val="004238DA"/>
    <w:rsid w:val="00424E7D"/>
    <w:rsid w:val="004278EE"/>
    <w:rsid w:val="004304A1"/>
    <w:rsid w:val="00430759"/>
    <w:rsid w:val="004308FB"/>
    <w:rsid w:val="004309DD"/>
    <w:rsid w:val="00430D70"/>
    <w:rsid w:val="00431277"/>
    <w:rsid w:val="00432341"/>
    <w:rsid w:val="004328D0"/>
    <w:rsid w:val="004338F6"/>
    <w:rsid w:val="00434697"/>
    <w:rsid w:val="0043657E"/>
    <w:rsid w:val="00436F66"/>
    <w:rsid w:val="004408C5"/>
    <w:rsid w:val="00442383"/>
    <w:rsid w:val="00443E4D"/>
    <w:rsid w:val="00445517"/>
    <w:rsid w:val="00445936"/>
    <w:rsid w:val="00445A95"/>
    <w:rsid w:val="00445E71"/>
    <w:rsid w:val="0044767F"/>
    <w:rsid w:val="004506C3"/>
    <w:rsid w:val="004512B0"/>
    <w:rsid w:val="00451554"/>
    <w:rsid w:val="0045197E"/>
    <w:rsid w:val="00452A34"/>
    <w:rsid w:val="004530B6"/>
    <w:rsid w:val="0045352A"/>
    <w:rsid w:val="00457EC8"/>
    <w:rsid w:val="00461747"/>
    <w:rsid w:val="00461FCE"/>
    <w:rsid w:val="00464E3A"/>
    <w:rsid w:val="004654FC"/>
    <w:rsid w:val="00466872"/>
    <w:rsid w:val="004707C8"/>
    <w:rsid w:val="00471610"/>
    <w:rsid w:val="004716CA"/>
    <w:rsid w:val="004722D5"/>
    <w:rsid w:val="00472487"/>
    <w:rsid w:val="004727FC"/>
    <w:rsid w:val="00474F7D"/>
    <w:rsid w:val="0047596E"/>
    <w:rsid w:val="0047663E"/>
    <w:rsid w:val="004768AA"/>
    <w:rsid w:val="00477219"/>
    <w:rsid w:val="0047798F"/>
    <w:rsid w:val="00481172"/>
    <w:rsid w:val="004870C4"/>
    <w:rsid w:val="004870F6"/>
    <w:rsid w:val="00487CD6"/>
    <w:rsid w:val="004915A6"/>
    <w:rsid w:val="00492AD7"/>
    <w:rsid w:val="0049306C"/>
    <w:rsid w:val="00493A43"/>
    <w:rsid w:val="00494724"/>
    <w:rsid w:val="00494F05"/>
    <w:rsid w:val="004968E5"/>
    <w:rsid w:val="004977B4"/>
    <w:rsid w:val="004A0030"/>
    <w:rsid w:val="004A0AB8"/>
    <w:rsid w:val="004A2F26"/>
    <w:rsid w:val="004A357A"/>
    <w:rsid w:val="004A5686"/>
    <w:rsid w:val="004A6498"/>
    <w:rsid w:val="004A6E76"/>
    <w:rsid w:val="004B4632"/>
    <w:rsid w:val="004B68DD"/>
    <w:rsid w:val="004C10D9"/>
    <w:rsid w:val="004C1449"/>
    <w:rsid w:val="004C6D45"/>
    <w:rsid w:val="004C6D48"/>
    <w:rsid w:val="004C744C"/>
    <w:rsid w:val="004C77B2"/>
    <w:rsid w:val="004D11E3"/>
    <w:rsid w:val="004D26EE"/>
    <w:rsid w:val="004D3335"/>
    <w:rsid w:val="004D6193"/>
    <w:rsid w:val="004E0C23"/>
    <w:rsid w:val="004E1795"/>
    <w:rsid w:val="004E2669"/>
    <w:rsid w:val="004E29FB"/>
    <w:rsid w:val="004E2A77"/>
    <w:rsid w:val="004F0A7D"/>
    <w:rsid w:val="004F182F"/>
    <w:rsid w:val="004F1A79"/>
    <w:rsid w:val="004F205C"/>
    <w:rsid w:val="004F4551"/>
    <w:rsid w:val="004F588F"/>
    <w:rsid w:val="004F6DA6"/>
    <w:rsid w:val="0050380D"/>
    <w:rsid w:val="005041DC"/>
    <w:rsid w:val="00505A8B"/>
    <w:rsid w:val="005064BA"/>
    <w:rsid w:val="00507E7D"/>
    <w:rsid w:val="005113B1"/>
    <w:rsid w:val="0051659D"/>
    <w:rsid w:val="0051715A"/>
    <w:rsid w:val="00517E7F"/>
    <w:rsid w:val="00522031"/>
    <w:rsid w:val="00522FD9"/>
    <w:rsid w:val="00523874"/>
    <w:rsid w:val="00524325"/>
    <w:rsid w:val="00524528"/>
    <w:rsid w:val="0052453B"/>
    <w:rsid w:val="0052457C"/>
    <w:rsid w:val="0052578C"/>
    <w:rsid w:val="00527316"/>
    <w:rsid w:val="005274AC"/>
    <w:rsid w:val="00527AEA"/>
    <w:rsid w:val="00530782"/>
    <w:rsid w:val="00530C1E"/>
    <w:rsid w:val="00533CE0"/>
    <w:rsid w:val="00540A35"/>
    <w:rsid w:val="00540D0B"/>
    <w:rsid w:val="00542415"/>
    <w:rsid w:val="00542A52"/>
    <w:rsid w:val="00544B50"/>
    <w:rsid w:val="0054671B"/>
    <w:rsid w:val="00546D43"/>
    <w:rsid w:val="00551018"/>
    <w:rsid w:val="005548D4"/>
    <w:rsid w:val="0055618B"/>
    <w:rsid w:val="00556E9B"/>
    <w:rsid w:val="00560838"/>
    <w:rsid w:val="005616ED"/>
    <w:rsid w:val="0056354C"/>
    <w:rsid w:val="005650DD"/>
    <w:rsid w:val="00565791"/>
    <w:rsid w:val="0056723E"/>
    <w:rsid w:val="00570399"/>
    <w:rsid w:val="0057405A"/>
    <w:rsid w:val="00574E81"/>
    <w:rsid w:val="00576909"/>
    <w:rsid w:val="005800AF"/>
    <w:rsid w:val="005814E4"/>
    <w:rsid w:val="00584001"/>
    <w:rsid w:val="00584191"/>
    <w:rsid w:val="005841CE"/>
    <w:rsid w:val="00584B9C"/>
    <w:rsid w:val="00585A00"/>
    <w:rsid w:val="0058669B"/>
    <w:rsid w:val="0058689B"/>
    <w:rsid w:val="005878D7"/>
    <w:rsid w:val="00592EF6"/>
    <w:rsid w:val="00593FB1"/>
    <w:rsid w:val="005947BE"/>
    <w:rsid w:val="005975A8"/>
    <w:rsid w:val="005A0B93"/>
    <w:rsid w:val="005A1E11"/>
    <w:rsid w:val="005A2234"/>
    <w:rsid w:val="005A2D4F"/>
    <w:rsid w:val="005A3C6F"/>
    <w:rsid w:val="005A3C80"/>
    <w:rsid w:val="005A4946"/>
    <w:rsid w:val="005A6598"/>
    <w:rsid w:val="005A6E2B"/>
    <w:rsid w:val="005B07F6"/>
    <w:rsid w:val="005B1420"/>
    <w:rsid w:val="005B179C"/>
    <w:rsid w:val="005B226C"/>
    <w:rsid w:val="005B2864"/>
    <w:rsid w:val="005B3FCB"/>
    <w:rsid w:val="005B402C"/>
    <w:rsid w:val="005B42CE"/>
    <w:rsid w:val="005B518B"/>
    <w:rsid w:val="005B5C2D"/>
    <w:rsid w:val="005B61B6"/>
    <w:rsid w:val="005B65E7"/>
    <w:rsid w:val="005C0877"/>
    <w:rsid w:val="005C3A33"/>
    <w:rsid w:val="005C3ECC"/>
    <w:rsid w:val="005C3ED5"/>
    <w:rsid w:val="005C5206"/>
    <w:rsid w:val="005C569E"/>
    <w:rsid w:val="005C58E1"/>
    <w:rsid w:val="005C733F"/>
    <w:rsid w:val="005D2327"/>
    <w:rsid w:val="005D301C"/>
    <w:rsid w:val="005D3193"/>
    <w:rsid w:val="005D35DA"/>
    <w:rsid w:val="005D5406"/>
    <w:rsid w:val="005D5FFB"/>
    <w:rsid w:val="005D6FD4"/>
    <w:rsid w:val="005D78E6"/>
    <w:rsid w:val="005E0EC1"/>
    <w:rsid w:val="005E14EB"/>
    <w:rsid w:val="005E3912"/>
    <w:rsid w:val="005E4B08"/>
    <w:rsid w:val="005F03D4"/>
    <w:rsid w:val="005F1CB9"/>
    <w:rsid w:val="005F2989"/>
    <w:rsid w:val="005F2A1C"/>
    <w:rsid w:val="005F31F4"/>
    <w:rsid w:val="005F349B"/>
    <w:rsid w:val="005F3ED4"/>
    <w:rsid w:val="0060196E"/>
    <w:rsid w:val="0060202F"/>
    <w:rsid w:val="00602C7C"/>
    <w:rsid w:val="00604F33"/>
    <w:rsid w:val="00606B81"/>
    <w:rsid w:val="00607C19"/>
    <w:rsid w:val="006100FA"/>
    <w:rsid w:val="00613C80"/>
    <w:rsid w:val="00615E12"/>
    <w:rsid w:val="00616691"/>
    <w:rsid w:val="00617512"/>
    <w:rsid w:val="006203E7"/>
    <w:rsid w:val="00621EA9"/>
    <w:rsid w:val="006220D5"/>
    <w:rsid w:val="00622324"/>
    <w:rsid w:val="00623B5A"/>
    <w:rsid w:val="006244FE"/>
    <w:rsid w:val="00625737"/>
    <w:rsid w:val="006258C9"/>
    <w:rsid w:val="00625EB5"/>
    <w:rsid w:val="00626027"/>
    <w:rsid w:val="00626D79"/>
    <w:rsid w:val="00632225"/>
    <w:rsid w:val="006327AB"/>
    <w:rsid w:val="006344EE"/>
    <w:rsid w:val="0063529A"/>
    <w:rsid w:val="006359A8"/>
    <w:rsid w:val="0063730A"/>
    <w:rsid w:val="00640179"/>
    <w:rsid w:val="00643BC3"/>
    <w:rsid w:val="00643EDE"/>
    <w:rsid w:val="00650A31"/>
    <w:rsid w:val="00650D2F"/>
    <w:rsid w:val="0065203D"/>
    <w:rsid w:val="00652509"/>
    <w:rsid w:val="00655FCA"/>
    <w:rsid w:val="0065616E"/>
    <w:rsid w:val="0065684A"/>
    <w:rsid w:val="0066186B"/>
    <w:rsid w:val="00661A90"/>
    <w:rsid w:val="00661D01"/>
    <w:rsid w:val="00663927"/>
    <w:rsid w:val="00663C73"/>
    <w:rsid w:val="00664975"/>
    <w:rsid w:val="00664DA3"/>
    <w:rsid w:val="00665526"/>
    <w:rsid w:val="0066571C"/>
    <w:rsid w:val="00665BBE"/>
    <w:rsid w:val="00666FD6"/>
    <w:rsid w:val="00670CC0"/>
    <w:rsid w:val="00671873"/>
    <w:rsid w:val="006738BE"/>
    <w:rsid w:val="0067435A"/>
    <w:rsid w:val="0067445D"/>
    <w:rsid w:val="00674AB3"/>
    <w:rsid w:val="006755AB"/>
    <w:rsid w:val="00677694"/>
    <w:rsid w:val="006806B0"/>
    <w:rsid w:val="006817A0"/>
    <w:rsid w:val="006827C6"/>
    <w:rsid w:val="00683272"/>
    <w:rsid w:val="00683B4A"/>
    <w:rsid w:val="006843CC"/>
    <w:rsid w:val="006867F0"/>
    <w:rsid w:val="00687BCE"/>
    <w:rsid w:val="00687CE4"/>
    <w:rsid w:val="00691283"/>
    <w:rsid w:val="00691729"/>
    <w:rsid w:val="00693FB1"/>
    <w:rsid w:val="006948F4"/>
    <w:rsid w:val="00695A34"/>
    <w:rsid w:val="006A058F"/>
    <w:rsid w:val="006A18D5"/>
    <w:rsid w:val="006A3371"/>
    <w:rsid w:val="006A761F"/>
    <w:rsid w:val="006B0F5E"/>
    <w:rsid w:val="006B628A"/>
    <w:rsid w:val="006B6298"/>
    <w:rsid w:val="006B76F1"/>
    <w:rsid w:val="006B7C69"/>
    <w:rsid w:val="006C2781"/>
    <w:rsid w:val="006C2A23"/>
    <w:rsid w:val="006C30FC"/>
    <w:rsid w:val="006C5683"/>
    <w:rsid w:val="006C69C1"/>
    <w:rsid w:val="006C75FC"/>
    <w:rsid w:val="006D089E"/>
    <w:rsid w:val="006D0D8D"/>
    <w:rsid w:val="006D25B0"/>
    <w:rsid w:val="006E32DE"/>
    <w:rsid w:val="006E4E42"/>
    <w:rsid w:val="006E5B5E"/>
    <w:rsid w:val="006E7320"/>
    <w:rsid w:val="006F0758"/>
    <w:rsid w:val="006F27FD"/>
    <w:rsid w:val="006F2BF9"/>
    <w:rsid w:val="006F4C74"/>
    <w:rsid w:val="006F7A23"/>
    <w:rsid w:val="006F7EA4"/>
    <w:rsid w:val="006F7ED4"/>
    <w:rsid w:val="007006B5"/>
    <w:rsid w:val="007006EA"/>
    <w:rsid w:val="00701191"/>
    <w:rsid w:val="00701E72"/>
    <w:rsid w:val="00702DE8"/>
    <w:rsid w:val="0070452E"/>
    <w:rsid w:val="007045F9"/>
    <w:rsid w:val="00705002"/>
    <w:rsid w:val="0070525A"/>
    <w:rsid w:val="00705A42"/>
    <w:rsid w:val="00705C10"/>
    <w:rsid w:val="00705E5E"/>
    <w:rsid w:val="007069E3"/>
    <w:rsid w:val="0070712B"/>
    <w:rsid w:val="0070728F"/>
    <w:rsid w:val="00710486"/>
    <w:rsid w:val="007106EC"/>
    <w:rsid w:val="00711336"/>
    <w:rsid w:val="007116B6"/>
    <w:rsid w:val="00713FAF"/>
    <w:rsid w:val="0071520B"/>
    <w:rsid w:val="0071615B"/>
    <w:rsid w:val="007176BA"/>
    <w:rsid w:val="00717D82"/>
    <w:rsid w:val="00717DFC"/>
    <w:rsid w:val="00721722"/>
    <w:rsid w:val="00723C2D"/>
    <w:rsid w:val="007256BE"/>
    <w:rsid w:val="00727134"/>
    <w:rsid w:val="00730C9F"/>
    <w:rsid w:val="00731EBC"/>
    <w:rsid w:val="0073218D"/>
    <w:rsid w:val="00732EA7"/>
    <w:rsid w:val="00733791"/>
    <w:rsid w:val="00735E86"/>
    <w:rsid w:val="007363EA"/>
    <w:rsid w:val="00737AA3"/>
    <w:rsid w:val="00737D84"/>
    <w:rsid w:val="007412B8"/>
    <w:rsid w:val="00742844"/>
    <w:rsid w:val="007444B3"/>
    <w:rsid w:val="00747DAE"/>
    <w:rsid w:val="00751657"/>
    <w:rsid w:val="00752614"/>
    <w:rsid w:val="00756C64"/>
    <w:rsid w:val="00756CCF"/>
    <w:rsid w:val="0075788D"/>
    <w:rsid w:val="00757EF5"/>
    <w:rsid w:val="007622AE"/>
    <w:rsid w:val="00762893"/>
    <w:rsid w:val="007628F9"/>
    <w:rsid w:val="0076471F"/>
    <w:rsid w:val="007660B0"/>
    <w:rsid w:val="0076610D"/>
    <w:rsid w:val="007666DD"/>
    <w:rsid w:val="007668B2"/>
    <w:rsid w:val="00770365"/>
    <w:rsid w:val="007704B8"/>
    <w:rsid w:val="00770FAA"/>
    <w:rsid w:val="00772942"/>
    <w:rsid w:val="0077295F"/>
    <w:rsid w:val="0077442B"/>
    <w:rsid w:val="00774773"/>
    <w:rsid w:val="007755E6"/>
    <w:rsid w:val="0077724D"/>
    <w:rsid w:val="00777370"/>
    <w:rsid w:val="00777E67"/>
    <w:rsid w:val="00780BCF"/>
    <w:rsid w:val="00781212"/>
    <w:rsid w:val="007828B7"/>
    <w:rsid w:val="00783F16"/>
    <w:rsid w:val="00784045"/>
    <w:rsid w:val="00785979"/>
    <w:rsid w:val="00785CC4"/>
    <w:rsid w:val="00785EE7"/>
    <w:rsid w:val="0079036C"/>
    <w:rsid w:val="00791E8C"/>
    <w:rsid w:val="00793B23"/>
    <w:rsid w:val="007944E6"/>
    <w:rsid w:val="007956E7"/>
    <w:rsid w:val="00797FA0"/>
    <w:rsid w:val="007A28D9"/>
    <w:rsid w:val="007A28E5"/>
    <w:rsid w:val="007A2B66"/>
    <w:rsid w:val="007A353C"/>
    <w:rsid w:val="007A383D"/>
    <w:rsid w:val="007A49D6"/>
    <w:rsid w:val="007A4EA0"/>
    <w:rsid w:val="007A6670"/>
    <w:rsid w:val="007B24F4"/>
    <w:rsid w:val="007B32AD"/>
    <w:rsid w:val="007B47A9"/>
    <w:rsid w:val="007B5D75"/>
    <w:rsid w:val="007B6439"/>
    <w:rsid w:val="007B7701"/>
    <w:rsid w:val="007B7978"/>
    <w:rsid w:val="007B7BAA"/>
    <w:rsid w:val="007C038F"/>
    <w:rsid w:val="007C139C"/>
    <w:rsid w:val="007C16E1"/>
    <w:rsid w:val="007C1751"/>
    <w:rsid w:val="007C1E6E"/>
    <w:rsid w:val="007C2180"/>
    <w:rsid w:val="007C22FB"/>
    <w:rsid w:val="007C27BC"/>
    <w:rsid w:val="007C2EE8"/>
    <w:rsid w:val="007C3182"/>
    <w:rsid w:val="007C51F2"/>
    <w:rsid w:val="007C543B"/>
    <w:rsid w:val="007C55A4"/>
    <w:rsid w:val="007C611A"/>
    <w:rsid w:val="007C6489"/>
    <w:rsid w:val="007D0255"/>
    <w:rsid w:val="007D3F02"/>
    <w:rsid w:val="007D494D"/>
    <w:rsid w:val="007D5069"/>
    <w:rsid w:val="007D519F"/>
    <w:rsid w:val="007D5B2F"/>
    <w:rsid w:val="007D7461"/>
    <w:rsid w:val="007E210F"/>
    <w:rsid w:val="007E2BFA"/>
    <w:rsid w:val="007E2FDB"/>
    <w:rsid w:val="007E39E7"/>
    <w:rsid w:val="007E5595"/>
    <w:rsid w:val="007E578F"/>
    <w:rsid w:val="007E5EB1"/>
    <w:rsid w:val="007E6ACB"/>
    <w:rsid w:val="007F101A"/>
    <w:rsid w:val="007F1250"/>
    <w:rsid w:val="007F2C52"/>
    <w:rsid w:val="007F3638"/>
    <w:rsid w:val="007F3F88"/>
    <w:rsid w:val="00802F98"/>
    <w:rsid w:val="00804D2C"/>
    <w:rsid w:val="00805F83"/>
    <w:rsid w:val="00806091"/>
    <w:rsid w:val="008068AF"/>
    <w:rsid w:val="00810FE4"/>
    <w:rsid w:val="0081273B"/>
    <w:rsid w:val="00812B9F"/>
    <w:rsid w:val="008135DF"/>
    <w:rsid w:val="008136F1"/>
    <w:rsid w:val="008138CF"/>
    <w:rsid w:val="0081486E"/>
    <w:rsid w:val="0081704B"/>
    <w:rsid w:val="0082303E"/>
    <w:rsid w:val="00825D7C"/>
    <w:rsid w:val="0082600C"/>
    <w:rsid w:val="00827414"/>
    <w:rsid w:val="008306EF"/>
    <w:rsid w:val="00831E99"/>
    <w:rsid w:val="008343AC"/>
    <w:rsid w:val="008373DD"/>
    <w:rsid w:val="00837433"/>
    <w:rsid w:val="0084164C"/>
    <w:rsid w:val="008422A5"/>
    <w:rsid w:val="00845057"/>
    <w:rsid w:val="008467F1"/>
    <w:rsid w:val="008468BB"/>
    <w:rsid w:val="00846DAB"/>
    <w:rsid w:val="008506FF"/>
    <w:rsid w:val="00851238"/>
    <w:rsid w:val="00851B19"/>
    <w:rsid w:val="00851D86"/>
    <w:rsid w:val="00852A98"/>
    <w:rsid w:val="00853F52"/>
    <w:rsid w:val="00854284"/>
    <w:rsid w:val="008544A7"/>
    <w:rsid w:val="00854E6C"/>
    <w:rsid w:val="00855D95"/>
    <w:rsid w:val="008566D6"/>
    <w:rsid w:val="00856A61"/>
    <w:rsid w:val="00857725"/>
    <w:rsid w:val="00860AA9"/>
    <w:rsid w:val="00862EA3"/>
    <w:rsid w:val="00863612"/>
    <w:rsid w:val="0086391D"/>
    <w:rsid w:val="00863D69"/>
    <w:rsid w:val="0086420F"/>
    <w:rsid w:val="00864DCD"/>
    <w:rsid w:val="00865A3C"/>
    <w:rsid w:val="00866C37"/>
    <w:rsid w:val="0087049A"/>
    <w:rsid w:val="00870B8C"/>
    <w:rsid w:val="00871210"/>
    <w:rsid w:val="008718F4"/>
    <w:rsid w:val="0087190C"/>
    <w:rsid w:val="00871B10"/>
    <w:rsid w:val="0087257D"/>
    <w:rsid w:val="0087359A"/>
    <w:rsid w:val="00874324"/>
    <w:rsid w:val="008748A3"/>
    <w:rsid w:val="008825CC"/>
    <w:rsid w:val="0088299D"/>
    <w:rsid w:val="00884AE4"/>
    <w:rsid w:val="008865A4"/>
    <w:rsid w:val="00887103"/>
    <w:rsid w:val="008913A9"/>
    <w:rsid w:val="00892367"/>
    <w:rsid w:val="00892AD7"/>
    <w:rsid w:val="008931E4"/>
    <w:rsid w:val="00893884"/>
    <w:rsid w:val="00893D1B"/>
    <w:rsid w:val="00894352"/>
    <w:rsid w:val="00894724"/>
    <w:rsid w:val="00894B01"/>
    <w:rsid w:val="0089509A"/>
    <w:rsid w:val="00895264"/>
    <w:rsid w:val="00895FC8"/>
    <w:rsid w:val="00897536"/>
    <w:rsid w:val="00897AC9"/>
    <w:rsid w:val="008A1116"/>
    <w:rsid w:val="008A1EF5"/>
    <w:rsid w:val="008A2D10"/>
    <w:rsid w:val="008A6971"/>
    <w:rsid w:val="008A768E"/>
    <w:rsid w:val="008A76B7"/>
    <w:rsid w:val="008B0B3B"/>
    <w:rsid w:val="008B774A"/>
    <w:rsid w:val="008C2305"/>
    <w:rsid w:val="008C26DE"/>
    <w:rsid w:val="008C46D5"/>
    <w:rsid w:val="008C4E0D"/>
    <w:rsid w:val="008C6FFB"/>
    <w:rsid w:val="008D069D"/>
    <w:rsid w:val="008D0790"/>
    <w:rsid w:val="008D1006"/>
    <w:rsid w:val="008D1FA4"/>
    <w:rsid w:val="008D2427"/>
    <w:rsid w:val="008D3557"/>
    <w:rsid w:val="008D434B"/>
    <w:rsid w:val="008D4CC3"/>
    <w:rsid w:val="008D5A8D"/>
    <w:rsid w:val="008D5F54"/>
    <w:rsid w:val="008D6811"/>
    <w:rsid w:val="008D6FED"/>
    <w:rsid w:val="008E02E0"/>
    <w:rsid w:val="008E1F05"/>
    <w:rsid w:val="008E64AD"/>
    <w:rsid w:val="008E6A45"/>
    <w:rsid w:val="008F108B"/>
    <w:rsid w:val="008F118C"/>
    <w:rsid w:val="008F12F4"/>
    <w:rsid w:val="008F1896"/>
    <w:rsid w:val="008F238C"/>
    <w:rsid w:val="008F28C7"/>
    <w:rsid w:val="008F625F"/>
    <w:rsid w:val="008F7317"/>
    <w:rsid w:val="0090152E"/>
    <w:rsid w:val="00901CBF"/>
    <w:rsid w:val="0090248C"/>
    <w:rsid w:val="00902B65"/>
    <w:rsid w:val="009031FC"/>
    <w:rsid w:val="00905E51"/>
    <w:rsid w:val="009060CA"/>
    <w:rsid w:val="00907930"/>
    <w:rsid w:val="00910384"/>
    <w:rsid w:val="009115E2"/>
    <w:rsid w:val="00912870"/>
    <w:rsid w:val="00912B91"/>
    <w:rsid w:val="009142CD"/>
    <w:rsid w:val="009145CB"/>
    <w:rsid w:val="009152A0"/>
    <w:rsid w:val="00920A3F"/>
    <w:rsid w:val="00920D74"/>
    <w:rsid w:val="009220A2"/>
    <w:rsid w:val="009226EB"/>
    <w:rsid w:val="00922E46"/>
    <w:rsid w:val="00924ACD"/>
    <w:rsid w:val="009254D3"/>
    <w:rsid w:val="009269B5"/>
    <w:rsid w:val="009273CA"/>
    <w:rsid w:val="0092743C"/>
    <w:rsid w:val="009303E1"/>
    <w:rsid w:val="00930761"/>
    <w:rsid w:val="00935D41"/>
    <w:rsid w:val="00936DE3"/>
    <w:rsid w:val="00937040"/>
    <w:rsid w:val="00941CD2"/>
    <w:rsid w:val="00943303"/>
    <w:rsid w:val="009438C6"/>
    <w:rsid w:val="00943B2C"/>
    <w:rsid w:val="00945648"/>
    <w:rsid w:val="009456A8"/>
    <w:rsid w:val="00945CB6"/>
    <w:rsid w:val="00946EA8"/>
    <w:rsid w:val="00947BC4"/>
    <w:rsid w:val="009507F6"/>
    <w:rsid w:val="00950A5E"/>
    <w:rsid w:val="0095156D"/>
    <w:rsid w:val="00952B2D"/>
    <w:rsid w:val="00953302"/>
    <w:rsid w:val="00954BF0"/>
    <w:rsid w:val="0095624B"/>
    <w:rsid w:val="009562A5"/>
    <w:rsid w:val="00957E24"/>
    <w:rsid w:val="009644FB"/>
    <w:rsid w:val="00964BAF"/>
    <w:rsid w:val="00965B50"/>
    <w:rsid w:val="00965E7E"/>
    <w:rsid w:val="00965F6B"/>
    <w:rsid w:val="009670AF"/>
    <w:rsid w:val="009707C0"/>
    <w:rsid w:val="00970D4D"/>
    <w:rsid w:val="00971736"/>
    <w:rsid w:val="0097210C"/>
    <w:rsid w:val="009757F2"/>
    <w:rsid w:val="00983838"/>
    <w:rsid w:val="00985522"/>
    <w:rsid w:val="009857E8"/>
    <w:rsid w:val="00985B4D"/>
    <w:rsid w:val="00986672"/>
    <w:rsid w:val="009872D7"/>
    <w:rsid w:val="00987652"/>
    <w:rsid w:val="00993BC2"/>
    <w:rsid w:val="00994493"/>
    <w:rsid w:val="00994E33"/>
    <w:rsid w:val="00996591"/>
    <w:rsid w:val="00997707"/>
    <w:rsid w:val="009A0F91"/>
    <w:rsid w:val="009A3547"/>
    <w:rsid w:val="009A57A0"/>
    <w:rsid w:val="009A7C0F"/>
    <w:rsid w:val="009B217B"/>
    <w:rsid w:val="009B26DD"/>
    <w:rsid w:val="009B6D28"/>
    <w:rsid w:val="009C0313"/>
    <w:rsid w:val="009C056C"/>
    <w:rsid w:val="009C1BA0"/>
    <w:rsid w:val="009C1F97"/>
    <w:rsid w:val="009C7330"/>
    <w:rsid w:val="009D1289"/>
    <w:rsid w:val="009D1ECF"/>
    <w:rsid w:val="009D394B"/>
    <w:rsid w:val="009D5175"/>
    <w:rsid w:val="009D69AE"/>
    <w:rsid w:val="009E07AC"/>
    <w:rsid w:val="009E0B04"/>
    <w:rsid w:val="009E1E96"/>
    <w:rsid w:val="009E25E5"/>
    <w:rsid w:val="009E37B5"/>
    <w:rsid w:val="009E43E3"/>
    <w:rsid w:val="009E5E62"/>
    <w:rsid w:val="009E5E74"/>
    <w:rsid w:val="009E63D0"/>
    <w:rsid w:val="009E646A"/>
    <w:rsid w:val="009E66B2"/>
    <w:rsid w:val="009E6B20"/>
    <w:rsid w:val="009E6C63"/>
    <w:rsid w:val="009F09A6"/>
    <w:rsid w:val="009F105F"/>
    <w:rsid w:val="009F1451"/>
    <w:rsid w:val="009F2204"/>
    <w:rsid w:val="009F6036"/>
    <w:rsid w:val="009F6A26"/>
    <w:rsid w:val="009F6E58"/>
    <w:rsid w:val="00A00432"/>
    <w:rsid w:val="00A01A51"/>
    <w:rsid w:val="00A01B36"/>
    <w:rsid w:val="00A01BBB"/>
    <w:rsid w:val="00A0365C"/>
    <w:rsid w:val="00A03AFF"/>
    <w:rsid w:val="00A05E82"/>
    <w:rsid w:val="00A06D0E"/>
    <w:rsid w:val="00A077B3"/>
    <w:rsid w:val="00A12143"/>
    <w:rsid w:val="00A1214F"/>
    <w:rsid w:val="00A12409"/>
    <w:rsid w:val="00A12544"/>
    <w:rsid w:val="00A13B8E"/>
    <w:rsid w:val="00A15196"/>
    <w:rsid w:val="00A157B1"/>
    <w:rsid w:val="00A17F65"/>
    <w:rsid w:val="00A224FA"/>
    <w:rsid w:val="00A22DEA"/>
    <w:rsid w:val="00A2335F"/>
    <w:rsid w:val="00A24656"/>
    <w:rsid w:val="00A24EEB"/>
    <w:rsid w:val="00A251C9"/>
    <w:rsid w:val="00A2568B"/>
    <w:rsid w:val="00A4456B"/>
    <w:rsid w:val="00A44DF5"/>
    <w:rsid w:val="00A44FDF"/>
    <w:rsid w:val="00A46B90"/>
    <w:rsid w:val="00A50871"/>
    <w:rsid w:val="00A52ACE"/>
    <w:rsid w:val="00A551C7"/>
    <w:rsid w:val="00A61521"/>
    <w:rsid w:val="00A619C6"/>
    <w:rsid w:val="00A630AD"/>
    <w:rsid w:val="00A64FEF"/>
    <w:rsid w:val="00A65874"/>
    <w:rsid w:val="00A676F2"/>
    <w:rsid w:val="00A70839"/>
    <w:rsid w:val="00A71239"/>
    <w:rsid w:val="00A72563"/>
    <w:rsid w:val="00A72AC1"/>
    <w:rsid w:val="00A733E5"/>
    <w:rsid w:val="00A73F1F"/>
    <w:rsid w:val="00A75DAD"/>
    <w:rsid w:val="00A75F5C"/>
    <w:rsid w:val="00A775CA"/>
    <w:rsid w:val="00A77BE4"/>
    <w:rsid w:val="00A80FE9"/>
    <w:rsid w:val="00A8393D"/>
    <w:rsid w:val="00A83EAE"/>
    <w:rsid w:val="00A86A12"/>
    <w:rsid w:val="00A877BD"/>
    <w:rsid w:val="00A910AE"/>
    <w:rsid w:val="00A92002"/>
    <w:rsid w:val="00A9395B"/>
    <w:rsid w:val="00A94254"/>
    <w:rsid w:val="00A95764"/>
    <w:rsid w:val="00A95E27"/>
    <w:rsid w:val="00A96C63"/>
    <w:rsid w:val="00AA02E0"/>
    <w:rsid w:val="00AA04A6"/>
    <w:rsid w:val="00AA28FD"/>
    <w:rsid w:val="00AA2D4B"/>
    <w:rsid w:val="00AA575F"/>
    <w:rsid w:val="00AA6C00"/>
    <w:rsid w:val="00AB1183"/>
    <w:rsid w:val="00AB2B43"/>
    <w:rsid w:val="00AB3CF2"/>
    <w:rsid w:val="00AB4CE3"/>
    <w:rsid w:val="00AB53EF"/>
    <w:rsid w:val="00AB665A"/>
    <w:rsid w:val="00AB70B6"/>
    <w:rsid w:val="00AB77CE"/>
    <w:rsid w:val="00AC0A54"/>
    <w:rsid w:val="00AC1428"/>
    <w:rsid w:val="00AC404B"/>
    <w:rsid w:val="00AC405F"/>
    <w:rsid w:val="00AC511C"/>
    <w:rsid w:val="00AC6DC9"/>
    <w:rsid w:val="00AC7542"/>
    <w:rsid w:val="00AD022E"/>
    <w:rsid w:val="00AD2B0A"/>
    <w:rsid w:val="00AD2D38"/>
    <w:rsid w:val="00AD486D"/>
    <w:rsid w:val="00AD5B3B"/>
    <w:rsid w:val="00AD6415"/>
    <w:rsid w:val="00AD7268"/>
    <w:rsid w:val="00AE031F"/>
    <w:rsid w:val="00AE18C2"/>
    <w:rsid w:val="00AE1BBD"/>
    <w:rsid w:val="00AE2146"/>
    <w:rsid w:val="00AE27F0"/>
    <w:rsid w:val="00AE460D"/>
    <w:rsid w:val="00AE7B39"/>
    <w:rsid w:val="00AF1BE2"/>
    <w:rsid w:val="00AF34CF"/>
    <w:rsid w:val="00AF5D42"/>
    <w:rsid w:val="00AF60B7"/>
    <w:rsid w:val="00AF67D8"/>
    <w:rsid w:val="00B0151D"/>
    <w:rsid w:val="00B029AD"/>
    <w:rsid w:val="00B02EDF"/>
    <w:rsid w:val="00B0430B"/>
    <w:rsid w:val="00B04F23"/>
    <w:rsid w:val="00B052CE"/>
    <w:rsid w:val="00B06D50"/>
    <w:rsid w:val="00B07D2E"/>
    <w:rsid w:val="00B10038"/>
    <w:rsid w:val="00B12ED4"/>
    <w:rsid w:val="00B13F4A"/>
    <w:rsid w:val="00B1472F"/>
    <w:rsid w:val="00B20A1E"/>
    <w:rsid w:val="00B20D19"/>
    <w:rsid w:val="00B2100C"/>
    <w:rsid w:val="00B21451"/>
    <w:rsid w:val="00B24A04"/>
    <w:rsid w:val="00B256AB"/>
    <w:rsid w:val="00B26A0A"/>
    <w:rsid w:val="00B2705F"/>
    <w:rsid w:val="00B27100"/>
    <w:rsid w:val="00B27310"/>
    <w:rsid w:val="00B275F6"/>
    <w:rsid w:val="00B27E0B"/>
    <w:rsid w:val="00B33629"/>
    <w:rsid w:val="00B34117"/>
    <w:rsid w:val="00B35420"/>
    <w:rsid w:val="00B35A59"/>
    <w:rsid w:val="00B36AB3"/>
    <w:rsid w:val="00B36B66"/>
    <w:rsid w:val="00B379C2"/>
    <w:rsid w:val="00B4070C"/>
    <w:rsid w:val="00B41025"/>
    <w:rsid w:val="00B41D4A"/>
    <w:rsid w:val="00B42061"/>
    <w:rsid w:val="00B43FA7"/>
    <w:rsid w:val="00B459AB"/>
    <w:rsid w:val="00B464EF"/>
    <w:rsid w:val="00B46601"/>
    <w:rsid w:val="00B50605"/>
    <w:rsid w:val="00B527FA"/>
    <w:rsid w:val="00B531D0"/>
    <w:rsid w:val="00B5340E"/>
    <w:rsid w:val="00B549CB"/>
    <w:rsid w:val="00B56E46"/>
    <w:rsid w:val="00B61378"/>
    <w:rsid w:val="00B619F3"/>
    <w:rsid w:val="00B62564"/>
    <w:rsid w:val="00B629E4"/>
    <w:rsid w:val="00B64AE5"/>
    <w:rsid w:val="00B6694B"/>
    <w:rsid w:val="00B6776B"/>
    <w:rsid w:val="00B677D7"/>
    <w:rsid w:val="00B67C18"/>
    <w:rsid w:val="00B71488"/>
    <w:rsid w:val="00B724E5"/>
    <w:rsid w:val="00B725A0"/>
    <w:rsid w:val="00B73171"/>
    <w:rsid w:val="00B74174"/>
    <w:rsid w:val="00B74807"/>
    <w:rsid w:val="00B762A5"/>
    <w:rsid w:val="00B76670"/>
    <w:rsid w:val="00B77890"/>
    <w:rsid w:val="00B77EB9"/>
    <w:rsid w:val="00B800C9"/>
    <w:rsid w:val="00B81F8B"/>
    <w:rsid w:val="00B835A2"/>
    <w:rsid w:val="00B83F45"/>
    <w:rsid w:val="00B92F96"/>
    <w:rsid w:val="00B92FEC"/>
    <w:rsid w:val="00B93019"/>
    <w:rsid w:val="00B93201"/>
    <w:rsid w:val="00B94B5B"/>
    <w:rsid w:val="00B95498"/>
    <w:rsid w:val="00B95E85"/>
    <w:rsid w:val="00B96BDF"/>
    <w:rsid w:val="00B97138"/>
    <w:rsid w:val="00BA0306"/>
    <w:rsid w:val="00BA10EE"/>
    <w:rsid w:val="00BA3054"/>
    <w:rsid w:val="00BA3858"/>
    <w:rsid w:val="00BA5399"/>
    <w:rsid w:val="00BA56B4"/>
    <w:rsid w:val="00BB089C"/>
    <w:rsid w:val="00BB0D86"/>
    <w:rsid w:val="00BB1D4C"/>
    <w:rsid w:val="00BB3E88"/>
    <w:rsid w:val="00BB4511"/>
    <w:rsid w:val="00BB47AA"/>
    <w:rsid w:val="00BB50D5"/>
    <w:rsid w:val="00BB772F"/>
    <w:rsid w:val="00BC25DD"/>
    <w:rsid w:val="00BC31AF"/>
    <w:rsid w:val="00BC328B"/>
    <w:rsid w:val="00BC5502"/>
    <w:rsid w:val="00BC6E83"/>
    <w:rsid w:val="00BD0140"/>
    <w:rsid w:val="00BD0260"/>
    <w:rsid w:val="00BD0311"/>
    <w:rsid w:val="00BD1987"/>
    <w:rsid w:val="00BD2491"/>
    <w:rsid w:val="00BD34AC"/>
    <w:rsid w:val="00BD3D4A"/>
    <w:rsid w:val="00BD4CCA"/>
    <w:rsid w:val="00BD593D"/>
    <w:rsid w:val="00BD6684"/>
    <w:rsid w:val="00BD6A10"/>
    <w:rsid w:val="00BD7AE2"/>
    <w:rsid w:val="00BE1A76"/>
    <w:rsid w:val="00BE1CDD"/>
    <w:rsid w:val="00BE1E10"/>
    <w:rsid w:val="00BE26FA"/>
    <w:rsid w:val="00BE29B7"/>
    <w:rsid w:val="00BE3A64"/>
    <w:rsid w:val="00BE4A4C"/>
    <w:rsid w:val="00BE4B7D"/>
    <w:rsid w:val="00BE6A28"/>
    <w:rsid w:val="00BE6B94"/>
    <w:rsid w:val="00BE7546"/>
    <w:rsid w:val="00BF046F"/>
    <w:rsid w:val="00BF10BD"/>
    <w:rsid w:val="00BF138C"/>
    <w:rsid w:val="00BF17AA"/>
    <w:rsid w:val="00BF3057"/>
    <w:rsid w:val="00BF3EDA"/>
    <w:rsid w:val="00BF404D"/>
    <w:rsid w:val="00BF44BD"/>
    <w:rsid w:val="00BF5049"/>
    <w:rsid w:val="00C000CC"/>
    <w:rsid w:val="00C004F9"/>
    <w:rsid w:val="00C00603"/>
    <w:rsid w:val="00C00D57"/>
    <w:rsid w:val="00C029C8"/>
    <w:rsid w:val="00C03454"/>
    <w:rsid w:val="00C0422B"/>
    <w:rsid w:val="00C049A4"/>
    <w:rsid w:val="00C04D4C"/>
    <w:rsid w:val="00C06534"/>
    <w:rsid w:val="00C1148B"/>
    <w:rsid w:val="00C1208B"/>
    <w:rsid w:val="00C120B2"/>
    <w:rsid w:val="00C12883"/>
    <w:rsid w:val="00C14A03"/>
    <w:rsid w:val="00C14DF2"/>
    <w:rsid w:val="00C1560C"/>
    <w:rsid w:val="00C15865"/>
    <w:rsid w:val="00C160F2"/>
    <w:rsid w:val="00C169D2"/>
    <w:rsid w:val="00C16AF0"/>
    <w:rsid w:val="00C2162F"/>
    <w:rsid w:val="00C21B61"/>
    <w:rsid w:val="00C21D46"/>
    <w:rsid w:val="00C22937"/>
    <w:rsid w:val="00C22D66"/>
    <w:rsid w:val="00C233BD"/>
    <w:rsid w:val="00C2453A"/>
    <w:rsid w:val="00C268F3"/>
    <w:rsid w:val="00C319CC"/>
    <w:rsid w:val="00C32A6A"/>
    <w:rsid w:val="00C333FD"/>
    <w:rsid w:val="00C35740"/>
    <w:rsid w:val="00C36796"/>
    <w:rsid w:val="00C36910"/>
    <w:rsid w:val="00C369E6"/>
    <w:rsid w:val="00C373C1"/>
    <w:rsid w:val="00C401C3"/>
    <w:rsid w:val="00C4298C"/>
    <w:rsid w:val="00C43920"/>
    <w:rsid w:val="00C4446E"/>
    <w:rsid w:val="00C47DF7"/>
    <w:rsid w:val="00C510B1"/>
    <w:rsid w:val="00C53A77"/>
    <w:rsid w:val="00C551CB"/>
    <w:rsid w:val="00C55EE7"/>
    <w:rsid w:val="00C56341"/>
    <w:rsid w:val="00C5768A"/>
    <w:rsid w:val="00C61895"/>
    <w:rsid w:val="00C6231F"/>
    <w:rsid w:val="00C6428E"/>
    <w:rsid w:val="00C64FFD"/>
    <w:rsid w:val="00C67DDE"/>
    <w:rsid w:val="00C67FBF"/>
    <w:rsid w:val="00C7000F"/>
    <w:rsid w:val="00C71AB6"/>
    <w:rsid w:val="00C71FD9"/>
    <w:rsid w:val="00C731F1"/>
    <w:rsid w:val="00C801A8"/>
    <w:rsid w:val="00C81736"/>
    <w:rsid w:val="00C8243A"/>
    <w:rsid w:val="00C83E3B"/>
    <w:rsid w:val="00C844B4"/>
    <w:rsid w:val="00C84DF5"/>
    <w:rsid w:val="00C857D9"/>
    <w:rsid w:val="00C866DC"/>
    <w:rsid w:val="00C86965"/>
    <w:rsid w:val="00C9084A"/>
    <w:rsid w:val="00C90B36"/>
    <w:rsid w:val="00C92622"/>
    <w:rsid w:val="00C92CE1"/>
    <w:rsid w:val="00C94465"/>
    <w:rsid w:val="00C9713D"/>
    <w:rsid w:val="00CA2C78"/>
    <w:rsid w:val="00CA3181"/>
    <w:rsid w:val="00CA44EA"/>
    <w:rsid w:val="00CA4565"/>
    <w:rsid w:val="00CA4604"/>
    <w:rsid w:val="00CA6A1B"/>
    <w:rsid w:val="00CA6DC2"/>
    <w:rsid w:val="00CA7F1B"/>
    <w:rsid w:val="00CB3D76"/>
    <w:rsid w:val="00CB454A"/>
    <w:rsid w:val="00CB54AC"/>
    <w:rsid w:val="00CB6F6D"/>
    <w:rsid w:val="00CC1710"/>
    <w:rsid w:val="00CC1EC9"/>
    <w:rsid w:val="00CC3DD8"/>
    <w:rsid w:val="00CC5370"/>
    <w:rsid w:val="00CC5A8E"/>
    <w:rsid w:val="00CC6154"/>
    <w:rsid w:val="00CC6A19"/>
    <w:rsid w:val="00CD0778"/>
    <w:rsid w:val="00CD0B10"/>
    <w:rsid w:val="00CD0FBF"/>
    <w:rsid w:val="00CD3A4E"/>
    <w:rsid w:val="00CD3B0D"/>
    <w:rsid w:val="00CD5AD1"/>
    <w:rsid w:val="00CD5D5A"/>
    <w:rsid w:val="00CD6E6A"/>
    <w:rsid w:val="00CE1405"/>
    <w:rsid w:val="00CE44AE"/>
    <w:rsid w:val="00CE6C53"/>
    <w:rsid w:val="00CE7DF8"/>
    <w:rsid w:val="00CF0AB4"/>
    <w:rsid w:val="00CF231D"/>
    <w:rsid w:val="00CF6601"/>
    <w:rsid w:val="00D01FD0"/>
    <w:rsid w:val="00D0269B"/>
    <w:rsid w:val="00D0292B"/>
    <w:rsid w:val="00D03296"/>
    <w:rsid w:val="00D05CCE"/>
    <w:rsid w:val="00D06616"/>
    <w:rsid w:val="00D06634"/>
    <w:rsid w:val="00D069C7"/>
    <w:rsid w:val="00D078EE"/>
    <w:rsid w:val="00D125C1"/>
    <w:rsid w:val="00D12C4A"/>
    <w:rsid w:val="00D137A8"/>
    <w:rsid w:val="00D16B51"/>
    <w:rsid w:val="00D178F4"/>
    <w:rsid w:val="00D21EB3"/>
    <w:rsid w:val="00D21F52"/>
    <w:rsid w:val="00D22A1F"/>
    <w:rsid w:val="00D2392D"/>
    <w:rsid w:val="00D23D19"/>
    <w:rsid w:val="00D24102"/>
    <w:rsid w:val="00D248EF"/>
    <w:rsid w:val="00D25746"/>
    <w:rsid w:val="00D25B79"/>
    <w:rsid w:val="00D25C9C"/>
    <w:rsid w:val="00D2611B"/>
    <w:rsid w:val="00D26883"/>
    <w:rsid w:val="00D275BC"/>
    <w:rsid w:val="00D30438"/>
    <w:rsid w:val="00D30F20"/>
    <w:rsid w:val="00D31EB4"/>
    <w:rsid w:val="00D327F7"/>
    <w:rsid w:val="00D331F0"/>
    <w:rsid w:val="00D34594"/>
    <w:rsid w:val="00D34F41"/>
    <w:rsid w:val="00D37F71"/>
    <w:rsid w:val="00D417E9"/>
    <w:rsid w:val="00D43017"/>
    <w:rsid w:val="00D448A5"/>
    <w:rsid w:val="00D5034E"/>
    <w:rsid w:val="00D533A0"/>
    <w:rsid w:val="00D5464D"/>
    <w:rsid w:val="00D5520D"/>
    <w:rsid w:val="00D5583C"/>
    <w:rsid w:val="00D61ED3"/>
    <w:rsid w:val="00D641F1"/>
    <w:rsid w:val="00D6542F"/>
    <w:rsid w:val="00D66256"/>
    <w:rsid w:val="00D66E6F"/>
    <w:rsid w:val="00D71625"/>
    <w:rsid w:val="00D72C2F"/>
    <w:rsid w:val="00D77D10"/>
    <w:rsid w:val="00D80739"/>
    <w:rsid w:val="00D821D9"/>
    <w:rsid w:val="00D82954"/>
    <w:rsid w:val="00D84B0A"/>
    <w:rsid w:val="00D84CEF"/>
    <w:rsid w:val="00D84EB1"/>
    <w:rsid w:val="00D86E7B"/>
    <w:rsid w:val="00D92A1A"/>
    <w:rsid w:val="00D93708"/>
    <w:rsid w:val="00D93F54"/>
    <w:rsid w:val="00D94437"/>
    <w:rsid w:val="00DA2817"/>
    <w:rsid w:val="00DA3799"/>
    <w:rsid w:val="00DA4494"/>
    <w:rsid w:val="00DA4D02"/>
    <w:rsid w:val="00DA5F8A"/>
    <w:rsid w:val="00DA76B3"/>
    <w:rsid w:val="00DB030F"/>
    <w:rsid w:val="00DB0808"/>
    <w:rsid w:val="00DB0977"/>
    <w:rsid w:val="00DB1132"/>
    <w:rsid w:val="00DB236C"/>
    <w:rsid w:val="00DB3499"/>
    <w:rsid w:val="00DB362A"/>
    <w:rsid w:val="00DB65DD"/>
    <w:rsid w:val="00DC0774"/>
    <w:rsid w:val="00DC0CC4"/>
    <w:rsid w:val="00DC5A4F"/>
    <w:rsid w:val="00DC6F6B"/>
    <w:rsid w:val="00DC7B01"/>
    <w:rsid w:val="00DD0B0C"/>
    <w:rsid w:val="00DD143A"/>
    <w:rsid w:val="00DD3AB0"/>
    <w:rsid w:val="00DD484A"/>
    <w:rsid w:val="00DD49BD"/>
    <w:rsid w:val="00DD56F6"/>
    <w:rsid w:val="00DD6720"/>
    <w:rsid w:val="00DD764A"/>
    <w:rsid w:val="00DE02FC"/>
    <w:rsid w:val="00DE39AA"/>
    <w:rsid w:val="00DE524C"/>
    <w:rsid w:val="00DE5CF4"/>
    <w:rsid w:val="00DE7F64"/>
    <w:rsid w:val="00DF0B11"/>
    <w:rsid w:val="00DF2847"/>
    <w:rsid w:val="00DF2C3B"/>
    <w:rsid w:val="00DF3774"/>
    <w:rsid w:val="00DF38A4"/>
    <w:rsid w:val="00DF4C2F"/>
    <w:rsid w:val="00DF67DE"/>
    <w:rsid w:val="00DF684F"/>
    <w:rsid w:val="00DF7F70"/>
    <w:rsid w:val="00E023EF"/>
    <w:rsid w:val="00E02BDD"/>
    <w:rsid w:val="00E03442"/>
    <w:rsid w:val="00E03647"/>
    <w:rsid w:val="00E056FE"/>
    <w:rsid w:val="00E05B67"/>
    <w:rsid w:val="00E07325"/>
    <w:rsid w:val="00E107E2"/>
    <w:rsid w:val="00E1169D"/>
    <w:rsid w:val="00E130AB"/>
    <w:rsid w:val="00E13F50"/>
    <w:rsid w:val="00E17BDF"/>
    <w:rsid w:val="00E2104A"/>
    <w:rsid w:val="00E233A9"/>
    <w:rsid w:val="00E23E76"/>
    <w:rsid w:val="00E24C0D"/>
    <w:rsid w:val="00E27B60"/>
    <w:rsid w:val="00E32EF7"/>
    <w:rsid w:val="00E34EFD"/>
    <w:rsid w:val="00E357F3"/>
    <w:rsid w:val="00E3792C"/>
    <w:rsid w:val="00E404A2"/>
    <w:rsid w:val="00E4256A"/>
    <w:rsid w:val="00E42656"/>
    <w:rsid w:val="00E42BE9"/>
    <w:rsid w:val="00E44043"/>
    <w:rsid w:val="00E441C4"/>
    <w:rsid w:val="00E45403"/>
    <w:rsid w:val="00E458FD"/>
    <w:rsid w:val="00E45A83"/>
    <w:rsid w:val="00E4700C"/>
    <w:rsid w:val="00E47BA5"/>
    <w:rsid w:val="00E50874"/>
    <w:rsid w:val="00E5092D"/>
    <w:rsid w:val="00E50997"/>
    <w:rsid w:val="00E50B32"/>
    <w:rsid w:val="00E52305"/>
    <w:rsid w:val="00E52380"/>
    <w:rsid w:val="00E546F1"/>
    <w:rsid w:val="00E5771A"/>
    <w:rsid w:val="00E60096"/>
    <w:rsid w:val="00E6305B"/>
    <w:rsid w:val="00E63957"/>
    <w:rsid w:val="00E64D72"/>
    <w:rsid w:val="00E663F2"/>
    <w:rsid w:val="00E66432"/>
    <w:rsid w:val="00E667F5"/>
    <w:rsid w:val="00E66B86"/>
    <w:rsid w:val="00E66FD7"/>
    <w:rsid w:val="00E776E1"/>
    <w:rsid w:val="00E8475F"/>
    <w:rsid w:val="00E8524B"/>
    <w:rsid w:val="00E901AF"/>
    <w:rsid w:val="00E90F5D"/>
    <w:rsid w:val="00E943C2"/>
    <w:rsid w:val="00E94A51"/>
    <w:rsid w:val="00E94E1B"/>
    <w:rsid w:val="00E96383"/>
    <w:rsid w:val="00E969F0"/>
    <w:rsid w:val="00E9745D"/>
    <w:rsid w:val="00EA1435"/>
    <w:rsid w:val="00EA17D7"/>
    <w:rsid w:val="00EA2453"/>
    <w:rsid w:val="00EA4379"/>
    <w:rsid w:val="00EA732E"/>
    <w:rsid w:val="00EA76CA"/>
    <w:rsid w:val="00EA7B97"/>
    <w:rsid w:val="00EA7D53"/>
    <w:rsid w:val="00EB0F7C"/>
    <w:rsid w:val="00EB5ADC"/>
    <w:rsid w:val="00EB6CFE"/>
    <w:rsid w:val="00EB7B95"/>
    <w:rsid w:val="00EB7E34"/>
    <w:rsid w:val="00EC0698"/>
    <w:rsid w:val="00EC0EF0"/>
    <w:rsid w:val="00EC27BE"/>
    <w:rsid w:val="00EC48A7"/>
    <w:rsid w:val="00EC5957"/>
    <w:rsid w:val="00EC6D99"/>
    <w:rsid w:val="00EC768D"/>
    <w:rsid w:val="00ED03FE"/>
    <w:rsid w:val="00ED26BE"/>
    <w:rsid w:val="00ED3D1B"/>
    <w:rsid w:val="00ED4508"/>
    <w:rsid w:val="00ED76E3"/>
    <w:rsid w:val="00EE25A0"/>
    <w:rsid w:val="00EE3211"/>
    <w:rsid w:val="00EE32F0"/>
    <w:rsid w:val="00EE58AD"/>
    <w:rsid w:val="00EE66E2"/>
    <w:rsid w:val="00EE7B04"/>
    <w:rsid w:val="00EF1370"/>
    <w:rsid w:val="00EF2142"/>
    <w:rsid w:val="00EF62C9"/>
    <w:rsid w:val="00EF7CE1"/>
    <w:rsid w:val="00F012E5"/>
    <w:rsid w:val="00F01D80"/>
    <w:rsid w:val="00F037A0"/>
    <w:rsid w:val="00F042F9"/>
    <w:rsid w:val="00F05358"/>
    <w:rsid w:val="00F05E2F"/>
    <w:rsid w:val="00F068BA"/>
    <w:rsid w:val="00F06D58"/>
    <w:rsid w:val="00F070F6"/>
    <w:rsid w:val="00F07927"/>
    <w:rsid w:val="00F113E1"/>
    <w:rsid w:val="00F14130"/>
    <w:rsid w:val="00F156A7"/>
    <w:rsid w:val="00F160A1"/>
    <w:rsid w:val="00F16370"/>
    <w:rsid w:val="00F17F98"/>
    <w:rsid w:val="00F20BF0"/>
    <w:rsid w:val="00F220F1"/>
    <w:rsid w:val="00F23AF1"/>
    <w:rsid w:val="00F23D1D"/>
    <w:rsid w:val="00F245AF"/>
    <w:rsid w:val="00F24D02"/>
    <w:rsid w:val="00F25CAA"/>
    <w:rsid w:val="00F260BD"/>
    <w:rsid w:val="00F2619D"/>
    <w:rsid w:val="00F27408"/>
    <w:rsid w:val="00F34FDA"/>
    <w:rsid w:val="00F36EFB"/>
    <w:rsid w:val="00F37B58"/>
    <w:rsid w:val="00F40693"/>
    <w:rsid w:val="00F40E41"/>
    <w:rsid w:val="00F418FB"/>
    <w:rsid w:val="00F41C3B"/>
    <w:rsid w:val="00F439D6"/>
    <w:rsid w:val="00F43FF7"/>
    <w:rsid w:val="00F44108"/>
    <w:rsid w:val="00F449C9"/>
    <w:rsid w:val="00F464FD"/>
    <w:rsid w:val="00F47B0C"/>
    <w:rsid w:val="00F47C06"/>
    <w:rsid w:val="00F47E71"/>
    <w:rsid w:val="00F50FF1"/>
    <w:rsid w:val="00F5168B"/>
    <w:rsid w:val="00F549B8"/>
    <w:rsid w:val="00F5698D"/>
    <w:rsid w:val="00F63FA4"/>
    <w:rsid w:val="00F64D64"/>
    <w:rsid w:val="00F65803"/>
    <w:rsid w:val="00F662E7"/>
    <w:rsid w:val="00F6707C"/>
    <w:rsid w:val="00F67C3A"/>
    <w:rsid w:val="00F7172B"/>
    <w:rsid w:val="00F77669"/>
    <w:rsid w:val="00F82718"/>
    <w:rsid w:val="00F82765"/>
    <w:rsid w:val="00F8322D"/>
    <w:rsid w:val="00F83961"/>
    <w:rsid w:val="00F8435F"/>
    <w:rsid w:val="00F87EB1"/>
    <w:rsid w:val="00F900D5"/>
    <w:rsid w:val="00F915FA"/>
    <w:rsid w:val="00F9522A"/>
    <w:rsid w:val="00F96355"/>
    <w:rsid w:val="00F96713"/>
    <w:rsid w:val="00FA1566"/>
    <w:rsid w:val="00FA2A2E"/>
    <w:rsid w:val="00FA3F4E"/>
    <w:rsid w:val="00FA50E5"/>
    <w:rsid w:val="00FA5E30"/>
    <w:rsid w:val="00FA74A9"/>
    <w:rsid w:val="00FA7BAB"/>
    <w:rsid w:val="00FB10C9"/>
    <w:rsid w:val="00FB19A4"/>
    <w:rsid w:val="00FB2A5F"/>
    <w:rsid w:val="00FB2B55"/>
    <w:rsid w:val="00FB2FED"/>
    <w:rsid w:val="00FB37B3"/>
    <w:rsid w:val="00FB3F76"/>
    <w:rsid w:val="00FB49C6"/>
    <w:rsid w:val="00FB5385"/>
    <w:rsid w:val="00FB6923"/>
    <w:rsid w:val="00FB6A50"/>
    <w:rsid w:val="00FB72AF"/>
    <w:rsid w:val="00FB766F"/>
    <w:rsid w:val="00FB7C99"/>
    <w:rsid w:val="00FC1F04"/>
    <w:rsid w:val="00FC2768"/>
    <w:rsid w:val="00FC3A36"/>
    <w:rsid w:val="00FC430B"/>
    <w:rsid w:val="00FC570D"/>
    <w:rsid w:val="00FD01E1"/>
    <w:rsid w:val="00FD0EB6"/>
    <w:rsid w:val="00FD30EA"/>
    <w:rsid w:val="00FD3786"/>
    <w:rsid w:val="00FD6977"/>
    <w:rsid w:val="00FD76C4"/>
    <w:rsid w:val="00FD77CE"/>
    <w:rsid w:val="00FE0ECC"/>
    <w:rsid w:val="00FE10A3"/>
    <w:rsid w:val="00FE12AE"/>
    <w:rsid w:val="00FE3093"/>
    <w:rsid w:val="00FE3540"/>
    <w:rsid w:val="00FE3F12"/>
    <w:rsid w:val="00FE45B9"/>
    <w:rsid w:val="00FE4FAE"/>
    <w:rsid w:val="00FE6808"/>
    <w:rsid w:val="00FE7BA4"/>
    <w:rsid w:val="00FE7BB2"/>
    <w:rsid w:val="00FE7E09"/>
    <w:rsid w:val="00FF124D"/>
    <w:rsid w:val="00FF1D23"/>
    <w:rsid w:val="00FF1F23"/>
    <w:rsid w:val="00FF2CC4"/>
    <w:rsid w:val="00FF4870"/>
    <w:rsid w:val="00FF4A81"/>
    <w:rsid w:val="00FF5902"/>
    <w:rsid w:val="00FF5D17"/>
    <w:rsid w:val="00FF61F0"/>
    <w:rsid w:val="01023B45"/>
    <w:rsid w:val="01303EE4"/>
    <w:rsid w:val="01436986"/>
    <w:rsid w:val="01D90823"/>
    <w:rsid w:val="01E50D53"/>
    <w:rsid w:val="0222225B"/>
    <w:rsid w:val="0232639E"/>
    <w:rsid w:val="03F91788"/>
    <w:rsid w:val="0435220B"/>
    <w:rsid w:val="04A10F62"/>
    <w:rsid w:val="052919A6"/>
    <w:rsid w:val="05EC7396"/>
    <w:rsid w:val="061E27BA"/>
    <w:rsid w:val="06677F89"/>
    <w:rsid w:val="066E0B04"/>
    <w:rsid w:val="06B331CE"/>
    <w:rsid w:val="06C76C7A"/>
    <w:rsid w:val="07322846"/>
    <w:rsid w:val="079F0AA0"/>
    <w:rsid w:val="0822201E"/>
    <w:rsid w:val="088A61B1"/>
    <w:rsid w:val="089E411E"/>
    <w:rsid w:val="093C74AB"/>
    <w:rsid w:val="095953E8"/>
    <w:rsid w:val="099B7EFF"/>
    <w:rsid w:val="0B0E7656"/>
    <w:rsid w:val="0BB51797"/>
    <w:rsid w:val="0BE36304"/>
    <w:rsid w:val="0C4C20FB"/>
    <w:rsid w:val="0C81234A"/>
    <w:rsid w:val="0CDA41F2"/>
    <w:rsid w:val="0CF24064"/>
    <w:rsid w:val="0D2E4782"/>
    <w:rsid w:val="0D7A28CA"/>
    <w:rsid w:val="0DC91529"/>
    <w:rsid w:val="0E5E7E25"/>
    <w:rsid w:val="0E7476E7"/>
    <w:rsid w:val="0EB91321"/>
    <w:rsid w:val="0EBC62AD"/>
    <w:rsid w:val="0F501F02"/>
    <w:rsid w:val="0F691186"/>
    <w:rsid w:val="0F733A6B"/>
    <w:rsid w:val="0FA34410"/>
    <w:rsid w:val="101604C9"/>
    <w:rsid w:val="1043012F"/>
    <w:rsid w:val="104935C7"/>
    <w:rsid w:val="10685029"/>
    <w:rsid w:val="109F01BA"/>
    <w:rsid w:val="10EE5D63"/>
    <w:rsid w:val="10F04ED1"/>
    <w:rsid w:val="114E421F"/>
    <w:rsid w:val="11C73FD2"/>
    <w:rsid w:val="11FA70DC"/>
    <w:rsid w:val="121C4E44"/>
    <w:rsid w:val="127467FC"/>
    <w:rsid w:val="132664A3"/>
    <w:rsid w:val="133B4ABA"/>
    <w:rsid w:val="138F3B6E"/>
    <w:rsid w:val="14B14FC4"/>
    <w:rsid w:val="14BC6D14"/>
    <w:rsid w:val="152E621D"/>
    <w:rsid w:val="15537304"/>
    <w:rsid w:val="15FA3E3F"/>
    <w:rsid w:val="16500506"/>
    <w:rsid w:val="16585E87"/>
    <w:rsid w:val="16B637AD"/>
    <w:rsid w:val="17F13B56"/>
    <w:rsid w:val="189A5F9C"/>
    <w:rsid w:val="18EB2FDB"/>
    <w:rsid w:val="193957B5"/>
    <w:rsid w:val="195B1BCF"/>
    <w:rsid w:val="19A31CEF"/>
    <w:rsid w:val="1AD56698"/>
    <w:rsid w:val="1AEF6A73"/>
    <w:rsid w:val="1AF23CFB"/>
    <w:rsid w:val="1BF86185"/>
    <w:rsid w:val="1C5841A4"/>
    <w:rsid w:val="1C5A616E"/>
    <w:rsid w:val="1CD81789"/>
    <w:rsid w:val="1CD83537"/>
    <w:rsid w:val="1D100F23"/>
    <w:rsid w:val="1D3E7C43"/>
    <w:rsid w:val="1DFD14A7"/>
    <w:rsid w:val="1E0828F6"/>
    <w:rsid w:val="1E8B77D9"/>
    <w:rsid w:val="1E8D388A"/>
    <w:rsid w:val="1EBA191C"/>
    <w:rsid w:val="20523600"/>
    <w:rsid w:val="20C462AC"/>
    <w:rsid w:val="20FD356C"/>
    <w:rsid w:val="21696E53"/>
    <w:rsid w:val="21D56297"/>
    <w:rsid w:val="23581C71"/>
    <w:rsid w:val="23616EE4"/>
    <w:rsid w:val="240E0922"/>
    <w:rsid w:val="2416712E"/>
    <w:rsid w:val="24FD1D8D"/>
    <w:rsid w:val="25050C41"/>
    <w:rsid w:val="25097693"/>
    <w:rsid w:val="2556244F"/>
    <w:rsid w:val="25B7372B"/>
    <w:rsid w:val="25E168A9"/>
    <w:rsid w:val="25E569DF"/>
    <w:rsid w:val="264E3DCE"/>
    <w:rsid w:val="268B161A"/>
    <w:rsid w:val="27BF40EE"/>
    <w:rsid w:val="27D8263D"/>
    <w:rsid w:val="28B52B84"/>
    <w:rsid w:val="28EA087A"/>
    <w:rsid w:val="291A4BB0"/>
    <w:rsid w:val="29F814B7"/>
    <w:rsid w:val="2A0F09FE"/>
    <w:rsid w:val="2A3117A7"/>
    <w:rsid w:val="2A351FC9"/>
    <w:rsid w:val="2AB34861"/>
    <w:rsid w:val="2AC82E3D"/>
    <w:rsid w:val="2AFB6D6E"/>
    <w:rsid w:val="2B4D18B6"/>
    <w:rsid w:val="2BA524BA"/>
    <w:rsid w:val="2C1E438C"/>
    <w:rsid w:val="2C264CA0"/>
    <w:rsid w:val="2C437999"/>
    <w:rsid w:val="2C8D19F7"/>
    <w:rsid w:val="2CC80EB8"/>
    <w:rsid w:val="2E1317E0"/>
    <w:rsid w:val="2E180609"/>
    <w:rsid w:val="2F7470EF"/>
    <w:rsid w:val="30A457B2"/>
    <w:rsid w:val="31226782"/>
    <w:rsid w:val="3160503C"/>
    <w:rsid w:val="31EF35EE"/>
    <w:rsid w:val="321B1AA4"/>
    <w:rsid w:val="325338CA"/>
    <w:rsid w:val="327E4372"/>
    <w:rsid w:val="32DD0106"/>
    <w:rsid w:val="32EE71B8"/>
    <w:rsid w:val="33F41B72"/>
    <w:rsid w:val="348D7A46"/>
    <w:rsid w:val="34D4418C"/>
    <w:rsid w:val="36F079A3"/>
    <w:rsid w:val="36FF1994"/>
    <w:rsid w:val="371511B8"/>
    <w:rsid w:val="383D40B1"/>
    <w:rsid w:val="38817960"/>
    <w:rsid w:val="38F33963"/>
    <w:rsid w:val="394A5BAB"/>
    <w:rsid w:val="39CC282A"/>
    <w:rsid w:val="39F41558"/>
    <w:rsid w:val="3A6113D6"/>
    <w:rsid w:val="3AA47611"/>
    <w:rsid w:val="3B5F5322"/>
    <w:rsid w:val="3BA1016D"/>
    <w:rsid w:val="3BCD5235"/>
    <w:rsid w:val="3BE05E51"/>
    <w:rsid w:val="3C945B02"/>
    <w:rsid w:val="3D7F307A"/>
    <w:rsid w:val="3DC57ED4"/>
    <w:rsid w:val="3E0C2085"/>
    <w:rsid w:val="3E2033CE"/>
    <w:rsid w:val="3E907C2F"/>
    <w:rsid w:val="3EBE0387"/>
    <w:rsid w:val="3F877ADF"/>
    <w:rsid w:val="3FB35A12"/>
    <w:rsid w:val="40C854ED"/>
    <w:rsid w:val="41C81CA4"/>
    <w:rsid w:val="427B36EE"/>
    <w:rsid w:val="42C62773"/>
    <w:rsid w:val="43694816"/>
    <w:rsid w:val="441910E1"/>
    <w:rsid w:val="448F7A60"/>
    <w:rsid w:val="44B30262"/>
    <w:rsid w:val="456450B8"/>
    <w:rsid w:val="45962698"/>
    <w:rsid w:val="45B553EB"/>
    <w:rsid w:val="46721FA3"/>
    <w:rsid w:val="46A6600E"/>
    <w:rsid w:val="475573AE"/>
    <w:rsid w:val="476B7238"/>
    <w:rsid w:val="479814DE"/>
    <w:rsid w:val="47A06CE8"/>
    <w:rsid w:val="489028F5"/>
    <w:rsid w:val="48911D8A"/>
    <w:rsid w:val="493556E9"/>
    <w:rsid w:val="4960549B"/>
    <w:rsid w:val="4A072B32"/>
    <w:rsid w:val="4AC42904"/>
    <w:rsid w:val="4AF75DD6"/>
    <w:rsid w:val="4B531CC0"/>
    <w:rsid w:val="4B751DCD"/>
    <w:rsid w:val="4C473A14"/>
    <w:rsid w:val="4C561BFF"/>
    <w:rsid w:val="4C573A84"/>
    <w:rsid w:val="4C79769B"/>
    <w:rsid w:val="4CBB2F66"/>
    <w:rsid w:val="4CC065F7"/>
    <w:rsid w:val="4CCC0113"/>
    <w:rsid w:val="4D3161C8"/>
    <w:rsid w:val="4D425101"/>
    <w:rsid w:val="4DED0341"/>
    <w:rsid w:val="4DEE3CFD"/>
    <w:rsid w:val="4DF951F0"/>
    <w:rsid w:val="4E810A89"/>
    <w:rsid w:val="4E854A1D"/>
    <w:rsid w:val="4EAF1A9A"/>
    <w:rsid w:val="4EBC39D7"/>
    <w:rsid w:val="4F3E3A83"/>
    <w:rsid w:val="4F9F566B"/>
    <w:rsid w:val="4FBE01E7"/>
    <w:rsid w:val="50D44BB1"/>
    <w:rsid w:val="50EA6764"/>
    <w:rsid w:val="517F7502"/>
    <w:rsid w:val="52086ED1"/>
    <w:rsid w:val="52192CC0"/>
    <w:rsid w:val="523A2E65"/>
    <w:rsid w:val="52BB24FF"/>
    <w:rsid w:val="52D702C1"/>
    <w:rsid w:val="538E3A62"/>
    <w:rsid w:val="53980D4F"/>
    <w:rsid w:val="542C2760"/>
    <w:rsid w:val="544B2490"/>
    <w:rsid w:val="54A6749B"/>
    <w:rsid w:val="55086E0C"/>
    <w:rsid w:val="55A9235E"/>
    <w:rsid w:val="55C36384"/>
    <w:rsid w:val="56D57BC4"/>
    <w:rsid w:val="56EF4D14"/>
    <w:rsid w:val="571B1411"/>
    <w:rsid w:val="57723665"/>
    <w:rsid w:val="577B4C0F"/>
    <w:rsid w:val="58816255"/>
    <w:rsid w:val="59764178"/>
    <w:rsid w:val="59B85CA7"/>
    <w:rsid w:val="59F64A21"/>
    <w:rsid w:val="5AD22D98"/>
    <w:rsid w:val="5B8B1199"/>
    <w:rsid w:val="5BFF18AD"/>
    <w:rsid w:val="5C5048E0"/>
    <w:rsid w:val="5CF76A0D"/>
    <w:rsid w:val="5DD0245C"/>
    <w:rsid w:val="5E5B2DF6"/>
    <w:rsid w:val="5E7128C8"/>
    <w:rsid w:val="60AB6044"/>
    <w:rsid w:val="611539DF"/>
    <w:rsid w:val="623146A6"/>
    <w:rsid w:val="627110E9"/>
    <w:rsid w:val="628D60ED"/>
    <w:rsid w:val="629C5739"/>
    <w:rsid w:val="62AC6CA7"/>
    <w:rsid w:val="63795CCD"/>
    <w:rsid w:val="63AE1EC8"/>
    <w:rsid w:val="63CE5BCA"/>
    <w:rsid w:val="63FC2C34"/>
    <w:rsid w:val="647C7B30"/>
    <w:rsid w:val="64E829FE"/>
    <w:rsid w:val="65B65008"/>
    <w:rsid w:val="66115C86"/>
    <w:rsid w:val="662E05FC"/>
    <w:rsid w:val="665C3E5E"/>
    <w:rsid w:val="66C84764"/>
    <w:rsid w:val="66CD2666"/>
    <w:rsid w:val="66D132B9"/>
    <w:rsid w:val="67B74409"/>
    <w:rsid w:val="67D4620F"/>
    <w:rsid w:val="67DD2A4B"/>
    <w:rsid w:val="68361FE3"/>
    <w:rsid w:val="68AC7D53"/>
    <w:rsid w:val="68FC7232"/>
    <w:rsid w:val="692C3FBB"/>
    <w:rsid w:val="69603C65"/>
    <w:rsid w:val="69984B6E"/>
    <w:rsid w:val="69EC7E4A"/>
    <w:rsid w:val="6A150B77"/>
    <w:rsid w:val="6A7C74F2"/>
    <w:rsid w:val="6B68349D"/>
    <w:rsid w:val="6B797260"/>
    <w:rsid w:val="6C0C1E82"/>
    <w:rsid w:val="6C544E1A"/>
    <w:rsid w:val="6C847C6A"/>
    <w:rsid w:val="6CBC2023"/>
    <w:rsid w:val="6D217B29"/>
    <w:rsid w:val="6D5E7031"/>
    <w:rsid w:val="6D8E6C32"/>
    <w:rsid w:val="6DAD4F9F"/>
    <w:rsid w:val="6DBD3434"/>
    <w:rsid w:val="6DFE099C"/>
    <w:rsid w:val="6EDD12DA"/>
    <w:rsid w:val="6EFF182A"/>
    <w:rsid w:val="6F193D8B"/>
    <w:rsid w:val="6F622DF1"/>
    <w:rsid w:val="6FC46CC1"/>
    <w:rsid w:val="701E2184"/>
    <w:rsid w:val="701F58F4"/>
    <w:rsid w:val="707A0B91"/>
    <w:rsid w:val="70AD603D"/>
    <w:rsid w:val="70FE165F"/>
    <w:rsid w:val="71275A62"/>
    <w:rsid w:val="7130216F"/>
    <w:rsid w:val="714D6FE6"/>
    <w:rsid w:val="71A5623A"/>
    <w:rsid w:val="71D376CA"/>
    <w:rsid w:val="72251364"/>
    <w:rsid w:val="7265409A"/>
    <w:rsid w:val="73626993"/>
    <w:rsid w:val="73C658BC"/>
    <w:rsid w:val="73D926C9"/>
    <w:rsid w:val="742B1498"/>
    <w:rsid w:val="745E6FF3"/>
    <w:rsid w:val="75013889"/>
    <w:rsid w:val="75C36F43"/>
    <w:rsid w:val="765A0431"/>
    <w:rsid w:val="76C9196D"/>
    <w:rsid w:val="76DD06A3"/>
    <w:rsid w:val="774E6946"/>
    <w:rsid w:val="780628F1"/>
    <w:rsid w:val="78E004B3"/>
    <w:rsid w:val="7A995229"/>
    <w:rsid w:val="7AB756AF"/>
    <w:rsid w:val="7B293414"/>
    <w:rsid w:val="7B593278"/>
    <w:rsid w:val="7C15030C"/>
    <w:rsid w:val="7C3074C7"/>
    <w:rsid w:val="7C6E2AB9"/>
    <w:rsid w:val="7D17027B"/>
    <w:rsid w:val="7D4A1E8A"/>
    <w:rsid w:val="7DC61F22"/>
    <w:rsid w:val="7E354900"/>
    <w:rsid w:val="7EB136C9"/>
    <w:rsid w:val="7EC72D3C"/>
    <w:rsid w:val="7F2552DD"/>
    <w:rsid w:val="7FD0349B"/>
    <w:rsid w:val="BE7BA9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styleId="3">
    <w:name w:val="heading 1"/>
    <w:basedOn w:val="1"/>
    <w:next w:val="1"/>
    <w:qFormat/>
    <w:uiPriority w:val="0"/>
    <w:pPr>
      <w:keepNext w:val="0"/>
      <w:keepLines w:val="0"/>
      <w:tabs>
        <w:tab w:val="left" w:pos="0"/>
        <w:tab w:val="left" w:pos="1680"/>
      </w:tabs>
      <w:spacing w:before="340" w:after="330" w:line="300" w:lineRule="auto"/>
      <w:jc w:val="center"/>
      <w:outlineLvl w:val="0"/>
    </w:pPr>
    <w:rPr>
      <w:kern w:val="44"/>
      <w:szCs w:val="28"/>
    </w:rPr>
  </w:style>
  <w:style w:type="paragraph" w:styleId="4">
    <w:name w:val="heading 2"/>
    <w:basedOn w:val="1"/>
    <w:next w:val="1"/>
    <w:link w:val="107"/>
    <w:qFormat/>
    <w:uiPriority w:val="0"/>
    <w:pPr>
      <w:tabs>
        <w:tab w:val="left" w:pos="0"/>
        <w:tab w:val="left" w:pos="1680"/>
      </w:tabs>
      <w:textAlignment w:val="baseline"/>
      <w:outlineLvl w:val="1"/>
    </w:pPr>
    <w:rPr>
      <w:kern w:val="0"/>
      <w:szCs w:val="20"/>
    </w:rPr>
  </w:style>
  <w:style w:type="paragraph" w:styleId="5">
    <w:name w:val="heading 3"/>
    <w:basedOn w:val="6"/>
    <w:next w:val="1"/>
    <w:link w:val="106"/>
    <w:qFormat/>
    <w:uiPriority w:val="0"/>
    <w:pPr>
      <w:widowControl w:val="0"/>
      <w:shd w:val="clear" w:color="auto" w:fill="auto"/>
      <w:tabs>
        <w:tab w:val="left" w:pos="0"/>
        <w:tab w:val="left" w:pos="426"/>
        <w:tab w:val="left" w:pos="1680"/>
      </w:tabs>
      <w:adjustRightInd/>
      <w:snapToGrid/>
      <w:spacing w:before="260" w:after="260"/>
      <w:outlineLvl w:val="2"/>
    </w:pPr>
    <w:rPr>
      <w:szCs w:val="21"/>
    </w:rPr>
  </w:style>
  <w:style w:type="paragraph" w:styleId="6">
    <w:name w:val="heading 4"/>
    <w:basedOn w:val="1"/>
    <w:next w:val="1"/>
    <w:link w:val="108"/>
    <w:qFormat/>
    <w:uiPriority w:val="0"/>
    <w:pPr>
      <w:keepNext/>
      <w:keepLines/>
      <w:numPr>
        <w:ilvl w:val="3"/>
        <w:numId w:val="1"/>
      </w:numPr>
      <w:tabs>
        <w:tab w:val="left" w:pos="0"/>
      </w:tabs>
      <w:spacing w:before="280" w:after="290" w:line="376" w:lineRule="auto"/>
      <w:outlineLvl w:val="3"/>
    </w:pPr>
    <w:rPr>
      <w:rFonts w:ascii="Arial" w:hAnsi="Arial" w:eastAsia="黑体" w:cs="Times New Roman"/>
      <w:b/>
      <w:bCs/>
      <w:kern w:val="2"/>
      <w:sz w:val="28"/>
      <w:szCs w:val="28"/>
    </w:rPr>
  </w:style>
  <w:style w:type="paragraph" w:styleId="7">
    <w:name w:val="heading 5"/>
    <w:basedOn w:val="1"/>
    <w:next w:val="8"/>
    <w:link w:val="109"/>
    <w:qFormat/>
    <w:uiPriority w:val="0"/>
    <w:pPr>
      <w:keepNext/>
      <w:keepLines/>
      <w:numPr>
        <w:ilvl w:val="4"/>
        <w:numId w:val="1"/>
      </w:numPr>
      <w:spacing w:before="280" w:after="290" w:line="376" w:lineRule="auto"/>
      <w:jc w:val="center"/>
      <w:outlineLvl w:val="4"/>
    </w:pPr>
    <w:rPr>
      <w:rFonts w:ascii="Times New Roman" w:cs="Times New Roman"/>
      <w:b/>
      <w:kern w:val="2"/>
      <w:sz w:val="24"/>
      <w:szCs w:val="20"/>
    </w:rPr>
  </w:style>
  <w:style w:type="paragraph" w:styleId="9">
    <w:name w:val="heading 6"/>
    <w:basedOn w:val="1"/>
    <w:next w:val="8"/>
    <w:qFormat/>
    <w:uiPriority w:val="0"/>
    <w:pPr>
      <w:keepNext/>
      <w:keepLines/>
      <w:numPr>
        <w:ilvl w:val="5"/>
        <w:numId w:val="1"/>
      </w:numPr>
      <w:spacing w:before="240" w:after="64" w:line="319" w:lineRule="auto"/>
      <w:outlineLvl w:val="5"/>
    </w:pPr>
    <w:rPr>
      <w:rFonts w:ascii="Arial" w:hAnsi="Arial" w:eastAsia="黑体" w:cs="Times New Roman"/>
      <w:b/>
      <w:kern w:val="2"/>
      <w:sz w:val="24"/>
      <w:szCs w:val="20"/>
    </w:rPr>
  </w:style>
  <w:style w:type="paragraph" w:styleId="10">
    <w:name w:val="heading 7"/>
    <w:basedOn w:val="1"/>
    <w:next w:val="8"/>
    <w:link w:val="111"/>
    <w:qFormat/>
    <w:uiPriority w:val="0"/>
    <w:pPr>
      <w:keepNext/>
      <w:keepLines/>
      <w:numPr>
        <w:ilvl w:val="6"/>
        <w:numId w:val="1"/>
      </w:numPr>
      <w:spacing w:before="240" w:after="64" w:line="319" w:lineRule="auto"/>
      <w:outlineLvl w:val="6"/>
    </w:pPr>
    <w:rPr>
      <w:rFonts w:ascii="Times New Roman" w:cs="Times New Roman"/>
      <w:b/>
      <w:kern w:val="2"/>
      <w:sz w:val="24"/>
      <w:szCs w:val="20"/>
    </w:rPr>
  </w:style>
  <w:style w:type="paragraph" w:styleId="11">
    <w:name w:val="heading 8"/>
    <w:basedOn w:val="1"/>
    <w:next w:val="8"/>
    <w:link w:val="112"/>
    <w:qFormat/>
    <w:uiPriority w:val="0"/>
    <w:pPr>
      <w:keepNext/>
      <w:keepLines/>
      <w:numPr>
        <w:ilvl w:val="7"/>
        <w:numId w:val="1"/>
      </w:numPr>
      <w:spacing w:before="240" w:after="64" w:line="319" w:lineRule="auto"/>
      <w:outlineLvl w:val="7"/>
    </w:pPr>
    <w:rPr>
      <w:rFonts w:ascii="Arial" w:hAnsi="Arial" w:eastAsia="黑体" w:cs="Times New Roman"/>
      <w:kern w:val="2"/>
      <w:sz w:val="24"/>
      <w:szCs w:val="20"/>
    </w:rPr>
  </w:style>
  <w:style w:type="paragraph" w:styleId="12">
    <w:name w:val="heading 9"/>
    <w:basedOn w:val="1"/>
    <w:next w:val="8"/>
    <w:link w:val="113"/>
    <w:qFormat/>
    <w:uiPriority w:val="0"/>
    <w:pPr>
      <w:keepNext/>
      <w:keepLines/>
      <w:numPr>
        <w:ilvl w:val="8"/>
        <w:numId w:val="1"/>
      </w:numPr>
      <w:spacing w:before="240" w:after="64" w:line="319" w:lineRule="auto"/>
      <w:outlineLvl w:val="8"/>
    </w:pPr>
    <w:rPr>
      <w:rFonts w:ascii="Arial" w:hAnsi="Arial" w:eastAsia="黑体" w:cs="Times New Roman"/>
      <w:kern w:val="2"/>
      <w:szCs w:val="20"/>
    </w:rPr>
  </w:style>
  <w:style w:type="character" w:default="1" w:styleId="87">
    <w:name w:val="Default Paragraph Font"/>
    <w:semiHidden/>
    <w:unhideWhenUsed/>
    <w:qFormat/>
    <w:uiPriority w:val="1"/>
  </w:style>
  <w:style w:type="table" w:default="1" w:styleId="8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cs="Times New Roman"/>
      <w:b/>
      <w:bCs/>
      <w:sz w:val="24"/>
    </w:rPr>
  </w:style>
  <w:style w:type="paragraph" w:styleId="8">
    <w:name w:val="Normal Indent"/>
    <w:basedOn w:val="1"/>
    <w:link w:val="110"/>
    <w:qFormat/>
    <w:uiPriority w:val="0"/>
    <w:pPr>
      <w:ind w:firstLine="420"/>
    </w:pPr>
    <w:rPr>
      <w:rFonts w:ascii="Times New Roman" w:cs="Times New Roman"/>
      <w:kern w:val="2"/>
      <w:szCs w:val="20"/>
    </w:rPr>
  </w:style>
  <w:style w:type="paragraph" w:styleId="13">
    <w:name w:val="List 3"/>
    <w:basedOn w:val="1"/>
    <w:qFormat/>
    <w:uiPriority w:val="0"/>
    <w:pPr>
      <w:widowControl w:val="0"/>
      <w:shd w:val="clear" w:color="auto" w:fill="auto"/>
      <w:tabs>
        <w:tab w:val="clear" w:pos="426"/>
      </w:tabs>
      <w:adjustRightInd/>
      <w:snapToGrid/>
      <w:spacing w:line="240" w:lineRule="auto"/>
      <w:ind w:left="600" w:leftChars="400" w:hanging="200" w:hangingChars="200"/>
    </w:pPr>
    <w:rPr>
      <w:rFonts w:ascii="Times New Roman" w:cs="Times New Roman"/>
      <w:kern w:val="2"/>
    </w:rPr>
  </w:style>
  <w:style w:type="paragraph" w:styleId="14">
    <w:name w:val="toc 7"/>
    <w:basedOn w:val="1"/>
    <w:next w:val="1"/>
    <w:qFormat/>
    <w:uiPriority w:val="0"/>
    <w:pPr>
      <w:ind w:left="1260"/>
      <w:jc w:val="left"/>
    </w:pPr>
    <w:rPr>
      <w:szCs w:val="21"/>
    </w:rPr>
  </w:style>
  <w:style w:type="paragraph" w:styleId="15">
    <w:name w:val="List Number 2"/>
    <w:basedOn w:val="1"/>
    <w:qFormat/>
    <w:uiPriority w:val="0"/>
    <w:pPr>
      <w:numPr>
        <w:ilvl w:val="0"/>
        <w:numId w:val="2"/>
      </w:numPr>
      <w:tabs>
        <w:tab w:val="left" w:pos="820"/>
      </w:tabs>
      <w:spacing w:afterLines="50"/>
    </w:pPr>
    <w:rPr>
      <w:sz w:val="24"/>
      <w:szCs w:val="20"/>
    </w:rPr>
  </w:style>
  <w:style w:type="paragraph" w:styleId="16">
    <w:name w:val="Note Heading"/>
    <w:basedOn w:val="1"/>
    <w:next w:val="1"/>
    <w:qFormat/>
    <w:uiPriority w:val="0"/>
    <w:pPr>
      <w:widowControl w:val="0"/>
      <w:shd w:val="clear" w:color="auto" w:fill="auto"/>
      <w:tabs>
        <w:tab w:val="clear" w:pos="426"/>
      </w:tabs>
      <w:adjustRightInd/>
      <w:snapToGrid/>
      <w:spacing w:line="240" w:lineRule="auto"/>
      <w:jc w:val="center"/>
    </w:pPr>
    <w:rPr>
      <w:rFonts w:ascii="Times New Roman" w:cs="Times New Roman"/>
      <w:kern w:val="2"/>
    </w:rPr>
  </w:style>
  <w:style w:type="paragraph" w:styleId="17">
    <w:name w:val="List Bullet 4"/>
    <w:basedOn w:val="1"/>
    <w:qFormat/>
    <w:uiPriority w:val="0"/>
    <w:pPr>
      <w:widowControl w:val="0"/>
      <w:numPr>
        <w:ilvl w:val="0"/>
        <w:numId w:val="3"/>
      </w:numPr>
      <w:shd w:val="clear" w:color="auto" w:fill="auto"/>
      <w:tabs>
        <w:tab w:val="clear" w:pos="426"/>
      </w:tabs>
      <w:adjustRightInd/>
      <w:snapToGrid/>
      <w:spacing w:line="240" w:lineRule="auto"/>
    </w:pPr>
    <w:rPr>
      <w:rFonts w:ascii="Times New Roman" w:cs="Times New Roman"/>
      <w:kern w:val="2"/>
    </w:rPr>
  </w:style>
  <w:style w:type="paragraph" w:styleId="18">
    <w:name w:val="index 8"/>
    <w:basedOn w:val="1"/>
    <w:next w:val="1"/>
    <w:qFormat/>
    <w:uiPriority w:val="0"/>
    <w:pPr>
      <w:widowControl w:val="0"/>
      <w:shd w:val="clear" w:color="auto" w:fill="auto"/>
      <w:tabs>
        <w:tab w:val="clear" w:pos="426"/>
      </w:tabs>
      <w:adjustRightInd/>
      <w:snapToGrid/>
      <w:spacing w:line="240" w:lineRule="auto"/>
      <w:ind w:left="1680" w:hanging="210"/>
      <w:jc w:val="left"/>
    </w:pPr>
    <w:rPr>
      <w:rFonts w:ascii="Times New Roman" w:cs="Times New Roman"/>
      <w:kern w:val="2"/>
      <w:sz w:val="20"/>
      <w:szCs w:val="20"/>
    </w:rPr>
  </w:style>
  <w:style w:type="paragraph" w:styleId="19">
    <w:name w:val="E-mail Signature"/>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20">
    <w:name w:val="List Number"/>
    <w:basedOn w:val="1"/>
    <w:qFormat/>
    <w:uiPriority w:val="0"/>
    <w:pPr>
      <w:widowControl w:val="0"/>
      <w:numPr>
        <w:ilvl w:val="0"/>
        <w:numId w:val="4"/>
      </w:numPr>
      <w:shd w:val="clear" w:color="auto" w:fill="auto"/>
      <w:tabs>
        <w:tab w:val="clear" w:pos="426"/>
      </w:tabs>
      <w:adjustRightInd/>
      <w:snapToGrid/>
      <w:spacing w:line="240" w:lineRule="auto"/>
    </w:pPr>
    <w:rPr>
      <w:rFonts w:ascii="Times New Roman" w:cs="Times New Roman"/>
      <w:kern w:val="2"/>
    </w:rPr>
  </w:style>
  <w:style w:type="paragraph" w:styleId="21">
    <w:name w:val="caption"/>
    <w:basedOn w:val="1"/>
    <w:next w:val="1"/>
    <w:qFormat/>
    <w:uiPriority w:val="0"/>
    <w:rPr>
      <w:rFonts w:ascii="Arial" w:hAnsi="Arial" w:eastAsia="黑体" w:cs="Arial"/>
      <w:sz w:val="20"/>
      <w:szCs w:val="20"/>
    </w:rPr>
  </w:style>
  <w:style w:type="paragraph" w:styleId="22">
    <w:name w:val="index 5"/>
    <w:basedOn w:val="1"/>
    <w:next w:val="1"/>
    <w:qFormat/>
    <w:uiPriority w:val="0"/>
    <w:pPr>
      <w:widowControl w:val="0"/>
      <w:shd w:val="clear" w:color="auto" w:fill="auto"/>
      <w:tabs>
        <w:tab w:val="clear" w:pos="426"/>
      </w:tabs>
      <w:adjustRightInd/>
      <w:snapToGrid/>
      <w:spacing w:line="240" w:lineRule="auto"/>
      <w:ind w:left="1050" w:hanging="210"/>
      <w:jc w:val="left"/>
    </w:pPr>
    <w:rPr>
      <w:rFonts w:ascii="Times New Roman" w:cs="Times New Roman"/>
      <w:kern w:val="2"/>
      <w:sz w:val="20"/>
      <w:szCs w:val="20"/>
    </w:rPr>
  </w:style>
  <w:style w:type="paragraph" w:styleId="23">
    <w:name w:val="List Bullet"/>
    <w:basedOn w:val="1"/>
    <w:qFormat/>
    <w:uiPriority w:val="0"/>
    <w:pPr>
      <w:tabs>
        <w:tab w:val="left" w:pos="360"/>
      </w:tabs>
      <w:ind w:left="200" w:hanging="200" w:hangingChars="200"/>
    </w:pPr>
    <w:rPr>
      <w:szCs w:val="20"/>
    </w:rPr>
  </w:style>
  <w:style w:type="paragraph" w:styleId="24">
    <w:name w:val="envelope address"/>
    <w:basedOn w:val="1"/>
    <w:qFormat/>
    <w:uiPriority w:val="0"/>
    <w:pPr>
      <w:framePr w:w="7920" w:h="1980" w:hRule="exact" w:hSpace="180" w:wrap="around" w:vAnchor="margin" w:hAnchor="page" w:xAlign="center" w:yAlign="bottom"/>
      <w:widowControl w:val="0"/>
      <w:shd w:val="clear" w:color="auto" w:fill="auto"/>
      <w:tabs>
        <w:tab w:val="clear" w:pos="426"/>
      </w:tabs>
      <w:adjustRightInd/>
      <w:spacing w:line="240" w:lineRule="auto"/>
      <w:ind w:left="1400" w:leftChars="1400"/>
    </w:pPr>
    <w:rPr>
      <w:rFonts w:ascii="Arial" w:hAnsi="Arial" w:cs="Arial"/>
      <w:kern w:val="2"/>
      <w:sz w:val="24"/>
    </w:rPr>
  </w:style>
  <w:style w:type="paragraph" w:styleId="25">
    <w:name w:val="Document Map"/>
    <w:basedOn w:val="1"/>
    <w:qFormat/>
    <w:uiPriority w:val="0"/>
    <w:pPr>
      <w:shd w:val="clear" w:color="auto" w:fill="000080"/>
    </w:pPr>
    <w:rPr>
      <w:rFonts w:ascii="Times New Roman" w:cs="Times New Roman"/>
      <w:kern w:val="2"/>
    </w:rPr>
  </w:style>
  <w:style w:type="paragraph" w:styleId="26">
    <w:name w:val="toa heading"/>
    <w:basedOn w:val="1"/>
    <w:next w:val="1"/>
    <w:qFormat/>
    <w:uiPriority w:val="0"/>
    <w:pPr>
      <w:spacing w:before="120"/>
    </w:pPr>
    <w:rPr>
      <w:rFonts w:ascii="Arial" w:hAnsi="Arial"/>
      <w:sz w:val="24"/>
      <w:szCs w:val="20"/>
    </w:rPr>
  </w:style>
  <w:style w:type="paragraph" w:styleId="27">
    <w:name w:val="annotation text"/>
    <w:basedOn w:val="1"/>
    <w:link w:val="114"/>
    <w:qFormat/>
    <w:uiPriority w:val="0"/>
    <w:pPr>
      <w:autoSpaceDE w:val="0"/>
      <w:autoSpaceDN w:val="0"/>
      <w:jc w:val="left"/>
      <w:textAlignment w:val="baseline"/>
    </w:pPr>
    <w:rPr>
      <w:rFonts w:cs="Times New Roman"/>
      <w:sz w:val="34"/>
      <w:szCs w:val="20"/>
    </w:rPr>
  </w:style>
  <w:style w:type="paragraph" w:styleId="28">
    <w:name w:val="index 6"/>
    <w:basedOn w:val="1"/>
    <w:next w:val="1"/>
    <w:qFormat/>
    <w:uiPriority w:val="0"/>
    <w:pPr>
      <w:widowControl w:val="0"/>
      <w:shd w:val="clear" w:color="auto" w:fill="auto"/>
      <w:tabs>
        <w:tab w:val="clear" w:pos="426"/>
      </w:tabs>
      <w:adjustRightInd/>
      <w:snapToGrid/>
      <w:spacing w:line="240" w:lineRule="auto"/>
      <w:ind w:left="1260" w:hanging="210"/>
      <w:jc w:val="left"/>
    </w:pPr>
    <w:rPr>
      <w:rFonts w:ascii="Times New Roman" w:cs="Times New Roman"/>
      <w:kern w:val="2"/>
      <w:sz w:val="20"/>
      <w:szCs w:val="20"/>
    </w:rPr>
  </w:style>
  <w:style w:type="paragraph" w:styleId="29">
    <w:name w:val="Salutation"/>
    <w:basedOn w:val="1"/>
    <w:next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styleId="30">
    <w:name w:val="Body Text 3"/>
    <w:basedOn w:val="1"/>
    <w:link w:val="115"/>
    <w:qFormat/>
    <w:uiPriority w:val="0"/>
    <w:pPr>
      <w:spacing w:after="120"/>
    </w:pPr>
    <w:rPr>
      <w:rFonts w:ascii="Times New Roman" w:cs="Times New Roman"/>
      <w:kern w:val="2"/>
      <w:sz w:val="16"/>
      <w:szCs w:val="16"/>
    </w:rPr>
  </w:style>
  <w:style w:type="paragraph" w:styleId="31">
    <w:name w:val="Closing"/>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32">
    <w:name w:val="List Bullet 3"/>
    <w:basedOn w:val="1"/>
    <w:qFormat/>
    <w:uiPriority w:val="0"/>
    <w:pPr>
      <w:widowControl w:val="0"/>
      <w:numPr>
        <w:ilvl w:val="0"/>
        <w:numId w:val="5"/>
      </w:numPr>
      <w:shd w:val="clear" w:color="auto" w:fill="auto"/>
      <w:tabs>
        <w:tab w:val="clear" w:pos="426"/>
      </w:tabs>
      <w:adjustRightInd/>
      <w:snapToGrid/>
      <w:spacing w:line="240" w:lineRule="auto"/>
    </w:pPr>
    <w:rPr>
      <w:rFonts w:ascii="Times New Roman" w:cs="Times New Roman"/>
      <w:kern w:val="2"/>
    </w:rPr>
  </w:style>
  <w:style w:type="paragraph" w:styleId="33">
    <w:name w:val="Body Text Indent"/>
    <w:basedOn w:val="1"/>
    <w:next w:val="34"/>
    <w:link w:val="116"/>
    <w:qFormat/>
    <w:uiPriority w:val="0"/>
    <w:pPr>
      <w:ind w:firstLine="200" w:firstLineChars="200"/>
    </w:pPr>
    <w:rPr>
      <w:rFonts w:ascii="Times New Roman" w:cs="Times New Roman"/>
      <w:kern w:val="2"/>
    </w:rPr>
  </w:style>
  <w:style w:type="paragraph" w:styleId="34">
    <w:name w:val="envelope return"/>
    <w:basedOn w:val="1"/>
    <w:qFormat/>
    <w:uiPriority w:val="0"/>
    <w:pPr>
      <w:widowControl w:val="0"/>
      <w:shd w:val="clear" w:color="auto" w:fill="auto"/>
      <w:tabs>
        <w:tab w:val="clear" w:pos="426"/>
      </w:tabs>
      <w:adjustRightInd/>
      <w:spacing w:line="240" w:lineRule="auto"/>
    </w:pPr>
    <w:rPr>
      <w:rFonts w:ascii="Arial" w:hAnsi="Arial" w:cs="Arial"/>
      <w:kern w:val="2"/>
    </w:rPr>
  </w:style>
  <w:style w:type="paragraph" w:styleId="35">
    <w:name w:val="List Number 3"/>
    <w:basedOn w:val="1"/>
    <w:qFormat/>
    <w:uiPriority w:val="0"/>
    <w:pPr>
      <w:widowControl w:val="0"/>
      <w:numPr>
        <w:ilvl w:val="0"/>
        <w:numId w:val="6"/>
      </w:numPr>
      <w:shd w:val="clear" w:color="auto" w:fill="auto"/>
      <w:tabs>
        <w:tab w:val="clear" w:pos="426"/>
      </w:tabs>
      <w:adjustRightInd/>
      <w:snapToGrid/>
      <w:spacing w:line="240" w:lineRule="auto"/>
    </w:pPr>
    <w:rPr>
      <w:rFonts w:ascii="Times New Roman" w:cs="Times New Roman"/>
      <w:kern w:val="2"/>
    </w:rPr>
  </w:style>
  <w:style w:type="paragraph" w:styleId="36">
    <w:name w:val="List 2"/>
    <w:basedOn w:val="1"/>
    <w:qFormat/>
    <w:uiPriority w:val="0"/>
    <w:pPr>
      <w:widowControl w:val="0"/>
      <w:shd w:val="clear" w:color="auto" w:fill="auto"/>
      <w:tabs>
        <w:tab w:val="clear" w:pos="426"/>
      </w:tabs>
      <w:adjustRightInd/>
      <w:snapToGrid/>
      <w:spacing w:line="240" w:lineRule="auto"/>
      <w:ind w:left="400" w:leftChars="200" w:hanging="200" w:hangingChars="200"/>
    </w:pPr>
    <w:rPr>
      <w:rFonts w:ascii="Times New Roman" w:cs="Times New Roman"/>
      <w:kern w:val="2"/>
    </w:rPr>
  </w:style>
  <w:style w:type="paragraph" w:styleId="37">
    <w:name w:val="List Continue"/>
    <w:basedOn w:val="1"/>
    <w:qFormat/>
    <w:uiPriority w:val="0"/>
    <w:pPr>
      <w:widowControl w:val="0"/>
      <w:shd w:val="clear" w:color="auto" w:fill="auto"/>
      <w:tabs>
        <w:tab w:val="clear" w:pos="426"/>
      </w:tabs>
      <w:adjustRightInd/>
      <w:snapToGrid/>
      <w:spacing w:after="120" w:line="240" w:lineRule="auto"/>
      <w:ind w:left="200" w:leftChars="200"/>
    </w:pPr>
    <w:rPr>
      <w:rFonts w:ascii="Times New Roman" w:cs="Times New Roman"/>
      <w:kern w:val="2"/>
    </w:rPr>
  </w:style>
  <w:style w:type="paragraph" w:styleId="38">
    <w:name w:val="Block Text"/>
    <w:basedOn w:val="1"/>
    <w:qFormat/>
    <w:uiPriority w:val="0"/>
    <w:pPr>
      <w:widowControl w:val="0"/>
      <w:shd w:val="clear" w:color="auto" w:fill="auto"/>
      <w:tabs>
        <w:tab w:val="clear" w:pos="426"/>
      </w:tabs>
      <w:adjustRightInd/>
      <w:snapToGrid/>
      <w:spacing w:after="120" w:line="240" w:lineRule="auto"/>
      <w:ind w:left="700" w:leftChars="700" w:right="700" w:rightChars="700"/>
    </w:pPr>
    <w:rPr>
      <w:rFonts w:ascii="Times New Roman" w:cs="Times New Roman"/>
      <w:kern w:val="2"/>
    </w:rPr>
  </w:style>
  <w:style w:type="paragraph" w:styleId="39">
    <w:name w:val="List Bullet 2"/>
    <w:basedOn w:val="1"/>
    <w:qFormat/>
    <w:uiPriority w:val="0"/>
    <w:pPr>
      <w:widowControl w:val="0"/>
      <w:numPr>
        <w:ilvl w:val="0"/>
        <w:numId w:val="7"/>
      </w:numPr>
      <w:shd w:val="clear" w:color="auto" w:fill="auto"/>
      <w:tabs>
        <w:tab w:val="clear" w:pos="426"/>
      </w:tabs>
      <w:adjustRightInd/>
      <w:snapToGrid/>
      <w:spacing w:line="240" w:lineRule="auto"/>
    </w:pPr>
    <w:rPr>
      <w:rFonts w:ascii="Times New Roman" w:cs="Times New Roman"/>
      <w:kern w:val="2"/>
    </w:rPr>
  </w:style>
  <w:style w:type="paragraph" w:styleId="40">
    <w:name w:val="HTML Address"/>
    <w:basedOn w:val="1"/>
    <w:qFormat/>
    <w:uiPriority w:val="0"/>
    <w:pPr>
      <w:widowControl w:val="0"/>
      <w:shd w:val="clear" w:color="auto" w:fill="auto"/>
      <w:tabs>
        <w:tab w:val="clear" w:pos="426"/>
      </w:tabs>
      <w:adjustRightInd/>
      <w:snapToGrid/>
      <w:spacing w:line="240" w:lineRule="auto"/>
    </w:pPr>
    <w:rPr>
      <w:rFonts w:ascii="Times New Roman" w:cs="Times New Roman"/>
      <w:i/>
      <w:iCs/>
      <w:kern w:val="2"/>
    </w:rPr>
  </w:style>
  <w:style w:type="paragraph" w:styleId="41">
    <w:name w:val="index 4"/>
    <w:basedOn w:val="1"/>
    <w:next w:val="1"/>
    <w:qFormat/>
    <w:uiPriority w:val="0"/>
    <w:pPr>
      <w:widowControl w:val="0"/>
      <w:shd w:val="clear" w:color="auto" w:fill="auto"/>
      <w:tabs>
        <w:tab w:val="clear" w:pos="426"/>
      </w:tabs>
      <w:adjustRightInd/>
      <w:snapToGrid/>
      <w:spacing w:line="240" w:lineRule="auto"/>
      <w:ind w:left="840" w:hanging="210"/>
      <w:jc w:val="left"/>
    </w:pPr>
    <w:rPr>
      <w:rFonts w:ascii="Times New Roman" w:cs="Times New Roman"/>
      <w:kern w:val="2"/>
      <w:sz w:val="20"/>
      <w:szCs w:val="20"/>
    </w:rPr>
  </w:style>
  <w:style w:type="paragraph" w:styleId="42">
    <w:name w:val="toc 5"/>
    <w:basedOn w:val="1"/>
    <w:next w:val="1"/>
    <w:qFormat/>
    <w:uiPriority w:val="0"/>
    <w:pPr>
      <w:ind w:left="840"/>
      <w:jc w:val="left"/>
    </w:pPr>
    <w:rPr>
      <w:szCs w:val="21"/>
    </w:rPr>
  </w:style>
  <w:style w:type="paragraph" w:styleId="43">
    <w:name w:val="toc 3"/>
    <w:basedOn w:val="1"/>
    <w:next w:val="1"/>
    <w:qFormat/>
    <w:uiPriority w:val="39"/>
    <w:pPr>
      <w:ind w:left="420"/>
      <w:jc w:val="left"/>
    </w:pPr>
    <w:rPr>
      <w:i/>
      <w:iCs/>
    </w:rPr>
  </w:style>
  <w:style w:type="paragraph" w:styleId="44">
    <w:name w:val="Plain Text"/>
    <w:basedOn w:val="1"/>
    <w:link w:val="579"/>
    <w:qFormat/>
    <w:uiPriority w:val="0"/>
    <w:rPr>
      <w:rFonts w:cs="Times New Roman"/>
      <w:kern w:val="2"/>
      <w:szCs w:val="20"/>
    </w:rPr>
  </w:style>
  <w:style w:type="paragraph" w:styleId="45">
    <w:name w:val="List Bullet 5"/>
    <w:basedOn w:val="1"/>
    <w:qFormat/>
    <w:uiPriority w:val="0"/>
    <w:pPr>
      <w:widowControl w:val="0"/>
      <w:numPr>
        <w:ilvl w:val="0"/>
        <w:numId w:val="8"/>
      </w:numPr>
      <w:shd w:val="clear" w:color="auto" w:fill="auto"/>
      <w:tabs>
        <w:tab w:val="clear" w:pos="426"/>
      </w:tabs>
      <w:adjustRightInd/>
      <w:snapToGrid/>
      <w:spacing w:line="240" w:lineRule="auto"/>
    </w:pPr>
    <w:rPr>
      <w:rFonts w:ascii="Times New Roman" w:cs="Times New Roman"/>
      <w:kern w:val="2"/>
    </w:rPr>
  </w:style>
  <w:style w:type="paragraph" w:styleId="46">
    <w:name w:val="List Number 4"/>
    <w:basedOn w:val="1"/>
    <w:qFormat/>
    <w:uiPriority w:val="0"/>
    <w:pPr>
      <w:widowControl w:val="0"/>
      <w:numPr>
        <w:ilvl w:val="0"/>
        <w:numId w:val="9"/>
      </w:numPr>
      <w:shd w:val="clear" w:color="auto" w:fill="auto"/>
      <w:tabs>
        <w:tab w:val="clear" w:pos="426"/>
      </w:tabs>
      <w:adjustRightInd/>
      <w:snapToGrid/>
      <w:spacing w:line="240" w:lineRule="auto"/>
    </w:pPr>
    <w:rPr>
      <w:rFonts w:ascii="Times New Roman" w:cs="Times New Roman"/>
      <w:kern w:val="2"/>
    </w:rPr>
  </w:style>
  <w:style w:type="paragraph" w:styleId="47">
    <w:name w:val="toc 8"/>
    <w:basedOn w:val="1"/>
    <w:next w:val="1"/>
    <w:qFormat/>
    <w:uiPriority w:val="0"/>
    <w:pPr>
      <w:ind w:left="1470"/>
      <w:jc w:val="left"/>
    </w:pPr>
    <w:rPr>
      <w:szCs w:val="21"/>
    </w:rPr>
  </w:style>
  <w:style w:type="paragraph" w:styleId="48">
    <w:name w:val="index 3"/>
    <w:basedOn w:val="1"/>
    <w:next w:val="1"/>
    <w:qFormat/>
    <w:uiPriority w:val="0"/>
    <w:pPr>
      <w:widowControl w:val="0"/>
      <w:shd w:val="clear" w:color="auto" w:fill="auto"/>
      <w:tabs>
        <w:tab w:val="clear" w:pos="426"/>
      </w:tabs>
      <w:adjustRightInd/>
      <w:snapToGrid/>
      <w:spacing w:line="240" w:lineRule="auto"/>
      <w:ind w:left="630" w:hanging="210"/>
      <w:jc w:val="left"/>
    </w:pPr>
    <w:rPr>
      <w:rFonts w:ascii="Times New Roman" w:cs="Times New Roman"/>
      <w:kern w:val="2"/>
      <w:sz w:val="20"/>
      <w:szCs w:val="20"/>
    </w:rPr>
  </w:style>
  <w:style w:type="paragraph" w:styleId="49">
    <w:name w:val="Date"/>
    <w:basedOn w:val="1"/>
    <w:next w:val="1"/>
    <w:qFormat/>
    <w:uiPriority w:val="0"/>
    <w:rPr>
      <w:rFonts w:cs="Times New Roman"/>
      <w:kern w:val="2"/>
      <w:sz w:val="32"/>
      <w:szCs w:val="20"/>
    </w:rPr>
  </w:style>
  <w:style w:type="paragraph" w:styleId="50">
    <w:name w:val="Body Text Indent 2"/>
    <w:basedOn w:val="1"/>
    <w:link w:val="117"/>
    <w:qFormat/>
    <w:uiPriority w:val="0"/>
    <w:pPr>
      <w:spacing w:beforeLines="50" w:afterLines="50" w:line="120" w:lineRule="auto"/>
      <w:ind w:firstLine="400" w:firstLineChars="400"/>
      <w:jc w:val="left"/>
    </w:pPr>
    <w:rPr>
      <w:rFonts w:cs="Times New Roman"/>
      <w:kern w:val="2"/>
    </w:rPr>
  </w:style>
  <w:style w:type="paragraph" w:styleId="51">
    <w:name w:val="endnote text"/>
    <w:basedOn w:val="1"/>
    <w:qFormat/>
    <w:uiPriority w:val="0"/>
    <w:pPr>
      <w:widowControl w:val="0"/>
      <w:shd w:val="clear" w:color="auto" w:fill="auto"/>
      <w:tabs>
        <w:tab w:val="clear" w:pos="426"/>
      </w:tabs>
      <w:adjustRightInd/>
      <w:spacing w:line="240" w:lineRule="auto"/>
      <w:jc w:val="left"/>
    </w:pPr>
    <w:rPr>
      <w:rFonts w:ascii="Times New Roman" w:cs="Times New Roman"/>
      <w:kern w:val="2"/>
    </w:rPr>
  </w:style>
  <w:style w:type="paragraph" w:styleId="52">
    <w:name w:val="List Continue 5"/>
    <w:basedOn w:val="1"/>
    <w:qFormat/>
    <w:uiPriority w:val="0"/>
    <w:pPr>
      <w:widowControl w:val="0"/>
      <w:shd w:val="clear" w:color="auto" w:fill="auto"/>
      <w:tabs>
        <w:tab w:val="clear" w:pos="426"/>
      </w:tabs>
      <w:adjustRightInd/>
      <w:snapToGrid/>
      <w:spacing w:after="120" w:line="240" w:lineRule="auto"/>
      <w:ind w:left="1000" w:leftChars="1000"/>
    </w:pPr>
    <w:rPr>
      <w:rFonts w:ascii="Times New Roman" w:cs="Times New Roman"/>
      <w:kern w:val="2"/>
    </w:rPr>
  </w:style>
  <w:style w:type="paragraph" w:styleId="53">
    <w:name w:val="Balloon Text"/>
    <w:basedOn w:val="1"/>
    <w:link w:val="118"/>
    <w:qFormat/>
    <w:uiPriority w:val="0"/>
    <w:rPr>
      <w:rFonts w:ascii="Times New Roman" w:cs="Times New Roman"/>
      <w:kern w:val="2"/>
      <w:sz w:val="18"/>
      <w:szCs w:val="18"/>
    </w:rPr>
  </w:style>
  <w:style w:type="paragraph" w:styleId="54">
    <w:name w:val="footer"/>
    <w:basedOn w:val="1"/>
    <w:link w:val="119"/>
    <w:qFormat/>
    <w:uiPriority w:val="0"/>
    <w:pPr>
      <w:tabs>
        <w:tab w:val="center" w:pos="4153"/>
        <w:tab w:val="right" w:pos="8306"/>
      </w:tabs>
      <w:jc w:val="left"/>
    </w:pPr>
    <w:rPr>
      <w:rFonts w:ascii="Times New Roman" w:cs="Times New Roman"/>
      <w:kern w:val="2"/>
      <w:sz w:val="18"/>
      <w:szCs w:val="18"/>
    </w:rPr>
  </w:style>
  <w:style w:type="paragraph" w:styleId="55">
    <w:name w:val="header"/>
    <w:basedOn w:val="1"/>
    <w:link w:val="120"/>
    <w:qFormat/>
    <w:uiPriority w:val="0"/>
    <w:pPr>
      <w:pBdr>
        <w:bottom w:val="single" w:color="auto" w:sz="6" w:space="1"/>
      </w:pBdr>
      <w:tabs>
        <w:tab w:val="center" w:pos="4153"/>
        <w:tab w:val="right" w:pos="8306"/>
      </w:tabs>
      <w:jc w:val="center"/>
    </w:pPr>
    <w:rPr>
      <w:rFonts w:ascii="Times New Roman" w:cs="Times New Roman"/>
      <w:kern w:val="2"/>
      <w:sz w:val="18"/>
      <w:szCs w:val="18"/>
    </w:rPr>
  </w:style>
  <w:style w:type="paragraph" w:styleId="56">
    <w:name w:val="Signature"/>
    <w:basedOn w:val="1"/>
    <w:qFormat/>
    <w:uiPriority w:val="0"/>
    <w:pPr>
      <w:widowControl w:val="0"/>
      <w:shd w:val="clear" w:color="auto" w:fill="auto"/>
      <w:tabs>
        <w:tab w:val="clear" w:pos="426"/>
      </w:tabs>
      <w:adjustRightInd/>
      <w:snapToGrid/>
      <w:spacing w:line="240" w:lineRule="auto"/>
      <w:ind w:left="2100" w:leftChars="2100"/>
    </w:pPr>
    <w:rPr>
      <w:rFonts w:ascii="Times New Roman" w:cs="Times New Roman"/>
      <w:kern w:val="2"/>
    </w:rPr>
  </w:style>
  <w:style w:type="paragraph" w:styleId="57">
    <w:name w:val="toc 1"/>
    <w:basedOn w:val="1"/>
    <w:next w:val="1"/>
    <w:qFormat/>
    <w:uiPriority w:val="39"/>
    <w:pPr>
      <w:tabs>
        <w:tab w:val="right" w:leader="dot" w:pos="8789"/>
      </w:tabs>
      <w:adjustRightInd/>
      <w:snapToGrid/>
      <w:spacing w:before="120" w:after="120"/>
      <w:jc w:val="left"/>
    </w:pPr>
    <w:rPr>
      <w:b/>
      <w:bCs/>
      <w:caps/>
      <w:sz w:val="28"/>
    </w:rPr>
  </w:style>
  <w:style w:type="paragraph" w:styleId="58">
    <w:name w:val="List Continue 4"/>
    <w:basedOn w:val="1"/>
    <w:qFormat/>
    <w:uiPriority w:val="0"/>
    <w:pPr>
      <w:widowControl w:val="0"/>
      <w:shd w:val="clear" w:color="auto" w:fill="auto"/>
      <w:tabs>
        <w:tab w:val="clear" w:pos="426"/>
      </w:tabs>
      <w:adjustRightInd/>
      <w:snapToGrid/>
      <w:spacing w:after="120" w:line="240" w:lineRule="auto"/>
      <w:ind w:left="800" w:leftChars="800"/>
    </w:pPr>
    <w:rPr>
      <w:rFonts w:ascii="Times New Roman" w:cs="Times New Roman"/>
      <w:kern w:val="2"/>
    </w:rPr>
  </w:style>
  <w:style w:type="paragraph" w:styleId="59">
    <w:name w:val="toc 4"/>
    <w:basedOn w:val="1"/>
    <w:next w:val="1"/>
    <w:qFormat/>
    <w:uiPriority w:val="0"/>
    <w:pPr>
      <w:ind w:left="630"/>
      <w:jc w:val="left"/>
    </w:pPr>
    <w:rPr>
      <w:szCs w:val="21"/>
    </w:rPr>
  </w:style>
  <w:style w:type="paragraph" w:styleId="60">
    <w:name w:val="index heading"/>
    <w:basedOn w:val="1"/>
    <w:next w:val="61"/>
    <w:qFormat/>
    <w:uiPriority w:val="0"/>
    <w:pPr>
      <w:widowControl w:val="0"/>
      <w:shd w:val="clear" w:color="auto" w:fill="auto"/>
      <w:tabs>
        <w:tab w:val="clear" w:pos="426"/>
      </w:tabs>
      <w:adjustRightInd/>
      <w:snapToGrid/>
      <w:spacing w:before="120" w:after="120" w:line="240" w:lineRule="auto"/>
      <w:jc w:val="left"/>
    </w:pPr>
    <w:rPr>
      <w:rFonts w:ascii="Times New Roman" w:cs="Times New Roman"/>
      <w:b/>
      <w:bCs/>
      <w:i/>
      <w:iCs/>
      <w:kern w:val="2"/>
      <w:sz w:val="20"/>
      <w:szCs w:val="20"/>
    </w:rPr>
  </w:style>
  <w:style w:type="paragraph" w:styleId="61">
    <w:name w:val="index 1"/>
    <w:basedOn w:val="1"/>
    <w:next w:val="1"/>
    <w:qFormat/>
    <w:uiPriority w:val="0"/>
    <w:rPr>
      <w:b/>
      <w:color w:val="0000FF"/>
      <w:sz w:val="24"/>
    </w:rPr>
  </w:style>
  <w:style w:type="paragraph" w:styleId="62">
    <w:name w:val="Subtitle"/>
    <w:basedOn w:val="1"/>
    <w:next w:val="1"/>
    <w:qFormat/>
    <w:uiPriority w:val="0"/>
    <w:pPr>
      <w:spacing w:before="240" w:after="60" w:line="312" w:lineRule="auto"/>
      <w:jc w:val="center"/>
      <w:outlineLvl w:val="1"/>
    </w:pPr>
    <w:rPr>
      <w:rFonts w:ascii="Cambria" w:hAnsi="Cambria" w:cs="Times New Roman"/>
      <w:b/>
      <w:bCs/>
      <w:kern w:val="28"/>
      <w:sz w:val="28"/>
      <w:szCs w:val="32"/>
    </w:rPr>
  </w:style>
  <w:style w:type="paragraph" w:styleId="63">
    <w:name w:val="List Number 5"/>
    <w:basedOn w:val="1"/>
    <w:qFormat/>
    <w:uiPriority w:val="0"/>
    <w:pPr>
      <w:widowControl w:val="0"/>
      <w:numPr>
        <w:ilvl w:val="0"/>
        <w:numId w:val="10"/>
      </w:numPr>
      <w:shd w:val="clear" w:color="auto" w:fill="auto"/>
      <w:tabs>
        <w:tab w:val="clear" w:pos="426"/>
      </w:tabs>
      <w:adjustRightInd/>
      <w:snapToGrid/>
      <w:spacing w:line="240" w:lineRule="auto"/>
    </w:pPr>
    <w:rPr>
      <w:rFonts w:ascii="Times New Roman" w:cs="Times New Roman"/>
      <w:kern w:val="2"/>
    </w:rPr>
  </w:style>
  <w:style w:type="paragraph" w:styleId="64">
    <w:name w:val="List"/>
    <w:basedOn w:val="1"/>
    <w:qFormat/>
    <w:uiPriority w:val="0"/>
    <w:pPr>
      <w:widowControl w:val="0"/>
      <w:shd w:val="clear" w:color="auto" w:fill="auto"/>
      <w:tabs>
        <w:tab w:val="clear" w:pos="426"/>
      </w:tabs>
      <w:adjustRightInd/>
      <w:snapToGrid/>
      <w:spacing w:line="240" w:lineRule="auto"/>
      <w:ind w:left="200" w:hanging="200" w:hangingChars="200"/>
    </w:pPr>
    <w:rPr>
      <w:rFonts w:ascii="Times New Roman" w:cs="Times New Roman"/>
      <w:kern w:val="2"/>
    </w:rPr>
  </w:style>
  <w:style w:type="paragraph" w:styleId="65">
    <w:name w:val="footnote text"/>
    <w:basedOn w:val="1"/>
    <w:link w:val="121"/>
    <w:qFormat/>
    <w:uiPriority w:val="0"/>
    <w:pPr>
      <w:widowControl w:val="0"/>
      <w:shd w:val="clear" w:color="auto" w:fill="auto"/>
      <w:tabs>
        <w:tab w:val="clear" w:pos="426"/>
      </w:tabs>
      <w:adjustRightInd/>
      <w:spacing w:line="240" w:lineRule="auto"/>
      <w:jc w:val="left"/>
    </w:pPr>
    <w:rPr>
      <w:rFonts w:ascii="Times New Roman" w:cs="Times New Roman"/>
      <w:kern w:val="2"/>
      <w:sz w:val="18"/>
    </w:rPr>
  </w:style>
  <w:style w:type="paragraph" w:styleId="66">
    <w:name w:val="toc 6"/>
    <w:basedOn w:val="1"/>
    <w:next w:val="1"/>
    <w:qFormat/>
    <w:uiPriority w:val="0"/>
    <w:pPr>
      <w:ind w:left="1050"/>
      <w:jc w:val="left"/>
    </w:pPr>
    <w:rPr>
      <w:szCs w:val="21"/>
    </w:rPr>
  </w:style>
  <w:style w:type="paragraph" w:styleId="67">
    <w:name w:val="List 5"/>
    <w:basedOn w:val="1"/>
    <w:qFormat/>
    <w:uiPriority w:val="0"/>
    <w:pPr>
      <w:widowControl w:val="0"/>
      <w:shd w:val="clear" w:color="auto" w:fill="auto"/>
      <w:tabs>
        <w:tab w:val="clear" w:pos="426"/>
      </w:tabs>
      <w:adjustRightInd/>
      <w:snapToGrid/>
      <w:spacing w:line="240" w:lineRule="auto"/>
      <w:ind w:left="1000" w:leftChars="800" w:hanging="200" w:hangingChars="200"/>
    </w:pPr>
    <w:rPr>
      <w:rFonts w:ascii="Times New Roman" w:cs="Times New Roman"/>
      <w:kern w:val="2"/>
    </w:rPr>
  </w:style>
  <w:style w:type="paragraph" w:styleId="68">
    <w:name w:val="Body Text Indent 3"/>
    <w:basedOn w:val="1"/>
    <w:link w:val="122"/>
    <w:qFormat/>
    <w:uiPriority w:val="0"/>
    <w:pPr>
      <w:ind w:firstLine="200" w:firstLineChars="200"/>
    </w:pPr>
    <w:rPr>
      <w:rFonts w:cs="Times New Roman"/>
      <w:b/>
      <w:bCs/>
      <w:kern w:val="2"/>
      <w:sz w:val="24"/>
    </w:rPr>
  </w:style>
  <w:style w:type="paragraph" w:styleId="69">
    <w:name w:val="index 7"/>
    <w:basedOn w:val="1"/>
    <w:next w:val="1"/>
    <w:qFormat/>
    <w:uiPriority w:val="0"/>
    <w:pPr>
      <w:widowControl w:val="0"/>
      <w:shd w:val="clear" w:color="auto" w:fill="auto"/>
      <w:tabs>
        <w:tab w:val="clear" w:pos="426"/>
      </w:tabs>
      <w:adjustRightInd/>
      <w:snapToGrid/>
      <w:spacing w:line="240" w:lineRule="auto"/>
      <w:ind w:left="1470" w:hanging="210"/>
      <w:jc w:val="left"/>
    </w:pPr>
    <w:rPr>
      <w:rFonts w:ascii="Times New Roman" w:cs="Times New Roman"/>
      <w:kern w:val="2"/>
      <w:sz w:val="20"/>
      <w:szCs w:val="20"/>
    </w:rPr>
  </w:style>
  <w:style w:type="paragraph" w:styleId="70">
    <w:name w:val="index 9"/>
    <w:basedOn w:val="1"/>
    <w:next w:val="1"/>
    <w:qFormat/>
    <w:uiPriority w:val="0"/>
    <w:pPr>
      <w:widowControl w:val="0"/>
      <w:shd w:val="clear" w:color="auto" w:fill="auto"/>
      <w:tabs>
        <w:tab w:val="clear" w:pos="426"/>
      </w:tabs>
      <w:adjustRightInd/>
      <w:snapToGrid/>
      <w:spacing w:line="240" w:lineRule="auto"/>
      <w:ind w:left="1890" w:hanging="210"/>
      <w:jc w:val="left"/>
    </w:pPr>
    <w:rPr>
      <w:rFonts w:ascii="Times New Roman" w:cs="Times New Roman"/>
      <w:kern w:val="2"/>
      <w:sz w:val="20"/>
      <w:szCs w:val="20"/>
    </w:rPr>
  </w:style>
  <w:style w:type="paragraph" w:styleId="71">
    <w:name w:val="toc 2"/>
    <w:basedOn w:val="1"/>
    <w:next w:val="1"/>
    <w:qFormat/>
    <w:uiPriority w:val="39"/>
    <w:pPr>
      <w:tabs>
        <w:tab w:val="right" w:leader="dot" w:pos="8789"/>
        <w:tab w:val="clear" w:pos="426"/>
      </w:tabs>
      <w:adjustRightInd/>
      <w:snapToGrid/>
      <w:spacing w:line="300" w:lineRule="auto"/>
      <w:ind w:left="50" w:leftChars="50"/>
    </w:pPr>
    <w:rPr>
      <w:smallCaps/>
      <w:sz w:val="28"/>
    </w:rPr>
  </w:style>
  <w:style w:type="paragraph" w:styleId="72">
    <w:name w:val="toc 9"/>
    <w:basedOn w:val="1"/>
    <w:next w:val="1"/>
    <w:qFormat/>
    <w:uiPriority w:val="0"/>
    <w:pPr>
      <w:ind w:left="1680"/>
      <w:jc w:val="left"/>
    </w:pPr>
    <w:rPr>
      <w:szCs w:val="21"/>
    </w:rPr>
  </w:style>
  <w:style w:type="paragraph" w:styleId="73">
    <w:name w:val="Body Text 2"/>
    <w:basedOn w:val="1"/>
    <w:link w:val="123"/>
    <w:qFormat/>
    <w:uiPriority w:val="0"/>
    <w:rPr>
      <w:rFonts w:ascii="Times New Roman" w:cs="Times New Roman"/>
      <w:kern w:val="2"/>
      <w:sz w:val="24"/>
    </w:rPr>
  </w:style>
  <w:style w:type="paragraph" w:styleId="74">
    <w:name w:val="List 4"/>
    <w:basedOn w:val="1"/>
    <w:qFormat/>
    <w:uiPriority w:val="0"/>
    <w:pPr>
      <w:widowControl w:val="0"/>
      <w:shd w:val="clear" w:color="auto" w:fill="auto"/>
      <w:tabs>
        <w:tab w:val="clear" w:pos="426"/>
      </w:tabs>
      <w:adjustRightInd/>
      <w:snapToGrid/>
      <w:spacing w:line="240" w:lineRule="auto"/>
      <w:ind w:left="800" w:leftChars="600" w:hanging="200" w:hangingChars="200"/>
    </w:pPr>
    <w:rPr>
      <w:rFonts w:ascii="Times New Roman" w:cs="Times New Roman"/>
      <w:kern w:val="2"/>
    </w:rPr>
  </w:style>
  <w:style w:type="paragraph" w:styleId="75">
    <w:name w:val="List Continue 2"/>
    <w:basedOn w:val="1"/>
    <w:qFormat/>
    <w:uiPriority w:val="0"/>
    <w:pPr>
      <w:widowControl w:val="0"/>
      <w:shd w:val="clear" w:color="auto" w:fill="auto"/>
      <w:tabs>
        <w:tab w:val="clear" w:pos="426"/>
      </w:tabs>
      <w:adjustRightInd/>
      <w:snapToGrid/>
      <w:spacing w:after="120" w:line="240" w:lineRule="auto"/>
      <w:ind w:left="400" w:leftChars="400"/>
    </w:pPr>
    <w:rPr>
      <w:rFonts w:ascii="Times New Roman" w:cs="Times New Roman"/>
      <w:kern w:val="2"/>
    </w:rPr>
  </w:style>
  <w:style w:type="paragraph" w:styleId="76">
    <w:name w:val="Message Header"/>
    <w:basedOn w:val="1"/>
    <w:qFormat/>
    <w:uiPriority w:val="0"/>
    <w:pPr>
      <w:widowControl w:val="0"/>
      <w:pBdr>
        <w:top w:val="single" w:color="auto" w:sz="6" w:space="1"/>
        <w:left w:val="single" w:color="auto" w:sz="6" w:space="1"/>
        <w:bottom w:val="single" w:color="auto" w:sz="6" w:space="1"/>
        <w:right w:val="single" w:color="auto" w:sz="6" w:space="1"/>
      </w:pBdr>
      <w:shd w:val="pct20" w:color="auto" w:fill="auto"/>
      <w:tabs>
        <w:tab w:val="clear" w:pos="426"/>
      </w:tabs>
      <w:adjustRightInd/>
      <w:snapToGrid/>
      <w:spacing w:line="240" w:lineRule="auto"/>
      <w:ind w:left="1000" w:leftChars="500" w:hanging="500" w:hangingChars="500"/>
    </w:pPr>
    <w:rPr>
      <w:rFonts w:ascii="Arial" w:hAnsi="Arial" w:cs="Times New Roman"/>
      <w:kern w:val="2"/>
      <w:sz w:val="24"/>
    </w:rPr>
  </w:style>
  <w:style w:type="paragraph" w:styleId="77">
    <w:name w:val="HTML Preformatted"/>
    <w:basedOn w:val="1"/>
    <w:link w:val="124"/>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cs="Times New Roman"/>
      <w:color w:val="000000"/>
      <w:sz w:val="20"/>
      <w:szCs w:val="20"/>
    </w:rPr>
  </w:style>
  <w:style w:type="paragraph" w:styleId="78">
    <w:name w:val="Normal (Web)"/>
    <w:basedOn w:val="1"/>
    <w:qFormat/>
    <w:uiPriority w:val="0"/>
    <w:rPr>
      <w:sz w:val="24"/>
    </w:rPr>
  </w:style>
  <w:style w:type="paragraph" w:styleId="79">
    <w:name w:val="List Continue 3"/>
    <w:basedOn w:val="1"/>
    <w:qFormat/>
    <w:uiPriority w:val="0"/>
    <w:pPr>
      <w:widowControl w:val="0"/>
      <w:shd w:val="clear" w:color="auto" w:fill="auto"/>
      <w:tabs>
        <w:tab w:val="clear" w:pos="426"/>
      </w:tabs>
      <w:adjustRightInd/>
      <w:snapToGrid/>
      <w:spacing w:after="120" w:line="240" w:lineRule="auto"/>
      <w:ind w:left="600" w:leftChars="600"/>
    </w:pPr>
    <w:rPr>
      <w:rFonts w:ascii="Times New Roman" w:cs="Times New Roman"/>
      <w:kern w:val="2"/>
    </w:rPr>
  </w:style>
  <w:style w:type="paragraph" w:styleId="80">
    <w:name w:val="index 2"/>
    <w:basedOn w:val="1"/>
    <w:next w:val="1"/>
    <w:qFormat/>
    <w:uiPriority w:val="0"/>
    <w:pPr>
      <w:widowControl w:val="0"/>
      <w:shd w:val="clear" w:color="auto" w:fill="auto"/>
      <w:tabs>
        <w:tab w:val="clear" w:pos="426"/>
      </w:tabs>
      <w:adjustRightInd/>
      <w:snapToGrid/>
      <w:spacing w:line="240" w:lineRule="auto"/>
      <w:ind w:left="420" w:hanging="210"/>
      <w:jc w:val="left"/>
    </w:pPr>
    <w:rPr>
      <w:rFonts w:ascii="Times New Roman" w:cs="Times New Roman"/>
      <w:kern w:val="2"/>
      <w:sz w:val="20"/>
      <w:szCs w:val="20"/>
    </w:rPr>
  </w:style>
  <w:style w:type="paragraph" w:styleId="81">
    <w:name w:val="Title"/>
    <w:basedOn w:val="1"/>
    <w:link w:val="125"/>
    <w:qFormat/>
    <w:uiPriority w:val="0"/>
    <w:pPr>
      <w:spacing w:before="240" w:after="60"/>
      <w:jc w:val="center"/>
      <w:outlineLvl w:val="0"/>
    </w:pPr>
    <w:rPr>
      <w:rFonts w:ascii="Arial" w:hAnsi="Arial" w:cs="Times New Roman"/>
      <w:b/>
      <w:bCs/>
      <w:kern w:val="2"/>
      <w:sz w:val="36"/>
      <w:szCs w:val="32"/>
    </w:rPr>
  </w:style>
  <w:style w:type="paragraph" w:styleId="82">
    <w:name w:val="annotation subject"/>
    <w:basedOn w:val="27"/>
    <w:next w:val="27"/>
    <w:link w:val="126"/>
    <w:qFormat/>
    <w:uiPriority w:val="0"/>
    <w:pPr>
      <w:autoSpaceDE/>
      <w:autoSpaceDN/>
      <w:adjustRightInd/>
      <w:textAlignment w:val="auto"/>
    </w:pPr>
    <w:rPr>
      <w:rFonts w:ascii="Times New Roman"/>
      <w:b/>
      <w:bCs/>
      <w:kern w:val="2"/>
      <w:sz w:val="21"/>
      <w:szCs w:val="24"/>
    </w:rPr>
  </w:style>
  <w:style w:type="paragraph" w:styleId="83">
    <w:name w:val="Body Text First Indent"/>
    <w:basedOn w:val="2"/>
    <w:qFormat/>
    <w:uiPriority w:val="0"/>
    <w:pPr>
      <w:widowControl w:val="0"/>
      <w:shd w:val="clear" w:color="auto" w:fill="auto"/>
      <w:tabs>
        <w:tab w:val="clear" w:pos="426"/>
      </w:tabs>
      <w:adjustRightInd/>
      <w:snapToGrid/>
      <w:spacing w:after="120" w:line="240" w:lineRule="auto"/>
      <w:ind w:firstLine="100" w:firstLineChars="100"/>
    </w:pPr>
    <w:rPr>
      <w:kern w:val="2"/>
      <w:sz w:val="21"/>
    </w:rPr>
  </w:style>
  <w:style w:type="paragraph" w:styleId="84">
    <w:name w:val="Body Text First Indent 2"/>
    <w:basedOn w:val="33"/>
    <w:next w:val="1"/>
    <w:qFormat/>
    <w:uiPriority w:val="99"/>
    <w:pPr>
      <w:widowControl w:val="0"/>
      <w:shd w:val="clear" w:color="auto" w:fill="auto"/>
      <w:tabs>
        <w:tab w:val="clear" w:pos="426"/>
      </w:tabs>
      <w:adjustRightInd/>
      <w:snapToGrid/>
      <w:spacing w:after="120" w:line="240" w:lineRule="auto"/>
      <w:ind w:left="200" w:leftChars="200"/>
    </w:pPr>
  </w:style>
  <w:style w:type="table" w:styleId="86">
    <w:name w:val="Table Grid"/>
    <w:basedOn w:val="8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8">
    <w:name w:val="Strong"/>
    <w:qFormat/>
    <w:uiPriority w:val="0"/>
    <w:rPr>
      <w:b/>
      <w:bCs/>
    </w:rPr>
  </w:style>
  <w:style w:type="character" w:styleId="89">
    <w:name w:val="endnote reference"/>
    <w:qFormat/>
    <w:uiPriority w:val="0"/>
    <w:rPr>
      <w:vertAlign w:val="superscript"/>
    </w:rPr>
  </w:style>
  <w:style w:type="character" w:styleId="90">
    <w:name w:val="page number"/>
    <w:qFormat/>
    <w:uiPriority w:val="0"/>
  </w:style>
  <w:style w:type="character" w:styleId="91">
    <w:name w:val="FollowedHyperlink"/>
    <w:qFormat/>
    <w:uiPriority w:val="99"/>
    <w:rPr>
      <w:color w:val="800080"/>
      <w:u w:val="single"/>
    </w:rPr>
  </w:style>
  <w:style w:type="character" w:styleId="92">
    <w:name w:val="Emphasis"/>
    <w:qFormat/>
    <w:uiPriority w:val="0"/>
    <w:rPr>
      <w:i/>
      <w:iCs/>
    </w:rPr>
  </w:style>
  <w:style w:type="character" w:styleId="93">
    <w:name w:val="line number"/>
    <w:qFormat/>
    <w:uiPriority w:val="0"/>
  </w:style>
  <w:style w:type="character" w:styleId="94">
    <w:name w:val="HTML Definition"/>
    <w:qFormat/>
    <w:uiPriority w:val="0"/>
    <w:rPr>
      <w:i/>
      <w:iCs/>
    </w:rPr>
  </w:style>
  <w:style w:type="character" w:styleId="95">
    <w:name w:val="HTML Typewriter"/>
    <w:qFormat/>
    <w:uiPriority w:val="0"/>
    <w:rPr>
      <w:rFonts w:ascii="Courier New" w:hAnsi="Courier New" w:cs="Courier New"/>
      <w:sz w:val="20"/>
      <w:szCs w:val="20"/>
      <w:lang w:bidi="ar-SA"/>
    </w:rPr>
  </w:style>
  <w:style w:type="character" w:styleId="96">
    <w:name w:val="HTML Acronym"/>
    <w:qFormat/>
    <w:uiPriority w:val="0"/>
  </w:style>
  <w:style w:type="character" w:styleId="97">
    <w:name w:val="HTML Variable"/>
    <w:qFormat/>
    <w:uiPriority w:val="0"/>
    <w:rPr>
      <w:i/>
      <w:iCs/>
    </w:rPr>
  </w:style>
  <w:style w:type="character" w:styleId="98">
    <w:name w:val="Hyperlink"/>
    <w:qFormat/>
    <w:uiPriority w:val="99"/>
    <w:rPr>
      <w:color w:val="0000FF"/>
      <w:u w:val="single"/>
    </w:rPr>
  </w:style>
  <w:style w:type="character" w:styleId="99">
    <w:name w:val="HTML Code"/>
    <w:qFormat/>
    <w:uiPriority w:val="0"/>
    <w:rPr>
      <w:rFonts w:ascii="Courier New" w:hAnsi="Courier New" w:cs="Courier New"/>
      <w:sz w:val="20"/>
      <w:szCs w:val="20"/>
      <w:lang w:bidi="ar-SA"/>
    </w:rPr>
  </w:style>
  <w:style w:type="character" w:styleId="100">
    <w:name w:val="annotation reference"/>
    <w:qFormat/>
    <w:uiPriority w:val="99"/>
    <w:rPr>
      <w:sz w:val="21"/>
      <w:szCs w:val="21"/>
    </w:rPr>
  </w:style>
  <w:style w:type="character" w:styleId="101">
    <w:name w:val="HTML Cite"/>
    <w:qFormat/>
    <w:uiPriority w:val="0"/>
    <w:rPr>
      <w:i/>
      <w:iCs/>
    </w:rPr>
  </w:style>
  <w:style w:type="character" w:styleId="102">
    <w:name w:val="footnote reference"/>
    <w:qFormat/>
    <w:uiPriority w:val="0"/>
    <w:rPr>
      <w:vertAlign w:val="superscript"/>
    </w:rPr>
  </w:style>
  <w:style w:type="character" w:styleId="103">
    <w:name w:val="HTML Keyboard"/>
    <w:qFormat/>
    <w:uiPriority w:val="0"/>
    <w:rPr>
      <w:rFonts w:ascii="Courier New" w:hAnsi="Courier New" w:cs="Courier New"/>
      <w:sz w:val="20"/>
      <w:szCs w:val="20"/>
      <w:lang w:bidi="ar-SA"/>
    </w:rPr>
  </w:style>
  <w:style w:type="character" w:styleId="104">
    <w:name w:val="HTML Sample"/>
    <w:qFormat/>
    <w:uiPriority w:val="0"/>
    <w:rPr>
      <w:rFonts w:ascii="Courier New" w:hAnsi="Courier New" w:cs="Courier New"/>
      <w:lang w:bidi="ar-SA"/>
    </w:rPr>
  </w:style>
  <w:style w:type="paragraph" w:customStyle="1" w:styleId="105">
    <w:name w:val="文档正文"/>
    <w:basedOn w:val="1"/>
    <w:qFormat/>
    <w:uiPriority w:val="99"/>
    <w:pPr>
      <w:spacing w:line="480" w:lineRule="atLeast"/>
      <w:ind w:firstLine="200" w:firstLineChars="200"/>
      <w:textAlignment w:val="baseline"/>
    </w:pPr>
    <w:rPr>
      <w:rFonts w:ascii="长城仿宋" w:hAnsi="长城仿宋"/>
      <w:szCs w:val="20"/>
    </w:rPr>
  </w:style>
  <w:style w:type="character" w:customStyle="1" w:styleId="106">
    <w:name w:val="标题 3 字符"/>
    <w:link w:val="5"/>
    <w:qFormat/>
    <w:uiPriority w:val="0"/>
    <w:rPr>
      <w:rFonts w:ascii="宋体" w:cs="宋体"/>
      <w:bCs/>
      <w:kern w:val="2"/>
      <w:sz w:val="21"/>
      <w:szCs w:val="21"/>
    </w:rPr>
  </w:style>
  <w:style w:type="character" w:customStyle="1" w:styleId="107">
    <w:name w:val="标题 2 字符"/>
    <w:link w:val="4"/>
    <w:qFormat/>
    <w:uiPriority w:val="0"/>
    <w:rPr>
      <w:rFonts w:ascii="宋体" w:cs="宋体"/>
      <w:sz w:val="21"/>
    </w:rPr>
  </w:style>
  <w:style w:type="character" w:customStyle="1" w:styleId="108">
    <w:name w:val="标题 4 字符"/>
    <w:link w:val="6"/>
    <w:qFormat/>
    <w:uiPriority w:val="0"/>
    <w:rPr>
      <w:rFonts w:ascii="Arial" w:hAnsi="Arial" w:eastAsia="黑体"/>
      <w:b/>
      <w:bCs/>
      <w:kern w:val="2"/>
      <w:sz w:val="28"/>
      <w:szCs w:val="28"/>
      <w:shd w:val="clear" w:color="auto" w:fill="FFFFFF"/>
    </w:rPr>
  </w:style>
  <w:style w:type="character" w:customStyle="1" w:styleId="109">
    <w:name w:val="标题 5 字符"/>
    <w:link w:val="7"/>
    <w:qFormat/>
    <w:uiPriority w:val="0"/>
    <w:rPr>
      <w:b/>
      <w:kern w:val="2"/>
      <w:sz w:val="24"/>
      <w:shd w:val="clear" w:color="auto" w:fill="FFFFFF"/>
    </w:rPr>
  </w:style>
  <w:style w:type="character" w:customStyle="1" w:styleId="110">
    <w:name w:val="正文缩进 字符"/>
    <w:link w:val="8"/>
    <w:qFormat/>
    <w:uiPriority w:val="0"/>
    <w:rPr>
      <w:kern w:val="2"/>
      <w:sz w:val="21"/>
      <w:shd w:val="clear" w:color="auto" w:fill="FFFFFF"/>
    </w:rPr>
  </w:style>
  <w:style w:type="character" w:customStyle="1" w:styleId="111">
    <w:name w:val="标题 7 字符"/>
    <w:link w:val="10"/>
    <w:qFormat/>
    <w:uiPriority w:val="0"/>
    <w:rPr>
      <w:b/>
      <w:kern w:val="2"/>
      <w:sz w:val="24"/>
      <w:shd w:val="clear" w:color="auto" w:fill="FFFFFF"/>
    </w:rPr>
  </w:style>
  <w:style w:type="character" w:customStyle="1" w:styleId="112">
    <w:name w:val="标题 8 字符"/>
    <w:link w:val="11"/>
    <w:qFormat/>
    <w:uiPriority w:val="0"/>
    <w:rPr>
      <w:rFonts w:ascii="Arial" w:hAnsi="Arial" w:eastAsia="黑体"/>
      <w:kern w:val="2"/>
      <w:sz w:val="24"/>
      <w:shd w:val="clear" w:color="auto" w:fill="FFFFFF"/>
    </w:rPr>
  </w:style>
  <w:style w:type="character" w:customStyle="1" w:styleId="113">
    <w:name w:val="标题 9 字符"/>
    <w:link w:val="12"/>
    <w:qFormat/>
    <w:uiPriority w:val="0"/>
    <w:rPr>
      <w:rFonts w:ascii="Arial" w:hAnsi="Arial" w:eastAsia="黑体"/>
      <w:kern w:val="2"/>
      <w:sz w:val="21"/>
      <w:shd w:val="clear" w:color="auto" w:fill="FFFFFF"/>
    </w:rPr>
  </w:style>
  <w:style w:type="character" w:customStyle="1" w:styleId="114">
    <w:name w:val="批注文字 字符1"/>
    <w:link w:val="27"/>
    <w:qFormat/>
    <w:uiPriority w:val="0"/>
    <w:rPr>
      <w:rFonts w:ascii="宋体"/>
      <w:sz w:val="34"/>
      <w:shd w:val="clear" w:color="auto" w:fill="FFFFFF"/>
    </w:rPr>
  </w:style>
  <w:style w:type="character" w:customStyle="1" w:styleId="115">
    <w:name w:val="正文文本 3 字符"/>
    <w:link w:val="30"/>
    <w:qFormat/>
    <w:uiPriority w:val="0"/>
    <w:rPr>
      <w:kern w:val="2"/>
      <w:sz w:val="16"/>
      <w:szCs w:val="16"/>
      <w:shd w:val="clear" w:color="auto" w:fill="FFFFFF"/>
    </w:rPr>
  </w:style>
  <w:style w:type="character" w:customStyle="1" w:styleId="116">
    <w:name w:val="正文文本缩进 字符"/>
    <w:link w:val="33"/>
    <w:qFormat/>
    <w:uiPriority w:val="0"/>
    <w:rPr>
      <w:kern w:val="2"/>
      <w:sz w:val="21"/>
      <w:szCs w:val="24"/>
      <w:shd w:val="clear" w:color="auto" w:fill="FFFFFF"/>
    </w:rPr>
  </w:style>
  <w:style w:type="character" w:customStyle="1" w:styleId="117">
    <w:name w:val="正文文本缩进 2 字符"/>
    <w:link w:val="50"/>
    <w:qFormat/>
    <w:uiPriority w:val="0"/>
    <w:rPr>
      <w:rFonts w:ascii="宋体"/>
      <w:kern w:val="2"/>
      <w:sz w:val="21"/>
      <w:szCs w:val="24"/>
      <w:shd w:val="clear" w:color="auto" w:fill="FFFFFF"/>
    </w:rPr>
  </w:style>
  <w:style w:type="character" w:customStyle="1" w:styleId="118">
    <w:name w:val="批注框文本 字符1"/>
    <w:link w:val="53"/>
    <w:qFormat/>
    <w:uiPriority w:val="0"/>
    <w:rPr>
      <w:kern w:val="2"/>
      <w:sz w:val="18"/>
      <w:szCs w:val="18"/>
      <w:shd w:val="clear" w:color="auto" w:fill="FFFFFF"/>
    </w:rPr>
  </w:style>
  <w:style w:type="character" w:customStyle="1" w:styleId="119">
    <w:name w:val="页脚 字符1"/>
    <w:link w:val="54"/>
    <w:qFormat/>
    <w:uiPriority w:val="0"/>
    <w:rPr>
      <w:kern w:val="2"/>
      <w:sz w:val="18"/>
      <w:szCs w:val="18"/>
      <w:shd w:val="clear" w:color="auto" w:fill="FFFFFF"/>
    </w:rPr>
  </w:style>
  <w:style w:type="character" w:customStyle="1" w:styleId="120">
    <w:name w:val="页眉 字符1"/>
    <w:link w:val="55"/>
    <w:qFormat/>
    <w:uiPriority w:val="0"/>
    <w:rPr>
      <w:kern w:val="2"/>
      <w:sz w:val="18"/>
      <w:szCs w:val="18"/>
      <w:shd w:val="clear" w:color="auto" w:fill="FFFFFF"/>
    </w:rPr>
  </w:style>
  <w:style w:type="character" w:customStyle="1" w:styleId="121">
    <w:name w:val="脚注文本 字符"/>
    <w:link w:val="65"/>
    <w:qFormat/>
    <w:uiPriority w:val="0"/>
    <w:rPr>
      <w:kern w:val="2"/>
      <w:sz w:val="18"/>
      <w:szCs w:val="24"/>
    </w:rPr>
  </w:style>
  <w:style w:type="character" w:customStyle="1" w:styleId="122">
    <w:name w:val="正文文本缩进 3 字符"/>
    <w:link w:val="68"/>
    <w:qFormat/>
    <w:uiPriority w:val="0"/>
    <w:rPr>
      <w:rFonts w:ascii="宋体"/>
      <w:b/>
      <w:bCs/>
      <w:kern w:val="2"/>
      <w:sz w:val="24"/>
      <w:szCs w:val="24"/>
      <w:shd w:val="clear" w:color="auto" w:fill="FFFFFF"/>
    </w:rPr>
  </w:style>
  <w:style w:type="character" w:customStyle="1" w:styleId="123">
    <w:name w:val="正文文本 2 字符"/>
    <w:link w:val="73"/>
    <w:qFormat/>
    <w:uiPriority w:val="0"/>
    <w:rPr>
      <w:kern w:val="2"/>
      <w:sz w:val="24"/>
      <w:szCs w:val="24"/>
      <w:shd w:val="clear" w:color="auto" w:fill="FFFFFF"/>
    </w:rPr>
  </w:style>
  <w:style w:type="character" w:customStyle="1" w:styleId="124">
    <w:name w:val="HTML 预设格式 字符"/>
    <w:link w:val="77"/>
    <w:qFormat/>
    <w:uiPriority w:val="99"/>
    <w:rPr>
      <w:rFonts w:ascii="Arial Unicode MS" w:eastAsia="Arial Unicode MS"/>
      <w:color w:val="000000"/>
      <w:shd w:val="clear" w:color="auto" w:fill="FFFFFF"/>
    </w:rPr>
  </w:style>
  <w:style w:type="character" w:customStyle="1" w:styleId="125">
    <w:name w:val="标题 字符"/>
    <w:link w:val="81"/>
    <w:qFormat/>
    <w:uiPriority w:val="0"/>
    <w:rPr>
      <w:rFonts w:ascii="Arial" w:hAnsi="Arial"/>
      <w:b/>
      <w:bCs/>
      <w:kern w:val="2"/>
      <w:sz w:val="36"/>
      <w:szCs w:val="32"/>
      <w:shd w:val="clear" w:color="auto" w:fill="FFFFFF"/>
    </w:rPr>
  </w:style>
  <w:style w:type="character" w:customStyle="1" w:styleId="126">
    <w:name w:val="批注主题 字符"/>
    <w:link w:val="82"/>
    <w:qFormat/>
    <w:uiPriority w:val="0"/>
    <w:rPr>
      <w:b/>
      <w:bCs/>
      <w:kern w:val="2"/>
      <w:sz w:val="21"/>
      <w:szCs w:val="24"/>
      <w:shd w:val="clear" w:color="auto" w:fill="FFFFFF"/>
    </w:rPr>
  </w:style>
  <w:style w:type="paragraph" w:customStyle="1" w:styleId="127">
    <w:name w:val="Char"/>
    <w:basedOn w:val="1"/>
    <w:qFormat/>
    <w:uiPriority w:val="0"/>
    <w:pPr>
      <w:spacing w:after="160" w:line="240" w:lineRule="exact"/>
      <w:jc w:val="left"/>
    </w:pPr>
    <w:rPr>
      <w:rFonts w:ascii="Verdana" w:hAnsi="Verdana" w:eastAsia="仿宋_GB2312"/>
      <w:sz w:val="24"/>
      <w:szCs w:val="20"/>
      <w:lang w:eastAsia="en-US"/>
    </w:rPr>
  </w:style>
  <w:style w:type="character" w:customStyle="1" w:styleId="128">
    <w:name w:val="标题 3 Char"/>
    <w:qFormat/>
    <w:uiPriority w:val="0"/>
    <w:rPr>
      <w:rFonts w:ascii="黑体" w:eastAsia="黑体"/>
      <w:bCs/>
      <w:sz w:val="30"/>
    </w:rPr>
  </w:style>
  <w:style w:type="paragraph" w:customStyle="1" w:styleId="129">
    <w:name w:val="样式41"/>
    <w:basedOn w:val="1"/>
    <w:qFormat/>
    <w:uiPriority w:val="0"/>
    <w:pPr>
      <w:tabs>
        <w:tab w:val="left" w:pos="945"/>
        <w:tab w:val="left" w:pos="2040"/>
      </w:tabs>
      <w:ind w:left="1000" w:leftChars="800" w:hanging="200" w:hangingChars="200"/>
    </w:pPr>
    <w:rPr>
      <w:b/>
      <w:color w:val="000000"/>
      <w:sz w:val="24"/>
      <w:szCs w:val="20"/>
    </w:rPr>
  </w:style>
  <w:style w:type="paragraph" w:customStyle="1" w:styleId="130">
    <w:name w:val="图"/>
    <w:basedOn w:val="1"/>
    <w:qFormat/>
    <w:uiPriority w:val="0"/>
    <w:pPr>
      <w:keepNext/>
      <w:spacing w:before="60" w:after="60" w:line="300" w:lineRule="auto"/>
      <w:jc w:val="center"/>
    </w:pPr>
    <w:rPr>
      <w:spacing w:val="20"/>
      <w:sz w:val="24"/>
      <w:szCs w:val="20"/>
    </w:rPr>
  </w:style>
  <w:style w:type="paragraph" w:customStyle="1" w:styleId="131">
    <w:name w:val="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132">
    <w:name w:val="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3">
    <w:name w:val="Char Char Char Char1"/>
    <w:basedOn w:val="1"/>
    <w:qFormat/>
    <w:uiPriority w:val="0"/>
    <w:pPr>
      <w:spacing w:after="160" w:line="240" w:lineRule="exact"/>
      <w:jc w:val="left"/>
    </w:pPr>
    <w:rPr>
      <w:rFonts w:ascii="Verdana" w:hAnsi="Verdana" w:eastAsia="仿宋_GB2312"/>
      <w:sz w:val="24"/>
      <w:szCs w:val="20"/>
      <w:lang w:eastAsia="en-US"/>
    </w:rPr>
  </w:style>
  <w:style w:type="paragraph" w:customStyle="1" w:styleId="134">
    <w:name w:val="Table Contents"/>
    <w:basedOn w:val="1"/>
    <w:qFormat/>
    <w:uiPriority w:val="0"/>
    <w:pPr>
      <w:suppressAutoHyphens/>
      <w:autoSpaceDE w:val="0"/>
      <w:spacing w:after="120"/>
      <w:jc w:val="left"/>
    </w:pPr>
    <w:rPr>
      <w:rFonts w:ascii="Helvetica" w:hAnsi="Helvetica"/>
      <w:kern w:val="2"/>
      <w:sz w:val="20"/>
      <w:szCs w:val="20"/>
    </w:rPr>
  </w:style>
  <w:style w:type="paragraph" w:customStyle="1" w:styleId="135">
    <w:name w:val="自定义正文"/>
    <w:basedOn w:val="1"/>
    <w:qFormat/>
    <w:uiPriority w:val="0"/>
    <w:pPr>
      <w:spacing w:afterLines="50"/>
      <w:ind w:left="600" w:leftChars="600"/>
    </w:pPr>
  </w:style>
  <w:style w:type="paragraph" w:customStyle="1" w:styleId="136">
    <w:name w:val="Char Char Char Char Char"/>
    <w:basedOn w:val="1"/>
    <w:qFormat/>
    <w:uiPriority w:val="0"/>
    <w:rPr>
      <w:rFonts w:ascii="Tahoma" w:hAnsi="Tahoma"/>
      <w:sz w:val="24"/>
      <w:szCs w:val="20"/>
    </w:rPr>
  </w:style>
  <w:style w:type="paragraph" w:customStyle="1" w:styleId="137">
    <w:name w:val="小标题 1"/>
    <w:basedOn w:val="1"/>
    <w:qFormat/>
    <w:uiPriority w:val="0"/>
    <w:pPr>
      <w:autoSpaceDE w:val="0"/>
      <w:autoSpaceDN w:val="0"/>
      <w:spacing w:line="360" w:lineRule="atLeast"/>
    </w:pPr>
    <w:rPr>
      <w:rFonts w:ascii="文鼎粗黑" w:eastAsia="文鼎粗黑"/>
      <w:sz w:val="22"/>
      <w:szCs w:val="20"/>
    </w:rPr>
  </w:style>
  <w:style w:type="paragraph" w:customStyle="1" w:styleId="138">
    <w:name w:val="Char Char"/>
    <w:basedOn w:val="1"/>
    <w:qFormat/>
    <w:uiPriority w:val="0"/>
    <w:rPr>
      <w:rFonts w:ascii="Tahoma" w:hAnsi="Tahoma"/>
      <w:sz w:val="24"/>
      <w:szCs w:val="20"/>
    </w:rPr>
  </w:style>
  <w:style w:type="paragraph" w:customStyle="1" w:styleId="139">
    <w:name w:val="È±Ê¡ÎÄ±¾"/>
    <w:basedOn w:val="1"/>
    <w:qFormat/>
    <w:uiPriority w:val="0"/>
    <w:pPr>
      <w:overflowPunct w:val="0"/>
      <w:autoSpaceDE w:val="0"/>
      <w:autoSpaceDN w:val="0"/>
      <w:jc w:val="left"/>
      <w:textAlignment w:val="baseline"/>
    </w:pPr>
    <w:rPr>
      <w:sz w:val="24"/>
      <w:szCs w:val="20"/>
    </w:rPr>
  </w:style>
  <w:style w:type="character" w:customStyle="1" w:styleId="140">
    <w:name w:val="apple-converted-space"/>
    <w:qFormat/>
    <w:uiPriority w:val="0"/>
  </w:style>
  <w:style w:type="paragraph" w:customStyle="1" w:styleId="141">
    <w:name w:val="TOC 标题1"/>
    <w:basedOn w:val="3"/>
    <w:next w:val="1"/>
    <w:qFormat/>
    <w:uiPriority w:val="0"/>
    <w:pPr>
      <w:spacing w:before="480" w:after="0" w:line="276" w:lineRule="auto"/>
      <w:jc w:val="left"/>
      <w:outlineLvl w:val="9"/>
    </w:pPr>
    <w:rPr>
      <w:rFonts w:ascii="Cambria" w:hAnsi="Cambria" w:eastAsia="宋体"/>
      <w:color w:val="365F91"/>
      <w:kern w:val="0"/>
    </w:rPr>
  </w:style>
  <w:style w:type="paragraph" w:customStyle="1" w:styleId="142">
    <w:name w:val="Char Char Char"/>
    <w:basedOn w:val="1"/>
    <w:qFormat/>
    <w:uiPriority w:val="0"/>
    <w:rPr>
      <w:rFonts w:ascii="Tahoma" w:hAnsi="Tahoma"/>
      <w:sz w:val="24"/>
      <w:szCs w:val="20"/>
    </w:rPr>
  </w:style>
  <w:style w:type="paragraph" w:customStyle="1" w:styleId="143">
    <w:name w:val="列出段落1"/>
    <w:basedOn w:val="1"/>
    <w:link w:val="144"/>
    <w:qFormat/>
    <w:uiPriority w:val="0"/>
    <w:pPr>
      <w:ind w:firstLine="200" w:firstLineChars="200"/>
    </w:pPr>
    <w:rPr>
      <w:rFonts w:ascii="Times New Roman" w:cs="Times New Roman"/>
      <w:kern w:val="2"/>
    </w:rPr>
  </w:style>
  <w:style w:type="character" w:customStyle="1" w:styleId="144">
    <w:name w:val="List Paragraph Char"/>
    <w:link w:val="143"/>
    <w:qFormat/>
    <w:locked/>
    <w:uiPriority w:val="0"/>
    <w:rPr>
      <w:kern w:val="2"/>
      <w:sz w:val="21"/>
      <w:szCs w:val="24"/>
      <w:shd w:val="clear" w:color="auto" w:fill="FFFFFF"/>
    </w:rPr>
  </w:style>
  <w:style w:type="paragraph" w:customStyle="1" w:styleId="145">
    <w:name w:val="Default"/>
    <w:qFormat/>
    <w:uiPriority w:val="0"/>
    <w:pPr>
      <w:widowControl w:val="0"/>
      <w:autoSpaceDE w:val="0"/>
      <w:autoSpaceDN w:val="0"/>
      <w:adjustRightInd w:val="0"/>
      <w:spacing w:line="360" w:lineRule="auto"/>
      <w:jc w:val="both"/>
    </w:pPr>
    <w:rPr>
      <w:rFonts w:ascii="宋体" w:hAnsi="Times New Roman" w:eastAsia="宋体" w:cs="Times New Roman"/>
      <w:color w:val="000000"/>
      <w:sz w:val="24"/>
      <w:szCs w:val="24"/>
      <w:lang w:val="en-US" w:eastAsia="zh-CN" w:bidi="ar-SA"/>
    </w:rPr>
  </w:style>
  <w:style w:type="paragraph" w:customStyle="1" w:styleId="146">
    <w:name w:val="主题"/>
    <w:basedOn w:val="1"/>
    <w:qFormat/>
    <w:uiPriority w:val="0"/>
  </w:style>
  <w:style w:type="paragraph" w:customStyle="1" w:styleId="147">
    <w:name w:val="默认段落字体 Para Char Char Char Char Char Char Char Char Char3 Char Char Char Char"/>
    <w:basedOn w:val="25"/>
    <w:qFormat/>
    <w:uiPriority w:val="0"/>
    <w:pPr>
      <w:spacing w:line="436" w:lineRule="exact"/>
      <w:ind w:left="357"/>
      <w:jc w:val="left"/>
      <w:outlineLvl w:val="3"/>
    </w:pPr>
    <w:rPr>
      <w:rFonts w:ascii="Tahoma" w:hAnsi="Tahoma"/>
      <w:b/>
      <w:sz w:val="24"/>
    </w:rPr>
  </w:style>
  <w:style w:type="paragraph" w:customStyle="1" w:styleId="148">
    <w:name w:val="目次、标准名称标题"/>
    <w:basedOn w:val="1"/>
    <w:next w:val="1"/>
    <w:qFormat/>
    <w:uiPriority w:val="0"/>
    <w:pPr>
      <w:shd w:val="clear" w:color="FFFFFF" w:fill="FFFFFF"/>
      <w:spacing w:before="640" w:after="560" w:line="460" w:lineRule="exact"/>
      <w:jc w:val="center"/>
      <w:outlineLvl w:val="0"/>
    </w:pPr>
    <w:rPr>
      <w:rFonts w:ascii="黑体" w:eastAsia="黑体"/>
      <w:sz w:val="32"/>
      <w:szCs w:val="20"/>
    </w:rPr>
  </w:style>
  <w:style w:type="paragraph" w:customStyle="1" w:styleId="149">
    <w:name w:val="表1黑体居中"/>
    <w:basedOn w:val="1"/>
    <w:qFormat/>
    <w:uiPriority w:val="0"/>
    <w:pPr>
      <w:ind w:firstLine="435"/>
      <w:jc w:val="center"/>
      <w:textAlignment w:val="baseline"/>
    </w:pPr>
    <w:rPr>
      <w:rFonts w:ascii="黑体" w:eastAsia="黑体"/>
      <w:szCs w:val="21"/>
    </w:rPr>
  </w:style>
  <w:style w:type="paragraph" w:customStyle="1" w:styleId="150">
    <w:name w:val="MaoC2"/>
    <w:basedOn w:val="1"/>
    <w:qFormat/>
    <w:uiPriority w:val="0"/>
    <w:pPr>
      <w:numPr>
        <w:ilvl w:val="1"/>
        <w:numId w:val="11"/>
      </w:numPr>
      <w:spacing w:line="480" w:lineRule="auto"/>
      <w:outlineLvl w:val="1"/>
    </w:pPr>
    <w:rPr>
      <w:rFonts w:ascii="黑体" w:eastAsia="黑体"/>
      <w:szCs w:val="20"/>
    </w:rPr>
  </w:style>
  <w:style w:type="paragraph" w:customStyle="1" w:styleId="151">
    <w:name w:val="图目录4"/>
    <w:basedOn w:val="1"/>
    <w:next w:val="1"/>
    <w:qFormat/>
    <w:uiPriority w:val="0"/>
    <w:pPr>
      <w:numPr>
        <w:ilvl w:val="0"/>
        <w:numId w:val="12"/>
      </w:numPr>
      <w:ind w:left="0" w:hanging="448"/>
      <w:jc w:val="center"/>
      <w:textAlignment w:val="baseline"/>
    </w:pPr>
    <w:rPr>
      <w:szCs w:val="20"/>
    </w:rPr>
  </w:style>
  <w:style w:type="paragraph" w:customStyle="1" w:styleId="152">
    <w:name w:val="段"/>
    <w:qFormat/>
    <w:uiPriority w:val="0"/>
    <w:pPr>
      <w:autoSpaceDE w:val="0"/>
      <w:autoSpaceDN w:val="0"/>
      <w:spacing w:line="360" w:lineRule="auto"/>
      <w:ind w:firstLine="200" w:firstLineChars="200"/>
      <w:jc w:val="both"/>
    </w:pPr>
    <w:rPr>
      <w:rFonts w:ascii="宋体" w:hAnsi="Times New Roman" w:eastAsia="宋体" w:cs="Times New Roman"/>
      <w:sz w:val="21"/>
      <w:lang w:val="en-US" w:eastAsia="zh-CN" w:bidi="ar-SA"/>
    </w:rPr>
  </w:style>
  <w:style w:type="paragraph" w:customStyle="1" w:styleId="153">
    <w:name w:val="样式1"/>
    <w:basedOn w:val="1"/>
    <w:qFormat/>
    <w:uiPriority w:val="0"/>
    <w:pPr>
      <w:keepNext/>
      <w:keepLines/>
      <w:numPr>
        <w:ilvl w:val="0"/>
        <w:numId w:val="13"/>
      </w:numPr>
      <w:spacing w:before="340" w:after="330"/>
      <w:outlineLvl w:val="0"/>
    </w:pPr>
    <w:rPr>
      <w:b/>
      <w:kern w:val="44"/>
      <w:sz w:val="44"/>
      <w:szCs w:val="20"/>
    </w:rPr>
  </w:style>
  <w:style w:type="paragraph" w:customStyle="1" w:styleId="154">
    <w:name w:val="参数内容"/>
    <w:basedOn w:val="143"/>
    <w:qFormat/>
    <w:uiPriority w:val="0"/>
    <w:pPr>
      <w:numPr>
        <w:ilvl w:val="0"/>
        <w:numId w:val="14"/>
      </w:numPr>
      <w:ind w:left="0" w:firstLine="0" w:firstLineChars="0"/>
    </w:pPr>
    <w:rPr>
      <w:szCs w:val="18"/>
    </w:rPr>
  </w:style>
  <w:style w:type="paragraph" w:customStyle="1" w:styleId="155">
    <w:name w:val="标准正文"/>
    <w:basedOn w:val="33"/>
    <w:qFormat/>
    <w:uiPriority w:val="0"/>
    <w:pPr>
      <w:spacing w:before="60" w:after="60"/>
      <w:ind w:firstLine="482" w:firstLineChars="0"/>
      <w:jc w:val="left"/>
    </w:pPr>
    <w:rPr>
      <w:rFonts w:ascii="宋体"/>
      <w:kern w:val="0"/>
      <w:sz w:val="24"/>
      <w:szCs w:val="20"/>
    </w:rPr>
  </w:style>
  <w:style w:type="paragraph" w:customStyle="1" w:styleId="156">
    <w:name w:val="下级参数内容"/>
    <w:basedOn w:val="143"/>
    <w:qFormat/>
    <w:uiPriority w:val="0"/>
    <w:pPr>
      <w:numPr>
        <w:ilvl w:val="0"/>
        <w:numId w:val="15"/>
      </w:numPr>
      <w:ind w:left="1134" w:firstLine="0" w:firstLineChars="0"/>
    </w:pPr>
    <w:rPr>
      <w:rFonts w:ascii="仿宋" w:hAnsi="仿宋"/>
    </w:rPr>
  </w:style>
  <w:style w:type="paragraph" w:customStyle="1" w:styleId="157">
    <w:name w:val="Char Char Char1"/>
    <w:basedOn w:val="1"/>
    <w:qFormat/>
    <w:uiPriority w:val="0"/>
    <w:rPr>
      <w:rFonts w:ascii="Tahoma" w:hAnsi="Tahoma"/>
      <w:sz w:val="24"/>
      <w:szCs w:val="20"/>
    </w:rPr>
  </w:style>
  <w:style w:type="paragraph" w:customStyle="1" w:styleId="158">
    <w:name w:val="Char Char10 Char Char"/>
    <w:basedOn w:val="25"/>
    <w:qFormat/>
    <w:uiPriority w:val="0"/>
    <w:rPr>
      <w:rFonts w:ascii="Tahoma" w:hAnsi="Tahoma"/>
      <w:sz w:val="24"/>
    </w:rPr>
  </w:style>
  <w:style w:type="paragraph" w:customStyle="1" w:styleId="159">
    <w:name w:val="_Style 95"/>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60">
    <w:name w:val="font5"/>
    <w:basedOn w:val="1"/>
    <w:qFormat/>
    <w:uiPriority w:val="0"/>
    <w:pPr>
      <w:spacing w:before="100" w:beforeAutospacing="1" w:after="100" w:afterAutospacing="1"/>
      <w:jc w:val="left"/>
    </w:pPr>
    <w:rPr>
      <w:sz w:val="18"/>
      <w:szCs w:val="18"/>
    </w:rPr>
  </w:style>
  <w:style w:type="paragraph" w:customStyle="1" w:styleId="161">
    <w:name w:val="xl65"/>
    <w:basedOn w:val="1"/>
    <w:qFormat/>
    <w:uiPriority w:val="0"/>
    <w:pPr>
      <w:pBdr>
        <w:top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b/>
      <w:bCs/>
      <w:sz w:val="24"/>
    </w:rPr>
  </w:style>
  <w:style w:type="paragraph" w:customStyle="1" w:styleId="162">
    <w:name w:val="xl66"/>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3">
    <w:name w:val="xl67"/>
    <w:basedOn w:val="1"/>
    <w:qFormat/>
    <w:uiPriority w:val="0"/>
    <w:pPr>
      <w:pBdr>
        <w:bottom w:val="single" w:color="auto" w:sz="8" w:space="0"/>
        <w:right w:val="single" w:color="auto" w:sz="8" w:space="0"/>
      </w:pBdr>
      <w:shd w:val="clear" w:color="000000" w:fill="FFFFFF"/>
      <w:spacing w:before="100" w:beforeAutospacing="1" w:after="100" w:afterAutospacing="1"/>
      <w:jc w:val="center"/>
      <w:textAlignment w:val="center"/>
    </w:pPr>
    <w:rPr>
      <w:color w:val="000000"/>
      <w:sz w:val="24"/>
    </w:rPr>
  </w:style>
  <w:style w:type="paragraph" w:customStyle="1" w:styleId="164">
    <w:name w:val="xl68"/>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b/>
      <w:bCs/>
      <w:sz w:val="24"/>
    </w:rPr>
  </w:style>
  <w:style w:type="paragraph" w:customStyle="1" w:styleId="165">
    <w:name w:val="xl69"/>
    <w:basedOn w:val="1"/>
    <w:qFormat/>
    <w:uiPriority w:val="0"/>
    <w:pPr>
      <w:pBdr>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sz w:val="24"/>
    </w:rPr>
  </w:style>
  <w:style w:type="paragraph" w:customStyle="1" w:styleId="166">
    <w:name w:val="样式 标题 3style3H3h33rd levelLevel 3 Headlevel_3PIM 33l3C..."/>
    <w:basedOn w:val="5"/>
    <w:qFormat/>
    <w:uiPriority w:val="0"/>
    <w:pPr>
      <w:tabs>
        <w:tab w:val="left" w:pos="851"/>
      </w:tabs>
      <w:spacing w:beforeLines="50" w:afterLines="50" w:line="415" w:lineRule="auto"/>
      <w:ind w:left="-2" w:leftChars="-2" w:right="220" w:firstLine="203" w:firstLineChars="203"/>
      <w:jc w:val="left"/>
    </w:pPr>
    <w:rPr>
      <w:rFonts w:ascii="Times New Roman"/>
      <w:bCs w:val="0"/>
      <w:color w:val="000000"/>
      <w:szCs w:val="20"/>
    </w:rPr>
  </w:style>
  <w:style w:type="paragraph" w:customStyle="1" w:styleId="167">
    <w:name w:val="样式2"/>
    <w:basedOn w:val="3"/>
    <w:qFormat/>
    <w:uiPriority w:val="0"/>
    <w:pPr>
      <w:keepNext/>
      <w:keepLines/>
      <w:spacing w:before="0" w:after="0" w:line="578" w:lineRule="auto"/>
      <w:ind w:left="1200"/>
      <w:jc w:val="both"/>
    </w:pPr>
    <w:rPr>
      <w:rFonts w:eastAsia="宋体"/>
      <w:szCs w:val="44"/>
    </w:rPr>
  </w:style>
  <w:style w:type="paragraph" w:customStyle="1" w:styleId="168">
    <w:name w:val="样式3"/>
    <w:basedOn w:val="1"/>
    <w:qFormat/>
    <w:uiPriority w:val="0"/>
    <w:pPr>
      <w:ind w:left="1620" w:hanging="420"/>
      <w:outlineLvl w:val="2"/>
    </w:pPr>
    <w:rPr>
      <w:b/>
    </w:rPr>
  </w:style>
  <w:style w:type="paragraph" w:customStyle="1" w:styleId="169">
    <w:name w:val="样式4"/>
    <w:basedOn w:val="143"/>
    <w:qFormat/>
    <w:uiPriority w:val="0"/>
    <w:pPr>
      <w:ind w:left="2040" w:firstLine="0" w:firstLineChars="0"/>
      <w:jc w:val="left"/>
      <w:outlineLvl w:val="3"/>
    </w:pPr>
    <w:rPr>
      <w:rFonts w:ascii="宋体"/>
    </w:rPr>
  </w:style>
  <w:style w:type="paragraph" w:customStyle="1" w:styleId="170">
    <w:name w:val="p0"/>
    <w:basedOn w:val="1"/>
    <w:qFormat/>
    <w:uiPriority w:val="0"/>
    <w:rPr>
      <w:rFonts w:ascii="Calibri" w:hAnsi="Calibri"/>
      <w:szCs w:val="21"/>
    </w:rPr>
  </w:style>
  <w:style w:type="paragraph" w:customStyle="1" w:styleId="171">
    <w:name w:val="图标题"/>
    <w:basedOn w:val="1"/>
    <w:qFormat/>
    <w:uiPriority w:val="0"/>
    <w:pPr>
      <w:jc w:val="center"/>
    </w:pPr>
    <w:rPr>
      <w:rFonts w:cs="Times New Roman"/>
      <w:kern w:val="2"/>
    </w:rPr>
  </w:style>
  <w:style w:type="paragraph" w:customStyle="1" w:styleId="172">
    <w:name w:val="表标题"/>
    <w:basedOn w:val="1"/>
    <w:qFormat/>
    <w:uiPriority w:val="0"/>
    <w:pPr>
      <w:jc w:val="center"/>
    </w:pPr>
    <w:rPr>
      <w:rFonts w:eastAsia="黑体"/>
      <w:b/>
    </w:rPr>
  </w:style>
  <w:style w:type="paragraph" w:customStyle="1" w:styleId="173">
    <w:name w:val="正文-1级标题-1"/>
    <w:basedOn w:val="1"/>
    <w:next w:val="1"/>
    <w:qFormat/>
    <w:uiPriority w:val="0"/>
    <w:pPr>
      <w:keepNext/>
      <w:tabs>
        <w:tab w:val="left" w:pos="420"/>
        <w:tab w:val="clear" w:pos="426"/>
      </w:tabs>
      <w:spacing w:beforeLines="30" w:afterLines="30"/>
    </w:pPr>
    <w:rPr>
      <w:b/>
      <w:sz w:val="24"/>
      <w:szCs w:val="28"/>
      <w:lang w:val="en-GB" w:eastAsia="en-GB"/>
    </w:rPr>
  </w:style>
  <w:style w:type="paragraph" w:customStyle="1" w:styleId="174">
    <w:name w:val="正文-1级列表-(1)"/>
    <w:basedOn w:val="1"/>
    <w:qFormat/>
    <w:uiPriority w:val="0"/>
    <w:pPr>
      <w:tabs>
        <w:tab w:val="left" w:pos="420"/>
        <w:tab w:val="clear" w:pos="426"/>
      </w:tabs>
      <w:ind w:left="800"/>
    </w:pPr>
    <w:rPr>
      <w:sz w:val="24"/>
      <w:lang w:val="en-GB" w:eastAsia="en-GB"/>
    </w:rPr>
  </w:style>
  <w:style w:type="paragraph" w:customStyle="1" w:styleId="175">
    <w:name w:val="样式 标题 1 + 段前: 0.5 行 段后: 0.5 行"/>
    <w:basedOn w:val="3"/>
    <w:qFormat/>
    <w:uiPriority w:val="0"/>
    <w:pPr>
      <w:keepNext/>
      <w:keepLines/>
      <w:numPr>
        <w:ilvl w:val="0"/>
        <w:numId w:val="16"/>
      </w:numPr>
      <w:spacing w:beforeLines="50" w:afterLines="50" w:line="578" w:lineRule="auto"/>
      <w:ind w:left="0" w:firstLine="0"/>
      <w:jc w:val="both"/>
    </w:pPr>
    <w:rPr>
      <w:rFonts w:ascii="Times New Roman" w:eastAsia="宋体"/>
      <w:sz w:val="44"/>
      <w:szCs w:val="20"/>
    </w:rPr>
  </w:style>
  <w:style w:type="paragraph" w:customStyle="1" w:styleId="176">
    <w:name w:val="样式 标题 4 + 段前: 0.5 行 段后: 0.5 行"/>
    <w:basedOn w:val="6"/>
    <w:qFormat/>
    <w:uiPriority w:val="0"/>
    <w:pPr>
      <w:spacing w:beforeLines="50" w:afterLines="50"/>
      <w:ind w:left="2240"/>
      <w:jc w:val="left"/>
    </w:pPr>
    <w:rPr>
      <w:rFonts w:ascii="Cambria" w:hAnsi="Cambria" w:eastAsia="宋体" w:cs="宋体"/>
      <w:sz w:val="24"/>
      <w:szCs w:val="20"/>
    </w:rPr>
  </w:style>
  <w:style w:type="paragraph" w:customStyle="1" w:styleId="177">
    <w:name w:val="样式 标题 4 + 段前: 0.5 行 段后: 0.5 行1"/>
    <w:basedOn w:val="6"/>
    <w:qFormat/>
    <w:uiPriority w:val="0"/>
    <w:pPr>
      <w:spacing w:beforeLines="50" w:afterLines="50"/>
      <w:ind w:left="-1" w:leftChars="-1" w:firstLine="233" w:firstLineChars="233"/>
      <w:jc w:val="left"/>
    </w:pPr>
    <w:rPr>
      <w:rFonts w:ascii="Cambria" w:hAnsi="Cambria" w:eastAsia="宋体" w:cs="宋体"/>
      <w:sz w:val="24"/>
      <w:szCs w:val="20"/>
    </w:rPr>
  </w:style>
  <w:style w:type="paragraph" w:customStyle="1" w:styleId="178">
    <w:name w:val="￥正文"/>
    <w:basedOn w:val="1"/>
    <w:qFormat/>
    <w:uiPriority w:val="0"/>
    <w:pPr>
      <w:ind w:firstLine="200" w:firstLineChars="200"/>
    </w:pPr>
    <w:rPr>
      <w:rFonts w:ascii="Calibri" w:hAnsi="Calibri" w:cs="Times New Roman"/>
      <w:kern w:val="2"/>
      <w:sz w:val="24"/>
      <w:szCs w:val="20"/>
    </w:rPr>
  </w:style>
  <w:style w:type="paragraph" w:customStyle="1" w:styleId="179">
    <w:name w:val="样式 标题 4h4heading 4h41heading 41h42heading 42h411heading ..."/>
    <w:basedOn w:val="6"/>
    <w:qFormat/>
    <w:uiPriority w:val="0"/>
    <w:pPr>
      <w:spacing w:beforeLines="50" w:afterLines="50"/>
      <w:ind w:left="2240" w:right="220"/>
      <w:jc w:val="left"/>
    </w:pPr>
    <w:rPr>
      <w:rFonts w:ascii="Cambria" w:hAnsi="Cambria" w:eastAsia="宋体" w:cs="宋体"/>
      <w:sz w:val="24"/>
      <w:szCs w:val="20"/>
    </w:rPr>
  </w:style>
  <w:style w:type="paragraph" w:customStyle="1" w:styleId="180">
    <w:name w:val="!项目ALT+P"/>
    <w:basedOn w:val="1"/>
    <w:qFormat/>
    <w:uiPriority w:val="0"/>
    <w:pPr>
      <w:numPr>
        <w:ilvl w:val="0"/>
        <w:numId w:val="17"/>
      </w:numPr>
      <w:tabs>
        <w:tab w:val="clear" w:pos="420"/>
      </w:tabs>
      <w:spacing w:line="320" w:lineRule="atLeast"/>
      <w:ind w:left="0" w:firstLine="0"/>
      <w:textAlignment w:val="baseline"/>
    </w:pPr>
    <w:rPr>
      <w:szCs w:val="21"/>
    </w:rPr>
  </w:style>
  <w:style w:type="paragraph" w:customStyle="1" w:styleId="181">
    <w:name w:val="样式 样式 (符号) 宋体 小四 行距: 1.5 倍行距 首行缩进:  1.5 字符 + 宋体 首行缩进:  2 字符"/>
    <w:basedOn w:val="1"/>
    <w:qFormat/>
    <w:uiPriority w:val="0"/>
    <w:pPr>
      <w:ind w:firstLine="200" w:firstLineChars="200"/>
    </w:pPr>
    <w:rPr>
      <w:sz w:val="24"/>
      <w:szCs w:val="20"/>
    </w:rPr>
  </w:style>
  <w:style w:type="paragraph" w:customStyle="1" w:styleId="182">
    <w:name w:val="正文内容"/>
    <w:basedOn w:val="1"/>
    <w:next w:val="25"/>
    <w:qFormat/>
    <w:uiPriority w:val="0"/>
    <w:rPr>
      <w:rFonts w:ascii="Times New Roman" w:cs="Times New Roman"/>
      <w:sz w:val="20"/>
    </w:rPr>
  </w:style>
  <w:style w:type="paragraph" w:customStyle="1" w:styleId="183">
    <w:name w:val="方案标题1"/>
    <w:basedOn w:val="81"/>
    <w:qFormat/>
    <w:uiPriority w:val="0"/>
    <w:pPr>
      <w:numPr>
        <w:ilvl w:val="0"/>
        <w:numId w:val="18"/>
      </w:numPr>
      <w:spacing w:beforeLines="50" w:afterLines="50"/>
      <w:ind w:firstLine="200" w:firstLineChars="200"/>
      <w:jc w:val="both"/>
    </w:pPr>
    <w:rPr>
      <w:color w:val="000000"/>
    </w:rPr>
  </w:style>
  <w:style w:type="paragraph" w:customStyle="1" w:styleId="184">
    <w:name w:val="方案标题2"/>
    <w:basedOn w:val="81"/>
    <w:qFormat/>
    <w:uiPriority w:val="0"/>
    <w:pPr>
      <w:numPr>
        <w:ilvl w:val="1"/>
        <w:numId w:val="18"/>
      </w:numPr>
      <w:spacing w:beforeLines="50" w:afterLines="50"/>
      <w:ind w:firstLine="200" w:firstLineChars="200"/>
      <w:jc w:val="left"/>
      <w:outlineLvl w:val="1"/>
    </w:pPr>
    <w:rPr>
      <w:rFonts w:eastAsia="仿宋_GB2312"/>
      <w:color w:val="000000"/>
      <w:sz w:val="30"/>
      <w:szCs w:val="30"/>
    </w:rPr>
  </w:style>
  <w:style w:type="paragraph" w:customStyle="1" w:styleId="185">
    <w:name w:val="方案标题3"/>
    <w:basedOn w:val="81"/>
    <w:qFormat/>
    <w:uiPriority w:val="0"/>
    <w:pPr>
      <w:numPr>
        <w:ilvl w:val="2"/>
        <w:numId w:val="18"/>
      </w:numPr>
      <w:spacing w:beforeLines="50" w:afterLines="50" w:line="440" w:lineRule="exact"/>
      <w:ind w:firstLine="200" w:firstLineChars="200"/>
      <w:jc w:val="left"/>
      <w:outlineLvl w:val="2"/>
    </w:pPr>
    <w:rPr>
      <w:rFonts w:ascii="黑体" w:eastAsia="黑体"/>
      <w:color w:val="000000"/>
      <w:sz w:val="28"/>
      <w:szCs w:val="24"/>
    </w:rPr>
  </w:style>
  <w:style w:type="paragraph" w:customStyle="1" w:styleId="186">
    <w:name w:val="正文Land"/>
    <w:basedOn w:val="1"/>
    <w:qFormat/>
    <w:uiPriority w:val="0"/>
    <w:pPr>
      <w:spacing w:beforeLines="20" w:afterLines="50"/>
      <w:ind w:firstLine="200" w:firstLineChars="200"/>
    </w:pPr>
    <w:rPr>
      <w:color w:val="000000"/>
      <w:sz w:val="24"/>
    </w:rPr>
  </w:style>
  <w:style w:type="paragraph" w:customStyle="1" w:styleId="187">
    <w:name w:val="样式5"/>
    <w:basedOn w:val="1"/>
    <w:qFormat/>
    <w:uiPriority w:val="0"/>
    <w:pPr>
      <w:numPr>
        <w:ilvl w:val="0"/>
        <w:numId w:val="19"/>
      </w:numPr>
      <w:spacing w:beforeLines="50" w:afterLines="50"/>
      <w:ind w:left="0" w:firstLine="0"/>
    </w:pPr>
    <w:rPr>
      <w:rFonts w:eastAsia="仿宋_GB2312"/>
      <w:color w:val="000000"/>
      <w:sz w:val="24"/>
    </w:rPr>
  </w:style>
  <w:style w:type="paragraph" w:customStyle="1" w:styleId="188">
    <w:name w:val="font6"/>
    <w:basedOn w:val="1"/>
    <w:qFormat/>
    <w:uiPriority w:val="0"/>
    <w:pPr>
      <w:spacing w:beforeAutospacing="1" w:afterAutospacing="1"/>
      <w:jc w:val="left"/>
    </w:pPr>
    <w:rPr>
      <w:sz w:val="18"/>
      <w:szCs w:val="18"/>
    </w:rPr>
  </w:style>
  <w:style w:type="paragraph" w:customStyle="1" w:styleId="189">
    <w:name w:val="xl64"/>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190">
    <w:name w:val="xl70"/>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b/>
      <w:bCs/>
      <w:color w:val="000000"/>
      <w:sz w:val="24"/>
    </w:rPr>
  </w:style>
  <w:style w:type="paragraph" w:customStyle="1" w:styleId="191">
    <w:name w:val="xl71"/>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2">
    <w:name w:val="xl72"/>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textAlignment w:val="center"/>
    </w:pPr>
    <w:rPr>
      <w:color w:val="000000"/>
      <w:sz w:val="24"/>
    </w:rPr>
  </w:style>
  <w:style w:type="paragraph" w:customStyle="1" w:styleId="193">
    <w:name w:val="xl73"/>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textAlignment w:val="center"/>
    </w:pPr>
    <w:rPr>
      <w:color w:val="000000"/>
      <w:sz w:val="24"/>
    </w:rPr>
  </w:style>
  <w:style w:type="paragraph" w:customStyle="1" w:styleId="194">
    <w:name w:val="xl74"/>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center"/>
    </w:pPr>
    <w:rPr>
      <w:color w:val="000000"/>
      <w:sz w:val="24"/>
    </w:rPr>
  </w:style>
  <w:style w:type="paragraph" w:customStyle="1" w:styleId="195">
    <w:name w:val="xl75"/>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b/>
      <w:bCs/>
      <w:color w:val="000000"/>
      <w:sz w:val="24"/>
    </w:rPr>
  </w:style>
  <w:style w:type="paragraph" w:customStyle="1" w:styleId="196">
    <w:name w:val="xl76"/>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center"/>
      <w:textAlignment w:val="center"/>
    </w:pPr>
    <w:rPr>
      <w:color w:val="000000"/>
      <w:sz w:val="24"/>
    </w:rPr>
  </w:style>
  <w:style w:type="paragraph" w:customStyle="1" w:styleId="197">
    <w:name w:val="xl77"/>
    <w:basedOn w:val="1"/>
    <w:qFormat/>
    <w:uiPriority w:val="0"/>
    <w:pPr>
      <w:pBdr>
        <w:top w:val="single" w:color="auto" w:sz="4" w:space="0"/>
        <w:left w:val="single" w:color="auto" w:sz="4" w:space="0"/>
        <w:bottom w:val="single" w:color="auto" w:sz="4" w:space="0"/>
        <w:right w:val="single" w:color="auto" w:sz="4" w:space="0"/>
      </w:pBdr>
      <w:shd w:val="clear" w:color="000000" w:fill="F2F2F2"/>
      <w:spacing w:beforeAutospacing="1" w:afterAutospacing="1"/>
      <w:jc w:val="left"/>
      <w:textAlignment w:val="center"/>
    </w:pPr>
    <w:rPr>
      <w:color w:val="000000"/>
      <w:sz w:val="24"/>
    </w:rPr>
  </w:style>
  <w:style w:type="paragraph" w:customStyle="1" w:styleId="198">
    <w:name w:val="xl78"/>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b/>
      <w:bCs/>
      <w:color w:val="000000"/>
      <w:sz w:val="24"/>
    </w:rPr>
  </w:style>
  <w:style w:type="paragraph" w:customStyle="1" w:styleId="199">
    <w:name w:val="xl79"/>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0">
    <w:name w:val="xl80"/>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left"/>
      <w:textAlignment w:val="center"/>
    </w:pPr>
    <w:rPr>
      <w:color w:val="000000"/>
      <w:sz w:val="24"/>
    </w:rPr>
  </w:style>
  <w:style w:type="paragraph" w:customStyle="1" w:styleId="201">
    <w:name w:val="xl81"/>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textAlignment w:val="center"/>
    </w:pPr>
    <w:rPr>
      <w:color w:val="000000"/>
      <w:sz w:val="24"/>
    </w:rPr>
  </w:style>
  <w:style w:type="paragraph" w:customStyle="1" w:styleId="202">
    <w:name w:val="xl82"/>
    <w:basedOn w:val="1"/>
    <w:qFormat/>
    <w:uiPriority w:val="0"/>
    <w:pPr>
      <w:pBdr>
        <w:top w:val="single" w:color="auto" w:sz="4" w:space="0"/>
        <w:left w:val="single" w:color="auto" w:sz="4" w:space="0"/>
        <w:bottom w:val="single" w:color="auto" w:sz="4" w:space="0"/>
        <w:right w:val="single" w:color="auto" w:sz="4" w:space="0"/>
      </w:pBdr>
      <w:shd w:val="clear" w:color="000000" w:fill="E4DFEC"/>
      <w:spacing w:beforeAutospacing="1" w:afterAutospacing="1"/>
      <w:jc w:val="center"/>
    </w:pPr>
    <w:rPr>
      <w:color w:val="000000"/>
      <w:sz w:val="24"/>
    </w:rPr>
  </w:style>
  <w:style w:type="paragraph" w:customStyle="1" w:styleId="203">
    <w:name w:val="xl83"/>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b/>
      <w:bCs/>
      <w:color w:val="000000"/>
      <w:sz w:val="24"/>
    </w:rPr>
  </w:style>
  <w:style w:type="paragraph" w:customStyle="1" w:styleId="204">
    <w:name w:val="xl84"/>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5">
    <w:name w:val="xl85"/>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Autospacing="1" w:afterAutospacing="1"/>
      <w:jc w:val="left"/>
    </w:pPr>
    <w:rPr>
      <w:color w:val="000000"/>
      <w:sz w:val="24"/>
    </w:rPr>
  </w:style>
  <w:style w:type="paragraph" w:customStyle="1" w:styleId="206">
    <w:name w:val="xl86"/>
    <w:basedOn w:val="1"/>
    <w:qFormat/>
    <w:uiPriority w:val="0"/>
    <w:pPr>
      <w:pBdr>
        <w:top w:val="single" w:color="auto" w:sz="4" w:space="0"/>
        <w:left w:val="single" w:color="auto" w:sz="4" w:space="0"/>
        <w:bottom w:val="single" w:color="auto" w:sz="4" w:space="0"/>
        <w:right w:val="single" w:color="auto" w:sz="4" w:space="0"/>
      </w:pBdr>
      <w:shd w:val="clear" w:color="000000" w:fill="DCE6F1"/>
      <w:spacing w:beforeAutospacing="1" w:afterAutospacing="1"/>
      <w:jc w:val="left"/>
    </w:pPr>
    <w:rPr>
      <w:color w:val="000000"/>
      <w:sz w:val="24"/>
    </w:rPr>
  </w:style>
  <w:style w:type="paragraph" w:customStyle="1" w:styleId="207">
    <w:name w:val="xl87"/>
    <w:basedOn w:val="1"/>
    <w:qFormat/>
    <w:uiPriority w:val="0"/>
    <w:pPr>
      <w:spacing w:beforeAutospacing="1" w:afterAutospacing="1"/>
      <w:jc w:val="left"/>
    </w:pPr>
    <w:rPr>
      <w:sz w:val="24"/>
    </w:rPr>
  </w:style>
  <w:style w:type="paragraph" w:customStyle="1" w:styleId="208">
    <w:name w:val="xl8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b/>
      <w:bCs/>
      <w:color w:val="000000"/>
      <w:sz w:val="24"/>
    </w:rPr>
  </w:style>
  <w:style w:type="paragraph" w:customStyle="1" w:styleId="209">
    <w:name w:val="xl89"/>
    <w:basedOn w:val="1"/>
    <w:qFormat/>
    <w:uiPriority w:val="0"/>
    <w:pPr>
      <w:pBdr>
        <w:top w:val="single" w:color="auto" w:sz="4" w:space="0"/>
        <w:left w:val="single" w:color="auto" w:sz="4" w:space="0"/>
        <w:bottom w:val="single" w:color="auto" w:sz="4" w:space="0"/>
        <w:right w:val="single" w:color="auto" w:sz="4" w:space="0"/>
      </w:pBdr>
      <w:shd w:val="clear" w:color="000000" w:fill="CCFFFF"/>
      <w:spacing w:beforeAutospacing="1" w:afterAutospacing="1"/>
      <w:jc w:val="center"/>
      <w:textAlignment w:val="center"/>
    </w:pPr>
    <w:rPr>
      <w:b/>
      <w:bCs/>
      <w:color w:val="000000"/>
      <w:sz w:val="24"/>
    </w:rPr>
  </w:style>
  <w:style w:type="paragraph" w:customStyle="1" w:styleId="210">
    <w:name w:val="Bulleted Items--Level 2"/>
    <w:basedOn w:val="1"/>
    <w:qFormat/>
    <w:uiPriority w:val="0"/>
    <w:pPr>
      <w:numPr>
        <w:ilvl w:val="0"/>
        <w:numId w:val="20"/>
      </w:numPr>
      <w:tabs>
        <w:tab w:val="left" w:pos="1771"/>
        <w:tab w:val="left" w:pos="2520"/>
        <w:tab w:val="clear" w:pos="360"/>
      </w:tabs>
      <w:spacing w:line="280" w:lineRule="exact"/>
      <w:ind w:left="2520" w:firstLine="0"/>
    </w:pPr>
    <w:rPr>
      <w:color w:val="000000"/>
      <w:sz w:val="22"/>
      <w:szCs w:val="20"/>
      <w:lang w:eastAsia="en-US"/>
    </w:rPr>
  </w:style>
  <w:style w:type="paragraph" w:customStyle="1" w:styleId="211">
    <w:name w:val="xl9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2"/>
      <w:szCs w:val="22"/>
    </w:rPr>
  </w:style>
  <w:style w:type="paragraph" w:customStyle="1" w:styleId="212">
    <w:name w:val="xl91"/>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000000"/>
      <w:sz w:val="22"/>
      <w:szCs w:val="22"/>
    </w:rPr>
  </w:style>
  <w:style w:type="paragraph" w:customStyle="1" w:styleId="213">
    <w:name w:val="xl9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sz w:val="20"/>
      <w:szCs w:val="20"/>
    </w:rPr>
  </w:style>
  <w:style w:type="paragraph" w:customStyle="1" w:styleId="214">
    <w:name w:val="xl9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15">
    <w:name w:val="xl9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16">
    <w:name w:val="xl95"/>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sz w:val="22"/>
      <w:szCs w:val="22"/>
    </w:rPr>
  </w:style>
  <w:style w:type="paragraph" w:customStyle="1" w:styleId="217">
    <w:name w:val="xl96"/>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sz w:val="22"/>
      <w:szCs w:val="22"/>
    </w:rPr>
  </w:style>
  <w:style w:type="paragraph" w:customStyle="1" w:styleId="218">
    <w:name w:val="xl9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sz w:val="22"/>
      <w:szCs w:val="22"/>
    </w:rPr>
  </w:style>
  <w:style w:type="paragraph" w:customStyle="1" w:styleId="219">
    <w:name w:val="xl98"/>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sz w:val="22"/>
      <w:szCs w:val="22"/>
    </w:rPr>
  </w:style>
  <w:style w:type="paragraph" w:customStyle="1" w:styleId="220">
    <w:name w:val="xl9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sz w:val="22"/>
      <w:szCs w:val="22"/>
    </w:rPr>
  </w:style>
  <w:style w:type="paragraph" w:customStyle="1" w:styleId="221">
    <w:name w:val="xl10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仿宋_GB2312" w:eastAsia="仿宋_GB2312"/>
      <w:color w:val="FF0000"/>
      <w:sz w:val="22"/>
      <w:szCs w:val="22"/>
    </w:rPr>
  </w:style>
  <w:style w:type="paragraph" w:customStyle="1" w:styleId="222">
    <w:name w:val="xl101"/>
    <w:basedOn w:val="1"/>
    <w:qFormat/>
    <w:uiPriority w:val="0"/>
    <w:pPr>
      <w:spacing w:beforeAutospacing="1" w:afterAutospacing="1"/>
      <w:jc w:val="left"/>
      <w:textAlignment w:val="center"/>
    </w:pPr>
    <w:rPr>
      <w:color w:val="FF0000"/>
      <w:sz w:val="20"/>
      <w:szCs w:val="20"/>
    </w:rPr>
  </w:style>
  <w:style w:type="paragraph" w:customStyle="1" w:styleId="223">
    <w:name w:val="xl102"/>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Autospacing="1" w:afterAutospacing="1"/>
      <w:jc w:val="left"/>
      <w:textAlignment w:val="center"/>
    </w:pPr>
    <w:rPr>
      <w:rFonts w:ascii="仿宋_GB2312" w:eastAsia="仿宋_GB2312"/>
      <w:color w:val="FF0000"/>
      <w:sz w:val="22"/>
      <w:szCs w:val="22"/>
    </w:rPr>
  </w:style>
  <w:style w:type="paragraph" w:customStyle="1" w:styleId="224">
    <w:name w:val="xl103"/>
    <w:basedOn w:val="1"/>
    <w:qFormat/>
    <w:uiPriority w:val="0"/>
    <w:pPr>
      <w:spacing w:beforeAutospacing="1" w:afterAutospacing="1"/>
      <w:jc w:val="left"/>
      <w:textAlignment w:val="center"/>
    </w:pPr>
    <w:rPr>
      <w:color w:val="FF0000"/>
      <w:sz w:val="22"/>
      <w:szCs w:val="22"/>
    </w:rPr>
  </w:style>
  <w:style w:type="paragraph" w:customStyle="1" w:styleId="225">
    <w:name w:val="xl104"/>
    <w:basedOn w:val="1"/>
    <w:qFormat/>
    <w:uiPriority w:val="0"/>
    <w:pPr>
      <w:spacing w:beforeAutospacing="1" w:afterAutospacing="1"/>
      <w:jc w:val="center"/>
    </w:pPr>
    <w:rPr>
      <w:sz w:val="24"/>
    </w:rPr>
  </w:style>
  <w:style w:type="paragraph" w:customStyle="1" w:styleId="226">
    <w:name w:val="xl10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b/>
      <w:bCs/>
      <w:sz w:val="18"/>
      <w:szCs w:val="18"/>
    </w:rPr>
  </w:style>
  <w:style w:type="paragraph" w:customStyle="1" w:styleId="227">
    <w:name w:val="xl10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sz w:val="22"/>
      <w:szCs w:val="22"/>
    </w:rPr>
  </w:style>
  <w:style w:type="paragraph" w:customStyle="1" w:styleId="228">
    <w:name w:val="xl10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Autospacing="1" w:afterAutospacing="1"/>
      <w:jc w:val="center"/>
      <w:textAlignment w:val="center"/>
    </w:pPr>
    <w:rPr>
      <w:rFonts w:ascii="Courier New" w:hAnsi="Courier New" w:cs="Courier New"/>
      <w:sz w:val="22"/>
      <w:szCs w:val="22"/>
    </w:rPr>
  </w:style>
  <w:style w:type="paragraph" w:customStyle="1" w:styleId="229">
    <w:name w:val="xl10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Courier New" w:hAnsi="Courier New" w:cs="Courier New"/>
      <w:sz w:val="22"/>
      <w:szCs w:val="22"/>
    </w:rPr>
  </w:style>
  <w:style w:type="paragraph" w:customStyle="1" w:styleId="230">
    <w:name w:val="xl10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Courier New" w:hAnsi="Courier New" w:cs="Courier New"/>
      <w:color w:val="FF0000"/>
      <w:sz w:val="22"/>
      <w:szCs w:val="22"/>
    </w:rPr>
  </w:style>
  <w:style w:type="paragraph" w:customStyle="1" w:styleId="231">
    <w:name w:val="xl11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000000"/>
      <w:sz w:val="22"/>
      <w:szCs w:val="22"/>
    </w:rPr>
  </w:style>
  <w:style w:type="paragraph" w:customStyle="1" w:styleId="232">
    <w:name w:val="xl111"/>
    <w:basedOn w:val="1"/>
    <w:qFormat/>
    <w:uiPriority w:val="0"/>
    <w:pPr>
      <w:pBdr>
        <w:top w:val="single" w:color="auto" w:sz="4" w:space="0"/>
        <w:left w:val="single" w:color="auto" w:sz="4" w:space="0"/>
        <w:bottom w:val="single" w:color="auto" w:sz="4" w:space="0"/>
        <w:right w:val="single" w:color="auto" w:sz="4" w:space="0"/>
      </w:pBdr>
      <w:shd w:val="clear" w:color="000000" w:fill="99CC00"/>
      <w:spacing w:beforeAutospacing="1" w:afterAutospacing="1"/>
      <w:jc w:val="center"/>
      <w:textAlignment w:val="center"/>
    </w:pPr>
    <w:rPr>
      <w:rFonts w:ascii="仿宋_GB2312" w:eastAsia="仿宋_GB2312"/>
      <w:sz w:val="22"/>
      <w:szCs w:val="22"/>
    </w:rPr>
  </w:style>
  <w:style w:type="paragraph" w:customStyle="1" w:styleId="233">
    <w:name w:val="xl11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34">
    <w:name w:val="xl11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0"/>
      <w:szCs w:val="20"/>
    </w:rPr>
  </w:style>
  <w:style w:type="paragraph" w:customStyle="1" w:styleId="235">
    <w:name w:val="xl114"/>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sz w:val="22"/>
      <w:szCs w:val="22"/>
    </w:rPr>
  </w:style>
  <w:style w:type="paragraph" w:customStyle="1" w:styleId="236">
    <w:name w:val="xl11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7">
    <w:name w:val="xl116"/>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color w:val="FF0000"/>
      <w:sz w:val="22"/>
      <w:szCs w:val="22"/>
    </w:rPr>
  </w:style>
  <w:style w:type="paragraph" w:customStyle="1" w:styleId="238">
    <w:name w:val="xl117"/>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仿宋_GB2312" w:eastAsia="仿宋_GB2312"/>
      <w:color w:val="FF0000"/>
      <w:sz w:val="22"/>
      <w:szCs w:val="22"/>
    </w:rPr>
  </w:style>
  <w:style w:type="paragraph" w:customStyle="1" w:styleId="239">
    <w:name w:val="xl11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0"/>
      <w:szCs w:val="20"/>
    </w:rPr>
  </w:style>
  <w:style w:type="paragraph" w:customStyle="1" w:styleId="240">
    <w:name w:val="xl119"/>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1">
    <w:name w:val="xl12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2"/>
      <w:szCs w:val="22"/>
    </w:rPr>
  </w:style>
  <w:style w:type="paragraph" w:customStyle="1" w:styleId="242">
    <w:name w:val="xl121"/>
    <w:basedOn w:val="1"/>
    <w:qFormat/>
    <w:uiPriority w:val="0"/>
    <w:pPr>
      <w:pBdr>
        <w:top w:val="single" w:color="auto" w:sz="4" w:space="0"/>
        <w:left w:val="single" w:color="auto" w:sz="4" w:space="0"/>
        <w:bottom w:val="single" w:color="auto" w:sz="4" w:space="0"/>
        <w:right w:val="single" w:color="auto" w:sz="4" w:space="0"/>
      </w:pBdr>
      <w:shd w:val="clear" w:color="000000" w:fill="FF99CC"/>
      <w:spacing w:beforeAutospacing="1" w:afterAutospacing="1"/>
      <w:jc w:val="center"/>
      <w:textAlignment w:val="center"/>
    </w:pPr>
    <w:rPr>
      <w:rFonts w:ascii="Courier New" w:hAnsi="Courier New" w:cs="Courier New"/>
      <w:sz w:val="22"/>
      <w:szCs w:val="22"/>
    </w:rPr>
  </w:style>
  <w:style w:type="paragraph" w:customStyle="1" w:styleId="243">
    <w:name w:val="xl12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仿宋_GB2312" w:eastAsia="仿宋_GB2312"/>
      <w:sz w:val="22"/>
      <w:szCs w:val="22"/>
    </w:rPr>
  </w:style>
  <w:style w:type="paragraph" w:customStyle="1" w:styleId="244">
    <w:name w:val="xl123"/>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5">
    <w:name w:val="xl12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pPr>
    <w:rPr>
      <w:rFonts w:ascii="仿宋_GB2312" w:eastAsia="仿宋_GB2312"/>
      <w:sz w:val="24"/>
    </w:rPr>
  </w:style>
  <w:style w:type="paragraph" w:customStyle="1" w:styleId="246">
    <w:name w:val="xl12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47">
    <w:name w:val="xl126"/>
    <w:basedOn w:val="1"/>
    <w:qFormat/>
    <w:uiPriority w:val="0"/>
    <w:pPr>
      <w:pBdr>
        <w:top w:val="single" w:color="auto" w:sz="4" w:space="0"/>
        <w:left w:val="single" w:color="auto" w:sz="4" w:space="0"/>
        <w:bottom w:val="single" w:color="auto" w:sz="4" w:space="0"/>
        <w:right w:val="single" w:color="auto" w:sz="4" w:space="0"/>
      </w:pBdr>
      <w:shd w:val="clear" w:color="000000" w:fill="FF6600"/>
      <w:spacing w:beforeAutospacing="1" w:afterAutospacing="1"/>
      <w:jc w:val="center"/>
      <w:textAlignment w:val="center"/>
    </w:pPr>
    <w:rPr>
      <w:rFonts w:ascii="仿宋_GB2312" w:eastAsia="仿宋_GB2312"/>
      <w:sz w:val="22"/>
      <w:szCs w:val="22"/>
    </w:rPr>
  </w:style>
  <w:style w:type="paragraph" w:customStyle="1" w:styleId="248">
    <w:name w:val="xl127"/>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sz w:val="22"/>
      <w:szCs w:val="22"/>
    </w:rPr>
  </w:style>
  <w:style w:type="paragraph" w:customStyle="1" w:styleId="249">
    <w:name w:val="xl128"/>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sz w:val="22"/>
      <w:szCs w:val="22"/>
    </w:rPr>
  </w:style>
  <w:style w:type="paragraph" w:customStyle="1" w:styleId="250">
    <w:name w:val="xl129"/>
    <w:basedOn w:val="1"/>
    <w:qFormat/>
    <w:uiPriority w:val="0"/>
    <w:pPr>
      <w:pBdr>
        <w:top w:val="single" w:color="auto" w:sz="4" w:space="0"/>
        <w:left w:val="single" w:color="auto" w:sz="4" w:space="0"/>
        <w:bottom w:val="single" w:color="auto" w:sz="4" w:space="0"/>
        <w:right w:val="single" w:color="auto" w:sz="4" w:space="0"/>
      </w:pBdr>
      <w:shd w:val="clear" w:color="000000" w:fill="3366FF"/>
      <w:spacing w:beforeAutospacing="1" w:afterAutospacing="1"/>
      <w:jc w:val="center"/>
      <w:textAlignment w:val="center"/>
    </w:pPr>
    <w:rPr>
      <w:rFonts w:ascii="仿宋_GB2312" w:eastAsia="仿宋_GB2312"/>
      <w:color w:val="FF0000"/>
      <w:sz w:val="22"/>
      <w:szCs w:val="22"/>
    </w:rPr>
  </w:style>
  <w:style w:type="paragraph" w:customStyle="1" w:styleId="251">
    <w:name w:val="xl130"/>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color w:val="FF0000"/>
      <w:sz w:val="22"/>
      <w:szCs w:val="22"/>
    </w:rPr>
  </w:style>
  <w:style w:type="paragraph" w:customStyle="1" w:styleId="252">
    <w:name w:val="xl131"/>
    <w:basedOn w:val="1"/>
    <w:qFormat/>
    <w:uiPriority w:val="0"/>
    <w:pPr>
      <w:pBdr>
        <w:top w:val="single" w:color="auto" w:sz="4" w:space="0"/>
        <w:left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3">
    <w:name w:val="xl132"/>
    <w:basedOn w:val="1"/>
    <w:qFormat/>
    <w:uiPriority w:val="0"/>
    <w:pPr>
      <w:pBdr>
        <w:top w:val="single" w:color="auto" w:sz="4" w:space="0"/>
        <w:bottom w:val="single" w:color="auto" w:sz="4" w:space="0"/>
      </w:pBdr>
      <w:spacing w:beforeAutospacing="1" w:afterAutospacing="1"/>
      <w:jc w:val="center"/>
      <w:textAlignment w:val="center"/>
    </w:pPr>
    <w:rPr>
      <w:rFonts w:ascii="黑体" w:eastAsia="黑体"/>
      <w:b/>
      <w:bCs/>
      <w:sz w:val="28"/>
      <w:szCs w:val="28"/>
    </w:rPr>
  </w:style>
  <w:style w:type="paragraph" w:customStyle="1" w:styleId="254">
    <w:name w:val="xl133"/>
    <w:basedOn w:val="1"/>
    <w:qFormat/>
    <w:uiPriority w:val="0"/>
    <w:pPr>
      <w:pBdr>
        <w:top w:val="single" w:color="auto" w:sz="4" w:space="0"/>
        <w:bottom w:val="single" w:color="auto" w:sz="4" w:space="0"/>
        <w:right w:val="single" w:color="auto" w:sz="4" w:space="0"/>
      </w:pBdr>
      <w:spacing w:beforeAutospacing="1" w:afterAutospacing="1"/>
      <w:jc w:val="center"/>
      <w:textAlignment w:val="center"/>
    </w:pPr>
    <w:rPr>
      <w:rFonts w:ascii="黑体" w:eastAsia="黑体"/>
      <w:b/>
      <w:bCs/>
      <w:sz w:val="28"/>
      <w:szCs w:val="28"/>
    </w:rPr>
  </w:style>
  <w:style w:type="paragraph" w:customStyle="1" w:styleId="255">
    <w:name w:val="样式 首行缩进:  0 字符"/>
    <w:basedOn w:val="1"/>
    <w:qFormat/>
    <w:uiPriority w:val="0"/>
    <w:pPr>
      <w:ind w:firstLine="200" w:firstLineChars="200"/>
    </w:pPr>
    <w:rPr>
      <w:sz w:val="24"/>
      <w:szCs w:val="20"/>
    </w:rPr>
  </w:style>
  <w:style w:type="paragraph" w:customStyle="1" w:styleId="256">
    <w:name w:val="5"/>
    <w:basedOn w:val="1"/>
    <w:qFormat/>
    <w:uiPriority w:val="0"/>
    <w:pPr>
      <w:ind w:firstLine="200" w:firstLineChars="200"/>
      <w:jc w:val="left"/>
    </w:pPr>
    <w:rPr>
      <w:sz w:val="24"/>
    </w:rPr>
  </w:style>
  <w:style w:type="paragraph" w:customStyle="1" w:styleId="257">
    <w:name w:val="正文1"/>
    <w:link w:val="258"/>
    <w:qFormat/>
    <w:uiPriority w:val="0"/>
    <w:pPr>
      <w:widowControl w:val="0"/>
      <w:adjustRightInd w:val="0"/>
      <w:spacing w:line="312" w:lineRule="atLeast"/>
      <w:jc w:val="both"/>
      <w:textAlignment w:val="baseline"/>
    </w:pPr>
    <w:rPr>
      <w:rFonts w:ascii="宋体" w:hAnsi="Times New Roman" w:eastAsia="宋体" w:cs="Times New Roman"/>
      <w:sz w:val="28"/>
      <w:lang w:val="en-US" w:eastAsia="zh-CN" w:bidi="ar-SA"/>
    </w:rPr>
  </w:style>
  <w:style w:type="character" w:customStyle="1" w:styleId="258">
    <w:name w:val="正文1 Char Char"/>
    <w:link w:val="257"/>
    <w:qFormat/>
    <w:uiPriority w:val="0"/>
    <w:rPr>
      <w:rFonts w:ascii="宋体"/>
      <w:sz w:val="28"/>
      <w:lang w:bidi="ar-SA"/>
    </w:rPr>
  </w:style>
  <w:style w:type="paragraph" w:customStyle="1" w:styleId="259">
    <w:name w:val="附件标题"/>
    <w:basedOn w:val="1"/>
    <w:qFormat/>
    <w:uiPriority w:val="0"/>
    <w:pPr>
      <w:ind w:firstLine="200" w:firstLineChars="200"/>
      <w:jc w:val="center"/>
    </w:pPr>
    <w:rPr>
      <w:rFonts w:ascii="Arial" w:hAnsi="Arial" w:eastAsia="黑体"/>
      <w:sz w:val="24"/>
    </w:rPr>
  </w:style>
  <w:style w:type="paragraph" w:customStyle="1" w:styleId="260">
    <w:name w:val="附件(1)"/>
    <w:basedOn w:val="1"/>
    <w:qFormat/>
    <w:uiPriority w:val="0"/>
    <w:pPr>
      <w:numPr>
        <w:ilvl w:val="0"/>
        <w:numId w:val="21"/>
      </w:numPr>
      <w:ind w:left="0" w:firstLine="200" w:firstLineChars="200"/>
    </w:pPr>
    <w:rPr>
      <w:sz w:val="24"/>
    </w:rPr>
  </w:style>
  <w:style w:type="paragraph" w:customStyle="1" w:styleId="261">
    <w:name w:val="附件1."/>
    <w:basedOn w:val="3"/>
    <w:qFormat/>
    <w:uiPriority w:val="0"/>
    <w:pPr>
      <w:tabs>
        <w:tab w:val="left" w:pos="360"/>
        <w:tab w:val="left" w:pos="420"/>
        <w:tab w:val="clear" w:pos="426"/>
      </w:tabs>
      <w:spacing w:before="0" w:after="0" w:line="360" w:lineRule="auto"/>
      <w:ind w:left="567" w:hanging="567"/>
      <w:jc w:val="both"/>
    </w:pPr>
    <w:rPr>
      <w:rFonts w:ascii="Times New Roman" w:eastAsia="宋体"/>
      <w:sz w:val="24"/>
      <w:szCs w:val="44"/>
    </w:rPr>
  </w:style>
  <w:style w:type="paragraph" w:customStyle="1" w:styleId="262">
    <w:name w:val="附件圈"/>
    <w:basedOn w:val="260"/>
    <w:qFormat/>
    <w:uiPriority w:val="0"/>
    <w:pPr>
      <w:numPr>
        <w:numId w:val="0"/>
      </w:numPr>
      <w:tabs>
        <w:tab w:val="left" w:pos="420"/>
        <w:tab w:val="clear" w:pos="426"/>
      </w:tabs>
      <w:ind w:firstLine="200" w:firstLineChars="200"/>
    </w:pPr>
  </w:style>
  <w:style w:type="paragraph" w:customStyle="1" w:styleId="263">
    <w:name w:val="样式 标题 2H2Heading 2 HiddenHeading 2 CCBSheading 22nd levelh..."/>
    <w:basedOn w:val="4"/>
    <w:qFormat/>
    <w:uiPriority w:val="0"/>
    <w:pPr>
      <w:snapToGrid w:val="0"/>
      <w:spacing w:before="120" w:after="120"/>
      <w:ind w:left="576" w:hanging="576"/>
      <w:jc w:val="left"/>
      <w:textAlignment w:val="auto"/>
    </w:pPr>
    <w:rPr>
      <w:bCs/>
      <w:kern w:val="2"/>
      <w:szCs w:val="28"/>
    </w:rPr>
  </w:style>
  <w:style w:type="paragraph" w:customStyle="1" w:styleId="264">
    <w:name w:val="样式 标题 2H2Heading 2 HiddenHeading 2 CCBSheading 22nd levelh...1"/>
    <w:basedOn w:val="4"/>
    <w:qFormat/>
    <w:uiPriority w:val="0"/>
    <w:pPr>
      <w:snapToGrid w:val="0"/>
      <w:spacing w:before="240" w:after="240"/>
      <w:ind w:left="576" w:hanging="576"/>
      <w:jc w:val="left"/>
      <w:textAlignment w:val="auto"/>
    </w:pPr>
    <w:rPr>
      <w:bCs/>
      <w:kern w:val="2"/>
      <w:szCs w:val="28"/>
    </w:rPr>
  </w:style>
  <w:style w:type="paragraph" w:customStyle="1" w:styleId="265">
    <w:name w:val="CM51"/>
    <w:basedOn w:val="145"/>
    <w:next w:val="145"/>
    <w:qFormat/>
    <w:uiPriority w:val="0"/>
    <w:pPr>
      <w:spacing w:after="103"/>
    </w:pPr>
    <w:rPr>
      <w:rFonts w:ascii="黑体" w:eastAsia="黑体"/>
      <w:color w:val="auto"/>
    </w:rPr>
  </w:style>
  <w:style w:type="paragraph" w:customStyle="1" w:styleId="266">
    <w:name w:val="pan"/>
    <w:basedOn w:val="143"/>
    <w:qFormat/>
    <w:uiPriority w:val="0"/>
    <w:pPr>
      <w:numPr>
        <w:ilvl w:val="0"/>
        <w:numId w:val="22"/>
      </w:numPr>
      <w:tabs>
        <w:tab w:val="left" w:pos="840"/>
      </w:tabs>
      <w:ind w:left="840" w:hanging="420" w:firstLineChars="0"/>
      <w:outlineLvl w:val="0"/>
    </w:pPr>
    <w:rPr>
      <w:rFonts w:ascii="黑体" w:eastAsia="黑体"/>
      <w:sz w:val="32"/>
      <w:szCs w:val="32"/>
    </w:rPr>
  </w:style>
  <w:style w:type="paragraph" w:customStyle="1" w:styleId="267">
    <w:name w:val="pan2"/>
    <w:basedOn w:val="143"/>
    <w:qFormat/>
    <w:uiPriority w:val="0"/>
    <w:pPr>
      <w:numPr>
        <w:ilvl w:val="1"/>
        <w:numId w:val="22"/>
      </w:numPr>
      <w:tabs>
        <w:tab w:val="left" w:pos="840"/>
      </w:tabs>
      <w:ind w:left="840" w:hanging="420" w:firstLineChars="0"/>
      <w:outlineLvl w:val="1"/>
    </w:pPr>
    <w:rPr>
      <w:rFonts w:ascii="黑体" w:eastAsia="黑体"/>
      <w:sz w:val="30"/>
      <w:szCs w:val="30"/>
    </w:rPr>
  </w:style>
  <w:style w:type="paragraph" w:customStyle="1" w:styleId="268">
    <w:name w:val="pan3"/>
    <w:basedOn w:val="143"/>
    <w:qFormat/>
    <w:uiPriority w:val="0"/>
    <w:pPr>
      <w:numPr>
        <w:ilvl w:val="2"/>
        <w:numId w:val="22"/>
      </w:numPr>
      <w:tabs>
        <w:tab w:val="left" w:pos="1260"/>
      </w:tabs>
      <w:ind w:left="1260" w:hanging="420" w:firstLineChars="0"/>
      <w:outlineLvl w:val="2"/>
    </w:pPr>
    <w:rPr>
      <w:rFonts w:ascii="黑体" w:eastAsia="黑体"/>
      <w:sz w:val="28"/>
      <w:szCs w:val="28"/>
    </w:rPr>
  </w:style>
  <w:style w:type="paragraph" w:customStyle="1" w:styleId="269">
    <w:name w:val="pan4"/>
    <w:basedOn w:val="143"/>
    <w:qFormat/>
    <w:uiPriority w:val="0"/>
    <w:pPr>
      <w:numPr>
        <w:ilvl w:val="3"/>
        <w:numId w:val="22"/>
      </w:numPr>
      <w:tabs>
        <w:tab w:val="left" w:pos="1680"/>
      </w:tabs>
      <w:ind w:left="1680" w:hanging="420" w:firstLineChars="0"/>
      <w:outlineLvl w:val="3"/>
    </w:pPr>
    <w:rPr>
      <w:rFonts w:ascii="黑体" w:eastAsia="黑体"/>
      <w:sz w:val="28"/>
      <w:szCs w:val="28"/>
    </w:rPr>
  </w:style>
  <w:style w:type="paragraph" w:customStyle="1" w:styleId="270">
    <w:name w:val="pan5"/>
    <w:basedOn w:val="143"/>
    <w:qFormat/>
    <w:uiPriority w:val="0"/>
    <w:pPr>
      <w:numPr>
        <w:ilvl w:val="4"/>
        <w:numId w:val="22"/>
      </w:numPr>
      <w:tabs>
        <w:tab w:val="left" w:pos="1008"/>
      </w:tabs>
      <w:ind w:left="1008" w:hanging="1008" w:firstLineChars="0"/>
      <w:outlineLvl w:val="4"/>
    </w:pPr>
    <w:rPr>
      <w:rFonts w:ascii="黑体" w:eastAsia="黑体"/>
      <w:sz w:val="24"/>
    </w:rPr>
  </w:style>
  <w:style w:type="paragraph" w:customStyle="1" w:styleId="271">
    <w:name w:val="一级标题"/>
    <w:basedOn w:val="143"/>
    <w:qFormat/>
    <w:uiPriority w:val="0"/>
    <w:pPr>
      <w:numPr>
        <w:ilvl w:val="0"/>
        <w:numId w:val="23"/>
      </w:numPr>
      <w:spacing w:line="720" w:lineRule="auto"/>
      <w:ind w:firstLineChars="0"/>
      <w:jc w:val="center"/>
      <w:outlineLvl w:val="0"/>
    </w:pPr>
    <w:rPr>
      <w:rFonts w:ascii="黑体" w:eastAsia="黑体"/>
      <w:sz w:val="44"/>
      <w:szCs w:val="44"/>
    </w:rPr>
  </w:style>
  <w:style w:type="paragraph" w:customStyle="1" w:styleId="272">
    <w:name w:val="二级标题"/>
    <w:basedOn w:val="143"/>
    <w:qFormat/>
    <w:uiPriority w:val="0"/>
    <w:pPr>
      <w:numPr>
        <w:ilvl w:val="1"/>
        <w:numId w:val="23"/>
      </w:numPr>
      <w:spacing w:line="720" w:lineRule="auto"/>
      <w:ind w:firstLineChars="0"/>
      <w:outlineLvl w:val="1"/>
    </w:pPr>
    <w:rPr>
      <w:rFonts w:ascii="黑体" w:eastAsia="黑体"/>
      <w:sz w:val="36"/>
      <w:szCs w:val="36"/>
    </w:rPr>
  </w:style>
  <w:style w:type="paragraph" w:customStyle="1" w:styleId="273">
    <w:name w:val="三级标题"/>
    <w:basedOn w:val="143"/>
    <w:qFormat/>
    <w:uiPriority w:val="0"/>
    <w:pPr>
      <w:numPr>
        <w:ilvl w:val="2"/>
        <w:numId w:val="23"/>
      </w:numPr>
      <w:spacing w:line="720" w:lineRule="auto"/>
      <w:ind w:firstLineChars="0"/>
      <w:outlineLvl w:val="2"/>
    </w:pPr>
    <w:rPr>
      <w:rFonts w:ascii="黑体" w:eastAsia="黑体"/>
      <w:sz w:val="32"/>
      <w:szCs w:val="32"/>
    </w:rPr>
  </w:style>
  <w:style w:type="paragraph" w:customStyle="1" w:styleId="274">
    <w:name w:val="四级标题"/>
    <w:basedOn w:val="143"/>
    <w:qFormat/>
    <w:uiPriority w:val="0"/>
    <w:pPr>
      <w:numPr>
        <w:ilvl w:val="3"/>
        <w:numId w:val="23"/>
      </w:numPr>
      <w:spacing w:line="720" w:lineRule="auto"/>
      <w:ind w:firstLineChars="0"/>
      <w:outlineLvl w:val="3"/>
    </w:pPr>
    <w:rPr>
      <w:rFonts w:ascii="黑体" w:eastAsia="黑体"/>
      <w:sz w:val="30"/>
      <w:szCs w:val="30"/>
    </w:rPr>
  </w:style>
  <w:style w:type="paragraph" w:customStyle="1" w:styleId="275">
    <w:name w:val="五级标题"/>
    <w:basedOn w:val="143"/>
    <w:qFormat/>
    <w:uiPriority w:val="0"/>
    <w:pPr>
      <w:numPr>
        <w:ilvl w:val="4"/>
        <w:numId w:val="23"/>
      </w:numPr>
      <w:spacing w:line="720" w:lineRule="auto"/>
      <w:ind w:firstLineChars="0"/>
      <w:outlineLvl w:val="4"/>
    </w:pPr>
    <w:rPr>
      <w:rFonts w:ascii="黑体" w:eastAsia="黑体"/>
      <w:sz w:val="28"/>
      <w:szCs w:val="28"/>
    </w:rPr>
  </w:style>
  <w:style w:type="paragraph" w:customStyle="1" w:styleId="276">
    <w:name w:val="图片"/>
    <w:basedOn w:val="1"/>
    <w:qFormat/>
    <w:uiPriority w:val="0"/>
    <w:pPr>
      <w:ind w:firstLine="200" w:firstLineChars="200"/>
      <w:jc w:val="center"/>
    </w:pPr>
    <w:rPr>
      <w:rFonts w:cs="Times New Roman"/>
      <w:kern w:val="2"/>
      <w:sz w:val="24"/>
    </w:rPr>
  </w:style>
  <w:style w:type="paragraph" w:customStyle="1" w:styleId="277">
    <w:name w:val="图片注释"/>
    <w:basedOn w:val="1"/>
    <w:qFormat/>
    <w:uiPriority w:val="0"/>
    <w:pPr>
      <w:spacing w:afterLines="25"/>
      <w:ind w:firstLine="200" w:firstLineChars="200"/>
      <w:jc w:val="center"/>
    </w:pPr>
    <w:rPr>
      <w:rFonts w:cs="Times New Roman"/>
      <w:kern w:val="2"/>
      <w:sz w:val="24"/>
      <w:u w:val="single"/>
    </w:rPr>
  </w:style>
  <w:style w:type="paragraph" w:customStyle="1" w:styleId="278">
    <w:name w:val="段内层标"/>
    <w:basedOn w:val="182"/>
    <w:qFormat/>
    <w:uiPriority w:val="0"/>
    <w:pPr>
      <w:numPr>
        <w:ilvl w:val="0"/>
        <w:numId w:val="24"/>
      </w:numPr>
      <w:spacing w:beforeLines="25" w:afterLines="25"/>
      <w:ind w:left="0" w:firstLine="200" w:firstLineChars="200"/>
    </w:pPr>
    <w:rPr>
      <w:rFonts w:ascii="宋体"/>
      <w:b/>
      <w:kern w:val="2"/>
      <w:sz w:val="28"/>
      <w:szCs w:val="28"/>
    </w:rPr>
  </w:style>
  <w:style w:type="paragraph" w:customStyle="1" w:styleId="279">
    <w:name w:val="方案设计1级标题"/>
    <w:basedOn w:val="143"/>
    <w:qFormat/>
    <w:uiPriority w:val="0"/>
    <w:pPr>
      <w:tabs>
        <w:tab w:val="left" w:pos="840"/>
      </w:tabs>
      <w:ind w:left="840" w:firstLine="0" w:firstLineChars="0"/>
      <w:jc w:val="center"/>
      <w:outlineLvl w:val="0"/>
    </w:pPr>
    <w:rPr>
      <w:rFonts w:ascii="黑体" w:eastAsia="黑体"/>
      <w:sz w:val="44"/>
      <w:szCs w:val="44"/>
    </w:rPr>
  </w:style>
  <w:style w:type="paragraph" w:customStyle="1" w:styleId="280">
    <w:name w:val="方案设计2级标题"/>
    <w:basedOn w:val="143"/>
    <w:qFormat/>
    <w:uiPriority w:val="0"/>
    <w:pPr>
      <w:numPr>
        <w:ilvl w:val="1"/>
        <w:numId w:val="25"/>
      </w:numPr>
      <w:ind w:firstLine="0" w:firstLineChars="0"/>
      <w:outlineLvl w:val="1"/>
    </w:pPr>
    <w:rPr>
      <w:rFonts w:ascii="黑体" w:eastAsia="黑体"/>
      <w:sz w:val="32"/>
      <w:szCs w:val="32"/>
    </w:rPr>
  </w:style>
  <w:style w:type="paragraph" w:customStyle="1" w:styleId="281">
    <w:name w:val="标题3"/>
    <w:basedOn w:val="143"/>
    <w:qFormat/>
    <w:uiPriority w:val="0"/>
    <w:pPr>
      <w:numPr>
        <w:ilvl w:val="2"/>
        <w:numId w:val="25"/>
      </w:numPr>
      <w:ind w:firstLine="0" w:firstLineChars="0"/>
      <w:outlineLvl w:val="2"/>
    </w:pPr>
    <w:rPr>
      <w:rFonts w:ascii="黑体" w:eastAsia="黑体"/>
      <w:sz w:val="28"/>
      <w:szCs w:val="28"/>
    </w:rPr>
  </w:style>
  <w:style w:type="paragraph" w:customStyle="1" w:styleId="282">
    <w:name w:val="标题5"/>
    <w:basedOn w:val="143"/>
    <w:qFormat/>
    <w:uiPriority w:val="0"/>
    <w:pPr>
      <w:tabs>
        <w:tab w:val="left" w:pos="2038"/>
      </w:tabs>
      <w:ind w:left="2038" w:hanging="420" w:firstLineChars="0"/>
      <w:jc w:val="left"/>
      <w:outlineLvl w:val="4"/>
    </w:pPr>
    <w:rPr>
      <w:rFonts w:ascii="黑体" w:eastAsia="黑体"/>
      <w:sz w:val="28"/>
      <w:szCs w:val="28"/>
    </w:rPr>
  </w:style>
  <w:style w:type="paragraph" w:customStyle="1" w:styleId="283">
    <w:name w:val="正文标题"/>
    <w:basedOn w:val="1"/>
    <w:qFormat/>
    <w:uiPriority w:val="0"/>
    <w:pPr>
      <w:numPr>
        <w:ilvl w:val="0"/>
        <w:numId w:val="25"/>
      </w:numPr>
      <w:ind w:left="0" w:firstLine="200" w:firstLineChars="200"/>
    </w:pPr>
    <w:rPr>
      <w:rFonts w:ascii="Calibri" w:hAnsi="Calibri" w:cs="Times New Roman"/>
      <w:b/>
      <w:kern w:val="2"/>
      <w:sz w:val="28"/>
      <w:szCs w:val="28"/>
    </w:rPr>
  </w:style>
  <w:style w:type="paragraph" w:customStyle="1" w:styleId="284">
    <w:name w:val="样式 Verdana 四号 首行缩进:  2 字符"/>
    <w:basedOn w:val="1"/>
    <w:qFormat/>
    <w:uiPriority w:val="0"/>
    <w:pPr>
      <w:ind w:firstLine="200" w:firstLineChars="200"/>
      <w:jc w:val="left"/>
    </w:pPr>
    <w:rPr>
      <w:rFonts w:ascii="Verdana" w:hAnsi="Verdana"/>
      <w:sz w:val="24"/>
      <w:szCs w:val="20"/>
    </w:rPr>
  </w:style>
  <w:style w:type="paragraph" w:customStyle="1" w:styleId="285">
    <w:name w:val="层标"/>
    <w:basedOn w:val="182"/>
    <w:qFormat/>
    <w:uiPriority w:val="0"/>
    <w:pPr>
      <w:numPr>
        <w:ilvl w:val="0"/>
        <w:numId w:val="26"/>
      </w:numPr>
      <w:spacing w:beforeLines="25" w:afterLines="25"/>
      <w:ind w:left="0" w:firstLine="0"/>
    </w:pPr>
    <w:rPr>
      <w:rFonts w:ascii="宋体"/>
      <w:b/>
      <w:kern w:val="2"/>
      <w:sz w:val="28"/>
      <w:szCs w:val="28"/>
    </w:rPr>
  </w:style>
  <w:style w:type="paragraph" w:styleId="286">
    <w:name w:val="Quote"/>
    <w:basedOn w:val="1"/>
    <w:next w:val="1"/>
    <w:qFormat/>
    <w:uiPriority w:val="0"/>
    <w:pPr>
      <w:jc w:val="center"/>
    </w:pPr>
    <w:rPr>
      <w:rFonts w:ascii="Times New Roman" w:cs="Times New Roman"/>
      <w:iCs/>
      <w:color w:val="000000"/>
      <w:kern w:val="2"/>
      <w:sz w:val="24"/>
    </w:rPr>
  </w:style>
  <w:style w:type="character" w:customStyle="1" w:styleId="287">
    <w:name w:val="明显参考1"/>
    <w:qFormat/>
    <w:uiPriority w:val="0"/>
    <w:rPr>
      <w:rFonts w:eastAsia="宋体"/>
      <w:bCs/>
      <w:smallCaps/>
      <w:color w:val="000000"/>
      <w:spacing w:val="5"/>
      <w:sz w:val="24"/>
      <w:u w:val="single"/>
    </w:rPr>
  </w:style>
  <w:style w:type="paragraph" w:customStyle="1" w:styleId="288">
    <w:name w:val="段落强调"/>
    <w:basedOn w:val="1"/>
    <w:qFormat/>
    <w:uiPriority w:val="0"/>
    <w:pPr>
      <w:numPr>
        <w:ilvl w:val="0"/>
        <w:numId w:val="27"/>
      </w:numPr>
      <w:ind w:left="0" w:firstLine="420"/>
    </w:pPr>
    <w:rPr>
      <w:rFonts w:ascii="Times New Roman" w:cs="Times New Roman"/>
      <w:b/>
      <w:kern w:val="2"/>
      <w:sz w:val="24"/>
    </w:rPr>
  </w:style>
  <w:style w:type="character" w:customStyle="1" w:styleId="289">
    <w:name w:val="书籍标题1"/>
    <w:qFormat/>
    <w:uiPriority w:val="0"/>
    <w:rPr>
      <w:b/>
      <w:bCs/>
      <w:smallCaps/>
      <w:spacing w:val="5"/>
    </w:rPr>
  </w:style>
  <w:style w:type="paragraph" w:customStyle="1" w:styleId="290">
    <w:name w:val="段内主题"/>
    <w:basedOn w:val="1"/>
    <w:qFormat/>
    <w:uiPriority w:val="0"/>
    <w:pPr>
      <w:numPr>
        <w:ilvl w:val="1"/>
        <w:numId w:val="28"/>
      </w:numPr>
      <w:ind w:firstLine="0"/>
    </w:pPr>
    <w:rPr>
      <w:rFonts w:cs="Times New Roman"/>
      <w:b/>
      <w:kern w:val="2"/>
      <w:sz w:val="24"/>
    </w:rPr>
  </w:style>
  <w:style w:type="paragraph" w:customStyle="1" w:styleId="291">
    <w:name w:val="图片注释新"/>
    <w:basedOn w:val="277"/>
    <w:qFormat/>
    <w:uiPriority w:val="0"/>
    <w:pPr>
      <w:spacing w:afterLines="0"/>
      <w:ind w:firstLine="0" w:firstLineChars="0"/>
    </w:pPr>
  </w:style>
  <w:style w:type="paragraph" w:customStyle="1" w:styleId="292">
    <w:name w:val="正文（缩进）"/>
    <w:basedOn w:val="1"/>
    <w:qFormat/>
    <w:uiPriority w:val="0"/>
    <w:pPr>
      <w:spacing w:beforeLines="50" w:afterLines="50"/>
      <w:ind w:firstLine="200" w:firstLineChars="200"/>
    </w:pPr>
    <w:rPr>
      <w:rFonts w:ascii="Times New Roman" w:cs="Times New Roman"/>
      <w:sz w:val="24"/>
    </w:rPr>
  </w:style>
  <w:style w:type="character" w:customStyle="1" w:styleId="293">
    <w:name w:val="Char Char4"/>
    <w:qFormat/>
    <w:uiPriority w:val="0"/>
    <w:rPr>
      <w:rFonts w:eastAsia="宋体"/>
      <w:b/>
      <w:kern w:val="2"/>
      <w:sz w:val="24"/>
      <w:lang w:val="en-US" w:eastAsia="zh-CN" w:bidi="ar-SA"/>
    </w:rPr>
  </w:style>
  <w:style w:type="paragraph" w:customStyle="1" w:styleId="294">
    <w:name w:val="Char5 Char Char Char Char Char Char"/>
    <w:basedOn w:val="1"/>
    <w:qFormat/>
    <w:uiPriority w:val="0"/>
    <w:pPr>
      <w:spacing w:after="160" w:line="240" w:lineRule="exact"/>
      <w:jc w:val="left"/>
    </w:pPr>
    <w:rPr>
      <w:rFonts w:ascii="Verdana" w:hAnsi="Verdana" w:eastAsia="仿宋_GB2312"/>
      <w:sz w:val="24"/>
      <w:szCs w:val="20"/>
      <w:lang w:eastAsia="en-US"/>
    </w:rPr>
  </w:style>
  <w:style w:type="paragraph" w:customStyle="1" w:styleId="295">
    <w:name w:val="pa-2"/>
    <w:basedOn w:val="1"/>
    <w:qFormat/>
    <w:uiPriority w:val="0"/>
    <w:pPr>
      <w:spacing w:before="100" w:beforeAutospacing="1" w:after="100" w:afterAutospacing="1"/>
      <w:jc w:val="left"/>
    </w:pPr>
    <w:rPr>
      <w:sz w:val="24"/>
    </w:rPr>
  </w:style>
  <w:style w:type="paragraph" w:customStyle="1" w:styleId="296">
    <w:name w:val="方案正文段落"/>
    <w:basedOn w:val="1"/>
    <w:qFormat/>
    <w:uiPriority w:val="0"/>
    <w:pPr>
      <w:ind w:firstLine="200" w:firstLineChars="200"/>
    </w:pPr>
    <w:rPr>
      <w:rFonts w:ascii="Times New Roman" w:cs="Times New Roman"/>
      <w:kern w:val="2"/>
      <w:szCs w:val="20"/>
    </w:rPr>
  </w:style>
  <w:style w:type="paragraph" w:customStyle="1" w:styleId="297">
    <w:name w:val="修订1"/>
    <w:qFormat/>
    <w:uiPriority w:val="0"/>
    <w:pPr>
      <w:spacing w:line="360" w:lineRule="auto"/>
      <w:jc w:val="both"/>
    </w:pPr>
    <w:rPr>
      <w:rFonts w:ascii="Times New Roman" w:hAnsi="Times New Roman" w:eastAsia="宋体" w:cs="Times New Roman"/>
      <w:kern w:val="2"/>
      <w:sz w:val="21"/>
      <w:szCs w:val="24"/>
      <w:lang w:val="en-US" w:eastAsia="zh-CN" w:bidi="ar-SA"/>
    </w:rPr>
  </w:style>
  <w:style w:type="paragraph" w:customStyle="1" w:styleId="298">
    <w:name w:val="模板正文"/>
    <w:basedOn w:val="1"/>
    <w:qFormat/>
    <w:uiPriority w:val="0"/>
    <w:pPr>
      <w:widowControl w:val="0"/>
      <w:shd w:val="clear" w:color="auto" w:fill="auto"/>
      <w:tabs>
        <w:tab w:val="clear" w:pos="426"/>
      </w:tabs>
      <w:wordWrap w:val="0"/>
      <w:adjustRightInd/>
      <w:snapToGrid/>
      <w:spacing w:beforeLines="50"/>
      <w:ind w:firstLine="200" w:firstLineChars="200"/>
    </w:pPr>
    <w:rPr>
      <w:rFonts w:ascii="Times New Roman" w:eastAsia="仿宋_GB2312" w:cs="Times New Roman"/>
      <w:sz w:val="28"/>
      <w:szCs w:val="21"/>
    </w:rPr>
  </w:style>
  <w:style w:type="paragraph" w:styleId="299">
    <w:name w:val="List Paragraph"/>
    <w:basedOn w:val="1"/>
    <w:link w:val="300"/>
    <w:qFormat/>
    <w:uiPriority w:val="99"/>
    <w:pPr>
      <w:widowControl w:val="0"/>
      <w:shd w:val="clear" w:color="auto" w:fill="auto"/>
      <w:tabs>
        <w:tab w:val="clear" w:pos="426"/>
      </w:tabs>
      <w:adjustRightInd/>
      <w:snapToGrid/>
      <w:ind w:firstLine="200" w:firstLineChars="200"/>
    </w:pPr>
    <w:rPr>
      <w:rFonts w:ascii="Times New Roman" w:cs="Times New Roman"/>
      <w:kern w:val="2"/>
      <w:sz w:val="24"/>
    </w:rPr>
  </w:style>
  <w:style w:type="character" w:customStyle="1" w:styleId="300">
    <w:name w:val="列表段落 字符"/>
    <w:link w:val="299"/>
    <w:qFormat/>
    <w:uiPriority w:val="0"/>
    <w:rPr>
      <w:kern w:val="2"/>
      <w:sz w:val="24"/>
      <w:szCs w:val="24"/>
    </w:rPr>
  </w:style>
  <w:style w:type="paragraph" w:customStyle="1" w:styleId="301">
    <w:name w:val="普通段落"/>
    <w:qFormat/>
    <w:uiPriority w:val="0"/>
    <w:pPr>
      <w:widowControl w:val="0"/>
      <w:adjustRightInd w:val="0"/>
      <w:spacing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302">
    <w:name w:val="表格正文"/>
    <w:basedOn w:val="1"/>
    <w:qFormat/>
    <w:uiPriority w:val="0"/>
    <w:pPr>
      <w:widowControl w:val="0"/>
      <w:shd w:val="clear" w:color="auto" w:fill="auto"/>
      <w:tabs>
        <w:tab w:val="clear" w:pos="426"/>
      </w:tabs>
      <w:adjustRightInd/>
      <w:snapToGrid/>
      <w:ind w:firstLine="200" w:firstLineChars="200"/>
    </w:pPr>
    <w:rPr>
      <w:rFonts w:ascii="Arial" w:hAnsi="Arial" w:eastAsia="仿宋_GB2312" w:cs="Times New Roman"/>
      <w:kern w:val="2"/>
      <w:sz w:val="24"/>
      <w:szCs w:val="22"/>
    </w:rPr>
  </w:style>
  <w:style w:type="paragraph" w:customStyle="1" w:styleId="303">
    <w:name w:val="USE 1"/>
    <w:basedOn w:val="1"/>
    <w:qFormat/>
    <w:uiPriority w:val="0"/>
    <w:pPr>
      <w:widowControl w:val="0"/>
      <w:shd w:val="clear" w:color="auto" w:fill="auto"/>
      <w:tabs>
        <w:tab w:val="clear" w:pos="426"/>
      </w:tabs>
      <w:adjustRightInd/>
      <w:snapToGrid/>
      <w:spacing w:line="200" w:lineRule="atLeast"/>
    </w:pPr>
    <w:rPr>
      <w:rFonts w:cs="Times New Roman"/>
      <w:b/>
      <w:kern w:val="2"/>
      <w:sz w:val="24"/>
      <w:szCs w:val="28"/>
    </w:rPr>
  </w:style>
  <w:style w:type="character" w:customStyle="1" w:styleId="304">
    <w:name w:val="标题 1 字符1"/>
    <w:qFormat/>
    <w:uiPriority w:val="0"/>
    <w:rPr>
      <w:rFonts w:ascii="Times New Roman" w:hAnsi="Times New Roman" w:eastAsia="宋体" w:cs="Times New Roman"/>
      <w:b/>
      <w:kern w:val="44"/>
      <w:sz w:val="44"/>
      <w:szCs w:val="20"/>
      <w:lang w:bidi="ar-SA"/>
    </w:rPr>
  </w:style>
  <w:style w:type="paragraph" w:customStyle="1" w:styleId="305">
    <w:name w:val="翟 正文"/>
    <w:basedOn w:val="1"/>
    <w:qFormat/>
    <w:uiPriority w:val="0"/>
    <w:pPr>
      <w:widowControl w:val="0"/>
      <w:shd w:val="clear" w:color="auto" w:fill="auto"/>
      <w:tabs>
        <w:tab w:val="clear" w:pos="426"/>
      </w:tabs>
      <w:adjustRightInd/>
      <w:snapToGrid/>
      <w:spacing w:line="480" w:lineRule="exact"/>
      <w:ind w:firstLine="200" w:firstLineChars="200"/>
    </w:pPr>
    <w:rPr>
      <w:rFonts w:cs="Times New Roman"/>
      <w:snapToGrid w:val="0"/>
      <w:color w:val="000000"/>
      <w:sz w:val="28"/>
      <w:szCs w:val="28"/>
    </w:rPr>
  </w:style>
  <w:style w:type="paragraph" w:customStyle="1" w:styleId="306">
    <w:name w:val="倪芳"/>
    <w:basedOn w:val="1"/>
    <w:qFormat/>
    <w:uiPriority w:val="0"/>
    <w:pPr>
      <w:widowControl w:val="0"/>
      <w:shd w:val="clear" w:color="auto" w:fill="auto"/>
      <w:tabs>
        <w:tab w:val="clear" w:pos="426"/>
      </w:tabs>
      <w:adjustRightInd/>
      <w:snapToGrid/>
      <w:spacing w:beforeLines="25" w:afterLines="15" w:line="400" w:lineRule="exact"/>
    </w:pPr>
    <w:rPr>
      <w:rFonts w:cs="Courier New"/>
      <w:kern w:val="2"/>
      <w:sz w:val="24"/>
      <w:szCs w:val="21"/>
    </w:rPr>
  </w:style>
  <w:style w:type="paragraph" w:customStyle="1" w:styleId="307">
    <w:name w:val="font0"/>
    <w:basedOn w:val="1"/>
    <w:qFormat/>
    <w:uiPriority w:val="0"/>
    <w:pPr>
      <w:shd w:val="clear" w:color="auto" w:fill="auto"/>
      <w:tabs>
        <w:tab w:val="clear" w:pos="426"/>
      </w:tabs>
      <w:adjustRightInd/>
      <w:snapToGrid/>
      <w:spacing w:before="100" w:beforeAutospacing="1" w:after="100" w:afterAutospacing="1" w:line="240" w:lineRule="auto"/>
      <w:jc w:val="left"/>
    </w:pPr>
    <w:rPr>
      <w:rFonts w:ascii="Arial" w:hAnsi="Arial" w:cs="Arial"/>
      <w:sz w:val="20"/>
      <w:szCs w:val="20"/>
    </w:rPr>
  </w:style>
  <w:style w:type="paragraph" w:customStyle="1" w:styleId="308">
    <w:name w:val="font7"/>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20"/>
      <w:szCs w:val="20"/>
    </w:rPr>
  </w:style>
  <w:style w:type="paragraph" w:customStyle="1" w:styleId="309">
    <w:name w:val="font8"/>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cs="Times New Roman"/>
      <w:sz w:val="18"/>
      <w:szCs w:val="18"/>
    </w:rPr>
  </w:style>
  <w:style w:type="paragraph" w:customStyle="1" w:styleId="310">
    <w:name w:val="font9"/>
    <w:basedOn w:val="1"/>
    <w:qFormat/>
    <w:uiPriority w:val="0"/>
    <w:pPr>
      <w:shd w:val="clear" w:color="auto" w:fill="auto"/>
      <w:tabs>
        <w:tab w:val="clear" w:pos="426"/>
      </w:tabs>
      <w:adjustRightInd/>
      <w:snapToGrid/>
      <w:spacing w:before="100" w:beforeAutospacing="1" w:after="100" w:afterAutospacing="1" w:line="240" w:lineRule="auto"/>
      <w:jc w:val="left"/>
    </w:pPr>
    <w:rPr>
      <w:b/>
      <w:bCs/>
      <w:sz w:val="20"/>
      <w:szCs w:val="20"/>
    </w:rPr>
  </w:style>
  <w:style w:type="paragraph" w:customStyle="1" w:styleId="311">
    <w:name w:val="font10"/>
    <w:basedOn w:val="1"/>
    <w:qFormat/>
    <w:uiPriority w:val="0"/>
    <w:pPr>
      <w:shd w:val="clear" w:color="auto" w:fill="auto"/>
      <w:tabs>
        <w:tab w:val="clear" w:pos="426"/>
      </w:tabs>
      <w:adjustRightInd/>
      <w:snapToGrid/>
      <w:spacing w:before="100" w:beforeAutospacing="1" w:after="100" w:afterAutospacing="1" w:line="240" w:lineRule="auto"/>
      <w:jc w:val="left"/>
    </w:pPr>
    <w:rPr>
      <w:rFonts w:ascii="Calibri" w:hAnsi="Calibri"/>
      <w:sz w:val="20"/>
      <w:szCs w:val="20"/>
    </w:rPr>
  </w:style>
  <w:style w:type="paragraph" w:customStyle="1" w:styleId="312">
    <w:name w:val="xl22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3">
    <w:name w:val="xl22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4">
    <w:name w:val="xl2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5">
    <w:name w:val="xl2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b/>
      <w:bCs/>
      <w:sz w:val="24"/>
    </w:rPr>
  </w:style>
  <w:style w:type="paragraph" w:customStyle="1" w:styleId="316">
    <w:name w:val="xl228"/>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7">
    <w:name w:val="xl229"/>
    <w:basedOn w:val="1"/>
    <w:qFormat/>
    <w:uiPriority w:val="0"/>
    <w:pPr>
      <w:pBdr>
        <w:left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18">
    <w:name w:val="xl2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19">
    <w:name w:val="xl2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0">
    <w:name w:val="xl2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color w:val="000000"/>
      <w:sz w:val="24"/>
    </w:rPr>
  </w:style>
  <w:style w:type="paragraph" w:customStyle="1" w:styleId="321">
    <w:name w:val="xl2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2">
    <w:name w:val="xl2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3">
    <w:name w:val="xl2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4">
    <w:name w:val="xl2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5">
    <w:name w:val="xl2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6">
    <w:name w:val="xl23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7">
    <w:name w:val="xl23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8">
    <w:name w:val="xl24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29">
    <w:name w:val="xl2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textAlignment w:val="center"/>
    </w:pPr>
    <w:rPr>
      <w:sz w:val="24"/>
    </w:rPr>
  </w:style>
  <w:style w:type="paragraph" w:customStyle="1" w:styleId="330">
    <w:name w:val="xl24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1">
    <w:name w:val="xl2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2">
    <w:name w:val="xl24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3">
    <w:name w:val="xl2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4">
    <w:name w:val="xl2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5">
    <w:name w:val="xl24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6">
    <w:name w:val="xl24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37">
    <w:name w:val="xl24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8">
    <w:name w:val="xl25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39">
    <w:name w:val="xl251"/>
    <w:basedOn w:val="1"/>
    <w:qFormat/>
    <w:uiPriority w:val="0"/>
    <w:pPr>
      <w:shd w:val="clear" w:color="auto" w:fill="auto"/>
      <w:tabs>
        <w:tab w:val="clear" w:pos="426"/>
      </w:tabs>
      <w:adjustRightInd/>
      <w:snapToGrid/>
      <w:spacing w:before="100" w:beforeAutospacing="1" w:after="100" w:afterAutospacing="1" w:line="240" w:lineRule="auto"/>
      <w:jc w:val="center"/>
      <w:textAlignment w:val="center"/>
    </w:pPr>
    <w:rPr>
      <w:sz w:val="24"/>
    </w:rPr>
  </w:style>
  <w:style w:type="paragraph" w:customStyle="1" w:styleId="340">
    <w:name w:val="xl2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textAlignment w:val="center"/>
    </w:pPr>
    <w:rPr>
      <w:rFonts w:ascii="Calibri" w:hAnsi="Calibri"/>
      <w:sz w:val="24"/>
    </w:rPr>
  </w:style>
  <w:style w:type="paragraph" w:customStyle="1" w:styleId="341">
    <w:name w:val="xl25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2">
    <w:name w:val="xl2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color w:val="000000"/>
      <w:sz w:val="24"/>
    </w:rPr>
  </w:style>
  <w:style w:type="paragraph" w:customStyle="1" w:styleId="343">
    <w:name w:val="xl2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4">
    <w:name w:val="xl25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5">
    <w:name w:val="xl25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6">
    <w:name w:val="xl2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7">
    <w:name w:val="xl25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8">
    <w:name w:val="xl26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49">
    <w:name w:val="xl26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0">
    <w:name w:val="xl26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1">
    <w:name w:val="xl26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2">
    <w:name w:val="xl26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3">
    <w:name w:val="xl26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4">
    <w:name w:val="xl26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5">
    <w:name w:val="xl26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6">
    <w:name w:val="xl268"/>
    <w:basedOn w:val="1"/>
    <w:qFormat/>
    <w:uiPriority w:val="0"/>
    <w:pPr>
      <w:shd w:val="clear" w:color="auto" w:fill="auto"/>
      <w:tabs>
        <w:tab w:val="clear" w:pos="426"/>
      </w:tabs>
      <w:adjustRightInd/>
      <w:snapToGrid/>
      <w:spacing w:before="100" w:beforeAutospacing="1" w:after="100" w:afterAutospacing="1" w:line="240" w:lineRule="auto"/>
      <w:jc w:val="left"/>
      <w:textAlignment w:val="center"/>
    </w:pPr>
    <w:rPr>
      <w:sz w:val="24"/>
    </w:rPr>
  </w:style>
  <w:style w:type="paragraph" w:customStyle="1" w:styleId="357">
    <w:name w:val="xl269"/>
    <w:basedOn w:val="1"/>
    <w:qFormat/>
    <w:uiPriority w:val="0"/>
    <w:pPr>
      <w:pBdr>
        <w:bottom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sz w:val="40"/>
      <w:szCs w:val="40"/>
    </w:rPr>
  </w:style>
  <w:style w:type="character" w:customStyle="1" w:styleId="358">
    <w:name w:val="正文文本 Char"/>
    <w:qFormat/>
    <w:uiPriority w:val="0"/>
    <w:rPr>
      <w:rFonts w:ascii="宋体"/>
      <w:kern w:val="10"/>
      <w:sz w:val="21"/>
    </w:rPr>
  </w:style>
  <w:style w:type="paragraph" w:customStyle="1" w:styleId="359">
    <w:name w:val="Char Char Char Char Char Char Char"/>
    <w:basedOn w:val="1"/>
    <w:qFormat/>
    <w:uiPriority w:val="0"/>
    <w:pPr>
      <w:widowControl w:val="0"/>
      <w:shd w:val="clear" w:color="auto" w:fill="auto"/>
      <w:tabs>
        <w:tab w:val="clear" w:pos="426"/>
      </w:tabs>
      <w:adjustRightInd/>
      <w:snapToGrid/>
      <w:spacing w:line="240" w:lineRule="auto"/>
    </w:pPr>
    <w:rPr>
      <w:rFonts w:ascii="仿宋_GB2312" w:eastAsia="仿宋_GB2312" w:cs="Times New Roman"/>
      <w:b/>
      <w:kern w:val="2"/>
      <w:sz w:val="32"/>
      <w:szCs w:val="32"/>
    </w:rPr>
  </w:style>
  <w:style w:type="paragraph" w:customStyle="1" w:styleId="360">
    <w:name w:val="正文样式"/>
    <w:basedOn w:val="33"/>
    <w:qFormat/>
    <w:uiPriority w:val="0"/>
    <w:pPr>
      <w:widowControl w:val="0"/>
      <w:shd w:val="clear" w:color="auto" w:fill="auto"/>
      <w:tabs>
        <w:tab w:val="clear" w:pos="426"/>
      </w:tabs>
      <w:adjustRightInd/>
      <w:snapToGrid/>
      <w:jc w:val="left"/>
    </w:pPr>
    <w:rPr>
      <w:rFonts w:ascii="宋体" w:cs="宋体"/>
      <w:szCs w:val="20"/>
    </w:rPr>
  </w:style>
  <w:style w:type="paragraph" w:customStyle="1" w:styleId="361">
    <w:name w:val="样式 USE 1 + 行距: 单倍行距"/>
    <w:basedOn w:val="1"/>
    <w:qFormat/>
    <w:uiPriority w:val="0"/>
    <w:pPr>
      <w:widowControl w:val="0"/>
      <w:numPr>
        <w:ilvl w:val="0"/>
        <w:numId w:val="29"/>
      </w:numPr>
      <w:shd w:val="clear" w:color="auto" w:fill="auto"/>
      <w:tabs>
        <w:tab w:val="clear" w:pos="426"/>
      </w:tabs>
      <w:adjustRightInd/>
      <w:snapToGrid/>
      <w:spacing w:line="180" w:lineRule="atLeast"/>
      <w:jc w:val="left"/>
    </w:pPr>
    <w:rPr>
      <w:b/>
      <w:bCs/>
      <w:kern w:val="2"/>
      <w:sz w:val="24"/>
      <w:szCs w:val="20"/>
    </w:rPr>
  </w:style>
  <w:style w:type="paragraph" w:customStyle="1" w:styleId="362">
    <w:name w:val="USE 2"/>
    <w:basedOn w:val="1"/>
    <w:qFormat/>
    <w:uiPriority w:val="0"/>
    <w:pPr>
      <w:widowControl w:val="0"/>
      <w:numPr>
        <w:ilvl w:val="1"/>
        <w:numId w:val="29"/>
      </w:numPr>
      <w:shd w:val="clear" w:color="auto" w:fill="auto"/>
      <w:tabs>
        <w:tab w:val="clear" w:pos="426"/>
      </w:tabs>
      <w:adjustRightInd/>
      <w:snapToGrid/>
      <w:jc w:val="left"/>
    </w:pPr>
    <w:rPr>
      <w:rFonts w:cs="Times New Roman"/>
      <w:kern w:val="2"/>
      <w:sz w:val="24"/>
      <w:szCs w:val="20"/>
    </w:rPr>
  </w:style>
  <w:style w:type="paragraph" w:customStyle="1" w:styleId="363">
    <w:name w:val="USE 3"/>
    <w:basedOn w:val="1"/>
    <w:qFormat/>
    <w:uiPriority w:val="0"/>
    <w:pPr>
      <w:widowControl w:val="0"/>
      <w:numPr>
        <w:ilvl w:val="2"/>
        <w:numId w:val="29"/>
      </w:numPr>
      <w:shd w:val="clear" w:color="auto" w:fill="auto"/>
      <w:tabs>
        <w:tab w:val="clear" w:pos="426"/>
      </w:tabs>
      <w:adjustRightInd/>
      <w:snapToGrid/>
      <w:jc w:val="left"/>
    </w:pPr>
    <w:rPr>
      <w:rFonts w:cs="Times New Roman"/>
      <w:kern w:val="2"/>
      <w:sz w:val="24"/>
      <w:szCs w:val="20"/>
    </w:rPr>
  </w:style>
  <w:style w:type="paragraph" w:customStyle="1" w:styleId="364">
    <w:name w:val="USE 4"/>
    <w:basedOn w:val="1"/>
    <w:qFormat/>
    <w:uiPriority w:val="0"/>
    <w:pPr>
      <w:widowControl w:val="0"/>
      <w:numPr>
        <w:ilvl w:val="3"/>
        <w:numId w:val="29"/>
      </w:numPr>
      <w:shd w:val="clear" w:color="auto" w:fill="auto"/>
      <w:tabs>
        <w:tab w:val="clear" w:pos="426"/>
      </w:tabs>
      <w:adjustRightInd/>
      <w:snapToGrid/>
      <w:jc w:val="left"/>
    </w:pPr>
    <w:rPr>
      <w:rFonts w:cs="Times New Roman"/>
      <w:kern w:val="2"/>
      <w:sz w:val="24"/>
      <w:szCs w:val="20"/>
    </w:rPr>
  </w:style>
  <w:style w:type="paragraph" w:customStyle="1" w:styleId="365">
    <w:name w:val="USE 5"/>
    <w:basedOn w:val="1"/>
    <w:qFormat/>
    <w:uiPriority w:val="0"/>
    <w:pPr>
      <w:widowControl w:val="0"/>
      <w:numPr>
        <w:ilvl w:val="4"/>
        <w:numId w:val="29"/>
      </w:numPr>
      <w:shd w:val="clear" w:color="auto" w:fill="auto"/>
      <w:tabs>
        <w:tab w:val="clear" w:pos="426"/>
      </w:tabs>
      <w:adjustRightInd/>
      <w:snapToGrid/>
      <w:jc w:val="left"/>
    </w:pPr>
    <w:rPr>
      <w:rFonts w:cs="Times New Roman"/>
      <w:kern w:val="2"/>
      <w:sz w:val="24"/>
    </w:rPr>
  </w:style>
  <w:style w:type="paragraph" w:customStyle="1" w:styleId="366">
    <w:name w:val="样式 (西文) 宋体 行距: 1.5 倍行距"/>
    <w:basedOn w:val="1"/>
    <w:qFormat/>
    <w:uiPriority w:val="0"/>
    <w:pPr>
      <w:widowControl w:val="0"/>
      <w:shd w:val="clear" w:color="auto" w:fill="auto"/>
      <w:tabs>
        <w:tab w:val="clear" w:pos="426"/>
      </w:tabs>
      <w:adjustRightInd/>
      <w:snapToGrid/>
    </w:pPr>
    <w:rPr>
      <w:kern w:val="2"/>
      <w:szCs w:val="20"/>
    </w:rPr>
  </w:style>
  <w:style w:type="character" w:customStyle="1" w:styleId="367">
    <w:name w:val="font10pt"/>
    <w:qFormat/>
    <w:uiPriority w:val="0"/>
  </w:style>
  <w:style w:type="character" w:customStyle="1" w:styleId="368">
    <w:name w:val="ss1"/>
    <w:qFormat/>
    <w:uiPriority w:val="0"/>
    <w:rPr>
      <w:rFonts w:ascii="ˎ̥" w:hAnsi="ˎ̥"/>
      <w:color w:val="000000"/>
      <w:sz w:val="18"/>
      <w:szCs w:val="18"/>
      <w:u w:val="none"/>
    </w:rPr>
  </w:style>
  <w:style w:type="character" w:customStyle="1" w:styleId="369">
    <w:name w:val="unnamed211"/>
    <w:qFormat/>
    <w:uiPriority w:val="0"/>
    <w:rPr>
      <w:sz w:val="23"/>
      <w:szCs w:val="23"/>
    </w:rPr>
  </w:style>
  <w:style w:type="character" w:customStyle="1" w:styleId="370">
    <w:name w:val="f142"/>
    <w:qFormat/>
    <w:uiPriority w:val="0"/>
    <w:rPr>
      <w:sz w:val="21"/>
      <w:szCs w:val="21"/>
    </w:rPr>
  </w:style>
  <w:style w:type="character" w:customStyle="1" w:styleId="371">
    <w:name w:val="f14b1"/>
    <w:qFormat/>
    <w:uiPriority w:val="0"/>
    <w:rPr>
      <w:b/>
      <w:bCs/>
      <w:sz w:val="21"/>
      <w:szCs w:val="21"/>
    </w:rPr>
  </w:style>
  <w:style w:type="paragraph" w:customStyle="1" w:styleId="372">
    <w:name w:val="ggbody"/>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paragraph" w:customStyle="1" w:styleId="373">
    <w:name w:val="ggtitle"/>
    <w:basedOn w:val="1"/>
    <w:qFormat/>
    <w:uiPriority w:val="0"/>
    <w:pPr>
      <w:shd w:val="clear" w:color="auto" w:fill="auto"/>
      <w:tabs>
        <w:tab w:val="clear" w:pos="426"/>
      </w:tabs>
      <w:adjustRightInd/>
      <w:snapToGrid/>
      <w:spacing w:before="100" w:beforeAutospacing="1" w:after="100" w:afterAutospacing="1" w:line="330" w:lineRule="atLeast"/>
      <w:jc w:val="left"/>
    </w:pPr>
    <w:rPr>
      <w:sz w:val="23"/>
      <w:szCs w:val="23"/>
    </w:rPr>
  </w:style>
  <w:style w:type="character" w:customStyle="1" w:styleId="374">
    <w:name w:val="ggwenhao"/>
    <w:qFormat/>
    <w:uiPriority w:val="0"/>
  </w:style>
  <w:style w:type="character" w:customStyle="1" w:styleId="375">
    <w:name w:val="text1"/>
    <w:qFormat/>
    <w:uiPriority w:val="0"/>
  </w:style>
  <w:style w:type="character" w:customStyle="1" w:styleId="376">
    <w:name w:val="style3"/>
    <w:qFormat/>
    <w:uiPriority w:val="0"/>
  </w:style>
  <w:style w:type="paragraph" w:customStyle="1" w:styleId="377">
    <w:name w:val="目录"/>
    <w:basedOn w:val="1"/>
    <w:qFormat/>
    <w:uiPriority w:val="0"/>
    <w:pPr>
      <w:shd w:val="clear" w:color="auto" w:fill="auto"/>
      <w:tabs>
        <w:tab w:val="clear" w:pos="426"/>
      </w:tabs>
      <w:adjustRightInd/>
      <w:snapToGrid/>
      <w:spacing w:line="240" w:lineRule="auto"/>
      <w:jc w:val="center"/>
    </w:pPr>
    <w:rPr>
      <w:rFonts w:cs="Times New Roman"/>
      <w:b/>
      <w:sz w:val="36"/>
      <w:szCs w:val="20"/>
    </w:rPr>
  </w:style>
  <w:style w:type="character" w:customStyle="1" w:styleId="378">
    <w:name w:val="tpc_content1"/>
    <w:qFormat/>
    <w:uiPriority w:val="0"/>
    <w:rPr>
      <w:sz w:val="20"/>
      <w:szCs w:val="20"/>
    </w:rPr>
  </w:style>
  <w:style w:type="paragraph" w:customStyle="1" w:styleId="379">
    <w:name w:val="Char1 Char Char Char"/>
    <w:basedOn w:val="1"/>
    <w:qFormat/>
    <w:uiPriority w:val="0"/>
    <w:pPr>
      <w:widowControl w:val="0"/>
      <w:shd w:val="clear" w:color="auto" w:fill="auto"/>
      <w:tabs>
        <w:tab w:val="clear" w:pos="426"/>
      </w:tabs>
      <w:adjustRightInd/>
      <w:snapToGrid/>
      <w:spacing w:line="240" w:lineRule="auto"/>
    </w:pPr>
    <w:rPr>
      <w:rFonts w:ascii="Times New Roman" w:eastAsia="仿宋_GB2312" w:cs="Times New Roman"/>
      <w:kern w:val="2"/>
      <w:sz w:val="28"/>
    </w:rPr>
  </w:style>
  <w:style w:type="paragraph" w:customStyle="1" w:styleId="380">
    <w:name w:val="p9"/>
    <w:basedOn w:val="1"/>
    <w:qFormat/>
    <w:uiPriority w:val="0"/>
    <w:pPr>
      <w:shd w:val="clear" w:color="auto" w:fill="auto"/>
      <w:tabs>
        <w:tab w:val="clear" w:pos="426"/>
      </w:tabs>
      <w:adjustRightInd/>
      <w:snapToGrid/>
      <w:spacing w:before="100" w:beforeAutospacing="1" w:after="100" w:afterAutospacing="1" w:line="240" w:lineRule="auto"/>
      <w:jc w:val="left"/>
    </w:pPr>
    <w:rPr>
      <w:rFonts w:ascii="Times New Roman" w:eastAsia="Arial Unicode MS" w:cs="Arial Unicode MS"/>
      <w:color w:val="000000"/>
      <w:sz w:val="18"/>
      <w:szCs w:val="18"/>
    </w:rPr>
  </w:style>
  <w:style w:type="paragraph" w:customStyle="1" w:styleId="381">
    <w:name w:val="xl3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ascii="Times New Roman" w:eastAsia="Arial Unicode MS" w:cs="Times New Roman"/>
      <w:sz w:val="24"/>
    </w:rPr>
  </w:style>
  <w:style w:type="paragraph" w:customStyle="1" w:styleId="382">
    <w:name w:val="2册标题2"/>
    <w:basedOn w:val="1"/>
    <w:next w:val="1"/>
    <w:qFormat/>
    <w:uiPriority w:val="0"/>
    <w:pPr>
      <w:shd w:val="clear" w:color="auto" w:fill="auto"/>
      <w:tabs>
        <w:tab w:val="clear" w:pos="426"/>
      </w:tabs>
      <w:adjustRightInd/>
      <w:snapToGrid/>
      <w:spacing w:beforeLines="50" w:afterLines="50" w:line="300" w:lineRule="auto"/>
      <w:jc w:val="left"/>
      <w:outlineLvl w:val="1"/>
    </w:pPr>
    <w:rPr>
      <w:rFonts w:ascii="Arial" w:hAnsi="Arial" w:eastAsia="黑体" w:cs="Times New Roman"/>
      <w:sz w:val="30"/>
      <w:szCs w:val="30"/>
      <w:lang w:eastAsia="en-US" w:bidi="en-US"/>
    </w:rPr>
  </w:style>
  <w:style w:type="paragraph" w:customStyle="1" w:styleId="383">
    <w:name w:val="TOC 标题2"/>
    <w:basedOn w:val="3"/>
    <w:next w:val="1"/>
    <w:qFormat/>
    <w:uiPriority w:val="0"/>
    <w:pPr>
      <w:keepNext/>
      <w:keepLines/>
      <w:tabs>
        <w:tab w:val="clear" w:pos="426"/>
      </w:tabs>
      <w:spacing w:before="480" w:after="0" w:line="276" w:lineRule="auto"/>
      <w:jc w:val="left"/>
      <w:outlineLvl w:val="9"/>
    </w:pPr>
    <w:rPr>
      <w:rFonts w:ascii="Cambria" w:hAnsi="Cambria" w:eastAsia="宋体"/>
      <w:color w:val="365F91"/>
      <w:kern w:val="0"/>
    </w:rPr>
  </w:style>
  <w:style w:type="paragraph" w:customStyle="1" w:styleId="384">
    <w:name w:val="Char Char Char Char Char Char Char1"/>
    <w:basedOn w:val="1"/>
    <w:qFormat/>
    <w:uiPriority w:val="0"/>
    <w:pPr>
      <w:widowControl w:val="0"/>
      <w:shd w:val="clear" w:color="auto" w:fill="auto"/>
      <w:tabs>
        <w:tab w:val="center" w:leader="middleDot" w:pos="9240"/>
        <w:tab w:val="center" w:pos="9520"/>
        <w:tab w:val="clear" w:pos="426"/>
      </w:tabs>
      <w:adjustRightInd/>
      <w:snapToGrid/>
      <w:spacing w:line="240" w:lineRule="auto"/>
    </w:pPr>
    <w:rPr>
      <w:rFonts w:ascii="Times New Roman" w:eastAsia="仿宋_GB2312" w:cs="Times New Roman"/>
      <w:kern w:val="2"/>
      <w:sz w:val="24"/>
    </w:rPr>
  </w:style>
  <w:style w:type="paragraph" w:customStyle="1" w:styleId="385">
    <w:name w:val="表1"/>
    <w:basedOn w:val="1"/>
    <w:qFormat/>
    <w:uiPriority w:val="0"/>
    <w:pPr>
      <w:widowControl w:val="0"/>
      <w:shd w:val="clear" w:color="auto" w:fill="auto"/>
      <w:tabs>
        <w:tab w:val="clear" w:pos="426"/>
      </w:tabs>
      <w:adjustRightInd/>
      <w:snapToGrid/>
      <w:spacing w:line="240" w:lineRule="auto"/>
    </w:pPr>
    <w:rPr>
      <w:rFonts w:ascii="Times New Roman" w:cs="Times New Roman"/>
      <w:kern w:val="2"/>
      <w:sz w:val="24"/>
      <w:szCs w:val="20"/>
    </w:rPr>
  </w:style>
  <w:style w:type="character" w:customStyle="1" w:styleId="386">
    <w:name w:val="138v1"/>
    <w:qFormat/>
    <w:uiPriority w:val="0"/>
  </w:style>
  <w:style w:type="character" w:customStyle="1" w:styleId="387">
    <w:name w:val="正文缩进 Char1"/>
    <w:qFormat/>
    <w:uiPriority w:val="0"/>
    <w:rPr>
      <w:kern w:val="2"/>
      <w:sz w:val="21"/>
    </w:rPr>
  </w:style>
  <w:style w:type="paragraph" w:customStyle="1" w:styleId="388">
    <w:name w:val="Default Text"/>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89">
    <w:name w:val="缺省文本"/>
    <w:basedOn w:val="1"/>
    <w:qFormat/>
    <w:uiPriority w:val="0"/>
    <w:pPr>
      <w:widowControl w:val="0"/>
      <w:shd w:val="clear" w:color="auto" w:fill="auto"/>
      <w:tabs>
        <w:tab w:val="clear" w:pos="426"/>
      </w:tabs>
      <w:autoSpaceDE w:val="0"/>
      <w:autoSpaceDN w:val="0"/>
      <w:snapToGrid/>
      <w:spacing w:line="240" w:lineRule="auto"/>
      <w:jc w:val="left"/>
    </w:pPr>
    <w:rPr>
      <w:rFonts w:ascii="Times New Roman" w:cs="Times New Roman"/>
      <w:sz w:val="24"/>
    </w:rPr>
  </w:style>
  <w:style w:type="paragraph" w:customStyle="1" w:styleId="390">
    <w:name w:val="_Style 38"/>
    <w:basedOn w:val="1"/>
    <w:qFormat/>
    <w:uiPriority w:val="0"/>
    <w:pPr>
      <w:widowControl w:val="0"/>
      <w:shd w:val="clear" w:color="auto" w:fill="auto"/>
      <w:tabs>
        <w:tab w:val="clear" w:pos="426"/>
      </w:tabs>
      <w:adjustRightInd/>
      <w:snapToGrid/>
      <w:spacing w:line="240" w:lineRule="auto"/>
    </w:pPr>
    <w:rPr>
      <w:rFonts w:ascii="Times New Roman" w:cs="Times New Roman"/>
      <w:kern w:val="2"/>
    </w:rPr>
  </w:style>
  <w:style w:type="paragraph" w:customStyle="1" w:styleId="391">
    <w:name w:val="标题1"/>
    <w:basedOn w:val="3"/>
    <w:qFormat/>
    <w:uiPriority w:val="0"/>
    <w:pPr>
      <w:keepNext/>
      <w:keepLines/>
      <w:numPr>
        <w:ilvl w:val="0"/>
        <w:numId w:val="30"/>
      </w:numPr>
      <w:tabs>
        <w:tab w:val="clear" w:pos="426"/>
      </w:tabs>
      <w:spacing w:before="400" w:after="400" w:line="240" w:lineRule="auto"/>
      <w:jc w:val="both"/>
    </w:pPr>
    <w:rPr>
      <w:rFonts w:ascii="Times New Roman"/>
      <w:sz w:val="30"/>
      <w:szCs w:val="24"/>
    </w:rPr>
  </w:style>
  <w:style w:type="paragraph" w:customStyle="1" w:styleId="392">
    <w:name w:val="附录"/>
    <w:basedOn w:val="21"/>
    <w:next w:val="1"/>
    <w:qFormat/>
    <w:uiPriority w:val="0"/>
    <w:pPr>
      <w:widowControl w:val="0"/>
      <w:shd w:val="clear" w:color="auto" w:fill="auto"/>
      <w:tabs>
        <w:tab w:val="clear" w:pos="426"/>
      </w:tabs>
      <w:adjustRightInd/>
      <w:snapToGrid/>
      <w:spacing w:before="152" w:after="160" w:line="240" w:lineRule="auto"/>
    </w:pPr>
    <w:rPr>
      <w:kern w:val="2"/>
    </w:rPr>
  </w:style>
  <w:style w:type="paragraph" w:customStyle="1" w:styleId="393">
    <w:name w:val="表格注释"/>
    <w:basedOn w:val="1"/>
    <w:qFormat/>
    <w:uiPriority w:val="0"/>
    <w:pPr>
      <w:widowControl w:val="0"/>
      <w:shd w:val="clear" w:color="auto" w:fill="auto"/>
      <w:tabs>
        <w:tab w:val="clear" w:pos="426"/>
      </w:tabs>
      <w:adjustRightInd/>
      <w:snapToGrid/>
      <w:spacing w:line="300" w:lineRule="exact"/>
      <w:ind w:firstLine="200" w:firstLineChars="200"/>
      <w:jc w:val="left"/>
    </w:pPr>
    <w:rPr>
      <w:rFonts w:ascii="Times New Roman" w:eastAsia="楷体_GB2312"/>
      <w:szCs w:val="21"/>
    </w:rPr>
  </w:style>
  <w:style w:type="paragraph" w:customStyle="1" w:styleId="394">
    <w:name w:val="样式 题注 + 行距: 固定值 23 磅"/>
    <w:basedOn w:val="21"/>
    <w:qFormat/>
    <w:uiPriority w:val="0"/>
    <w:pPr>
      <w:widowControl w:val="0"/>
      <w:shd w:val="clear" w:color="auto" w:fill="auto"/>
      <w:tabs>
        <w:tab w:val="clear" w:pos="426"/>
      </w:tabs>
      <w:adjustRightInd/>
      <w:snapToGrid/>
      <w:spacing w:after="300" w:line="460" w:lineRule="exact"/>
      <w:jc w:val="center"/>
    </w:pPr>
    <w:rPr>
      <w:rFonts w:eastAsia="宋体" w:cs="宋体"/>
      <w:kern w:val="2"/>
      <w:sz w:val="21"/>
      <w:szCs w:val="24"/>
    </w:rPr>
  </w:style>
  <w:style w:type="character" w:customStyle="1" w:styleId="395">
    <w:name w:val="普通文字1 Char Char"/>
    <w:qFormat/>
    <w:uiPriority w:val="0"/>
    <w:rPr>
      <w:rFonts w:ascii="宋体" w:eastAsia="宋体" w:cs="Courier New"/>
      <w:kern w:val="2"/>
      <w:sz w:val="21"/>
      <w:szCs w:val="21"/>
      <w:lang w:val="en-US" w:eastAsia="zh-CN" w:bidi="ar-SA"/>
    </w:rPr>
  </w:style>
  <w:style w:type="paragraph" w:customStyle="1" w:styleId="396">
    <w:name w:val="--规划正文"/>
    <w:basedOn w:val="1"/>
    <w:qFormat/>
    <w:uiPriority w:val="0"/>
    <w:pPr>
      <w:widowControl w:val="0"/>
      <w:shd w:val="clear" w:color="auto" w:fill="auto"/>
      <w:tabs>
        <w:tab w:val="clear" w:pos="426"/>
      </w:tabs>
      <w:adjustRightInd/>
      <w:snapToGrid/>
      <w:ind w:firstLine="200" w:firstLineChars="200"/>
    </w:pPr>
    <w:rPr>
      <w:rFonts w:ascii="Times New Roman" w:cs="Times New Roman"/>
      <w:kern w:val="2"/>
      <w:szCs w:val="20"/>
    </w:rPr>
  </w:style>
  <w:style w:type="paragraph" w:customStyle="1" w:styleId="397">
    <w:name w:val="xl25"/>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520" w:lineRule="exact"/>
      <w:jc w:val="center"/>
      <w:textAlignment w:val="center"/>
    </w:pPr>
    <w:rPr>
      <w:rFonts w:cs="Times New Roman"/>
      <w:sz w:val="24"/>
      <w:szCs w:val="20"/>
    </w:rPr>
  </w:style>
  <w:style w:type="paragraph" w:customStyle="1" w:styleId="398">
    <w:name w:val="cqq2"/>
    <w:basedOn w:val="1"/>
    <w:qFormat/>
    <w:uiPriority w:val="0"/>
    <w:pPr>
      <w:widowControl w:val="0"/>
      <w:shd w:val="clear" w:color="auto" w:fill="auto"/>
      <w:tabs>
        <w:tab w:val="clear" w:pos="426"/>
      </w:tabs>
      <w:adjustRightInd/>
      <w:snapToGrid/>
      <w:spacing w:line="520" w:lineRule="exact"/>
    </w:pPr>
    <w:rPr>
      <w:rFonts w:ascii="仿宋_GB2312" w:eastAsia="仿宋_GB2312" w:cs="Times New Roman"/>
      <w:b/>
      <w:kern w:val="2"/>
      <w:sz w:val="28"/>
      <w:szCs w:val="20"/>
    </w:rPr>
  </w:style>
  <w:style w:type="character" w:customStyle="1" w:styleId="399">
    <w:name w:val="纯文本 Char1"/>
    <w:qFormat/>
    <w:uiPriority w:val="0"/>
    <w:rPr>
      <w:rFonts w:ascii="宋体" w:cs="Courier New"/>
      <w:kern w:val="2"/>
      <w:sz w:val="21"/>
      <w:szCs w:val="21"/>
      <w:lang w:bidi="ar-SA"/>
    </w:rPr>
  </w:style>
  <w:style w:type="character" w:customStyle="1" w:styleId="400">
    <w:name w:val="日期 Char1"/>
    <w:qFormat/>
    <w:uiPriority w:val="0"/>
    <w:rPr>
      <w:kern w:val="2"/>
      <w:sz w:val="21"/>
      <w:szCs w:val="24"/>
    </w:rPr>
  </w:style>
  <w:style w:type="character" w:customStyle="1" w:styleId="401">
    <w:name w:val="文档结构图 Char1"/>
    <w:qFormat/>
    <w:uiPriority w:val="0"/>
    <w:rPr>
      <w:rFonts w:ascii="宋体"/>
      <w:kern w:val="2"/>
      <w:sz w:val="18"/>
      <w:szCs w:val="18"/>
    </w:rPr>
  </w:style>
  <w:style w:type="character" w:customStyle="1" w:styleId="402">
    <w:name w:val="正文文本缩进 Char1"/>
    <w:qFormat/>
    <w:uiPriority w:val="0"/>
    <w:rPr>
      <w:kern w:val="2"/>
      <w:sz w:val="21"/>
      <w:szCs w:val="24"/>
    </w:rPr>
  </w:style>
  <w:style w:type="character" w:customStyle="1" w:styleId="403">
    <w:name w:val="正文文本缩进 3 Char1"/>
    <w:qFormat/>
    <w:uiPriority w:val="0"/>
    <w:rPr>
      <w:kern w:val="2"/>
      <w:sz w:val="16"/>
      <w:szCs w:val="16"/>
    </w:rPr>
  </w:style>
  <w:style w:type="character" w:customStyle="1" w:styleId="404">
    <w:name w:val="副标题 Char1"/>
    <w:qFormat/>
    <w:uiPriority w:val="0"/>
    <w:rPr>
      <w:rFonts w:ascii="Cambria" w:hAnsi="Cambria" w:cs="Times New Roman"/>
      <w:b/>
      <w:bCs/>
      <w:kern w:val="28"/>
      <w:sz w:val="32"/>
      <w:szCs w:val="32"/>
      <w:lang w:bidi="ar-SA"/>
    </w:rPr>
  </w:style>
  <w:style w:type="character" w:customStyle="1" w:styleId="405">
    <w:name w:val="页脚 Char1"/>
    <w:qFormat/>
    <w:uiPriority w:val="0"/>
    <w:rPr>
      <w:kern w:val="2"/>
      <w:sz w:val="18"/>
      <w:szCs w:val="18"/>
    </w:rPr>
  </w:style>
  <w:style w:type="paragraph" w:customStyle="1" w:styleId="406">
    <w:name w:val="Char Char Char1 Char Char Char1 Char Char Char Char Char Char1 Char Char Char1 Char"/>
    <w:basedOn w:val="1"/>
    <w:qFormat/>
    <w:uiPriority w:val="0"/>
    <w:pPr>
      <w:widowControl w:val="0"/>
      <w:shd w:val="clear" w:color="auto" w:fill="auto"/>
      <w:tabs>
        <w:tab w:val="clear" w:pos="426"/>
      </w:tabs>
      <w:adjustRightInd/>
      <w:snapToGrid/>
      <w:spacing w:line="240" w:lineRule="auto"/>
    </w:pPr>
    <w:rPr>
      <w:rFonts w:ascii="Times New Roman" w:cs="Times New Roman"/>
      <w:kern w:val="2"/>
      <w:szCs w:val="20"/>
    </w:rPr>
  </w:style>
  <w:style w:type="paragraph" w:customStyle="1" w:styleId="407">
    <w:name w:val="1"/>
    <w:basedOn w:val="1"/>
    <w:qFormat/>
    <w:uiPriority w:val="0"/>
    <w:pPr>
      <w:tabs>
        <w:tab w:val="clear" w:pos="426"/>
      </w:tabs>
      <w:adjustRightInd/>
      <w:snapToGrid/>
      <w:spacing w:before="280" w:after="290" w:line="376" w:lineRule="auto"/>
      <w:ind w:left="420" w:hanging="420"/>
      <w:jc w:val="left"/>
      <w:outlineLvl w:val="2"/>
    </w:pPr>
    <w:rPr>
      <w:rFonts w:cs="Times New Roman"/>
      <w:b/>
      <w:sz w:val="24"/>
    </w:rPr>
  </w:style>
  <w:style w:type="character" w:customStyle="1" w:styleId="408">
    <w:name w:val="标题 1 Char"/>
    <w:qFormat/>
    <w:uiPriority w:val="0"/>
    <w:rPr>
      <w:rFonts w:ascii="宋体" w:hAnsi="宋体" w:eastAsia="黑体" w:cs="Times New Roman"/>
      <w:b/>
      <w:bCs/>
      <w:kern w:val="44"/>
      <w:sz w:val="28"/>
      <w:szCs w:val="28"/>
      <w:shd w:val="clear" w:color="auto" w:fill="FFFFFF"/>
      <w:lang w:bidi="ar-SA"/>
    </w:rPr>
  </w:style>
  <w:style w:type="paragraph" w:customStyle="1" w:styleId="409">
    <w:name w:val="样式 1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0">
    <w:name w:val="修订2"/>
    <w:qFormat/>
    <w:uiPriority w:val="0"/>
    <w:rPr>
      <w:rFonts w:ascii="宋体" w:hAnsi="Times New Roman" w:eastAsia="宋体" w:cs="宋体"/>
      <w:sz w:val="21"/>
      <w:szCs w:val="24"/>
      <w:lang w:val="en-US" w:eastAsia="zh-CN" w:bidi="ar-SA"/>
    </w:rPr>
  </w:style>
  <w:style w:type="paragraph" w:customStyle="1" w:styleId="411">
    <w:name w:val="样式 10 磅"/>
    <w:qFormat/>
    <w:uiPriority w:val="0"/>
    <w:pPr>
      <w:shd w:val="clear" w:color="auto" w:fill="FFFFFF"/>
      <w:tabs>
        <w:tab w:val="left" w:pos="426"/>
      </w:tabs>
      <w:adjustRightInd w:val="0"/>
      <w:snapToGrid w:val="0"/>
      <w:spacing w:line="360" w:lineRule="auto"/>
      <w:jc w:val="both"/>
    </w:pPr>
    <w:rPr>
      <w:rFonts w:ascii="宋体" w:hAnsi="Times New Roman" w:eastAsia="宋体" w:cs="宋体"/>
      <w:sz w:val="21"/>
      <w:szCs w:val="24"/>
      <w:lang w:val="en-US" w:eastAsia="zh-CN" w:bidi="ar-SA"/>
    </w:rPr>
  </w:style>
  <w:style w:type="paragraph" w:customStyle="1" w:styleId="412">
    <w:name w:val="_Style 386"/>
    <w:basedOn w:val="1"/>
    <w:next w:val="1"/>
    <w:link w:val="413"/>
    <w:qFormat/>
    <w:uiPriority w:val="0"/>
    <w:pPr>
      <w:widowControl w:val="0"/>
      <w:shd w:val="clear" w:color="auto" w:fill="auto"/>
      <w:tabs>
        <w:tab w:val="clear" w:pos="426"/>
      </w:tabs>
      <w:adjustRightInd/>
      <w:snapToGrid/>
      <w:spacing w:line="240" w:lineRule="auto"/>
      <w:ind w:left="840"/>
      <w:jc w:val="left"/>
    </w:pPr>
    <w:rPr>
      <w:rFonts w:cs="Times New Roman"/>
      <w:kern w:val="2"/>
    </w:rPr>
  </w:style>
  <w:style w:type="character" w:customStyle="1" w:styleId="413">
    <w:name w:val="正文首行缩进 Char"/>
    <w:link w:val="412"/>
    <w:qFormat/>
    <w:uiPriority w:val="0"/>
    <w:rPr>
      <w:rFonts w:ascii="宋体"/>
      <w:kern w:val="2"/>
      <w:sz w:val="21"/>
      <w:szCs w:val="24"/>
    </w:rPr>
  </w:style>
  <w:style w:type="character" w:customStyle="1" w:styleId="414">
    <w:name w:val="unnamed4"/>
    <w:qFormat/>
    <w:uiPriority w:val="0"/>
  </w:style>
  <w:style w:type="character" w:customStyle="1" w:styleId="415">
    <w:name w:val="样式 小五"/>
    <w:qFormat/>
    <w:uiPriority w:val="0"/>
    <w:rPr>
      <w:rFonts w:eastAsia="仿宋_GB2312"/>
      <w:sz w:val="18"/>
    </w:rPr>
  </w:style>
  <w:style w:type="character" w:customStyle="1" w:styleId="416">
    <w:name w:val="标题 3 Char1"/>
    <w:qFormat/>
    <w:uiPriority w:val="0"/>
    <w:rPr>
      <w:rFonts w:eastAsia="宋体"/>
      <w:b/>
      <w:bCs/>
      <w:kern w:val="2"/>
      <w:sz w:val="32"/>
      <w:szCs w:val="32"/>
      <w:lang w:val="en-US" w:eastAsia="zh-CN" w:bidi="ar-SA"/>
    </w:rPr>
  </w:style>
  <w:style w:type="character" w:customStyle="1" w:styleId="417">
    <w:name w:val="标题 3 Char Char"/>
    <w:qFormat/>
    <w:uiPriority w:val="0"/>
    <w:rPr>
      <w:rFonts w:ascii="黑体" w:eastAsia="黑体"/>
      <w:bCs/>
      <w:sz w:val="30"/>
    </w:rPr>
  </w:style>
  <w:style w:type="paragraph" w:customStyle="1" w:styleId="418">
    <w:name w:val="正文缩入"/>
    <w:basedOn w:val="1"/>
    <w:qFormat/>
    <w:uiPriority w:val="0"/>
    <w:pPr>
      <w:widowControl w:val="0"/>
      <w:shd w:val="clear" w:color="auto" w:fill="auto"/>
      <w:tabs>
        <w:tab w:val="clear" w:pos="426"/>
      </w:tabs>
      <w:adjustRightInd/>
      <w:snapToGrid/>
      <w:spacing w:after="120" w:line="240" w:lineRule="auto"/>
      <w:ind w:firstLine="504"/>
    </w:pPr>
    <w:rPr>
      <w:rFonts w:ascii="Times New Roman" w:eastAsia="Times New Roman" w:cs="Times New Roman"/>
      <w:kern w:val="2"/>
      <w:sz w:val="24"/>
    </w:rPr>
  </w:style>
  <w:style w:type="paragraph" w:customStyle="1" w:styleId="419">
    <w:name w:val="Char Char Char Char Char Char Char Char"/>
    <w:basedOn w:val="1"/>
    <w:next w:val="1"/>
    <w:qFormat/>
    <w:uiPriority w:val="0"/>
    <w:pPr>
      <w:shd w:val="clear" w:color="auto" w:fill="auto"/>
      <w:tabs>
        <w:tab w:val="clear" w:pos="426"/>
      </w:tabs>
      <w:adjustRightInd/>
      <w:snapToGrid/>
      <w:spacing w:after="160" w:line="240" w:lineRule="exact"/>
      <w:jc w:val="left"/>
    </w:pPr>
    <w:rPr>
      <w:rFonts w:ascii="Verdana" w:hAnsi="Verdana" w:cs="Times New Roman"/>
      <w:sz w:val="20"/>
      <w:szCs w:val="20"/>
      <w:lang w:eastAsia="en-US"/>
    </w:rPr>
  </w:style>
  <w:style w:type="paragraph" w:customStyle="1" w:styleId="420">
    <w:name w:val="题注5"/>
    <w:basedOn w:val="1"/>
    <w:next w:val="21"/>
    <w:qFormat/>
    <w:uiPriority w:val="0"/>
    <w:pPr>
      <w:widowControl w:val="0"/>
      <w:shd w:val="clear" w:color="auto" w:fill="auto"/>
      <w:tabs>
        <w:tab w:val="clear" w:pos="426"/>
      </w:tabs>
      <w:adjustRightInd/>
      <w:snapToGrid/>
      <w:spacing w:line="240" w:lineRule="auto"/>
      <w:jc w:val="center"/>
    </w:pPr>
    <w:rPr>
      <w:rFonts w:ascii="Times New Roman" w:cs="Times New Roman"/>
      <w:b/>
      <w:color w:val="000000"/>
      <w:kern w:val="2"/>
      <w:sz w:val="24"/>
      <w:szCs w:val="21"/>
    </w:rPr>
  </w:style>
  <w:style w:type="paragraph" w:customStyle="1" w:styleId="421">
    <w:name w:val="正文缩进1"/>
    <w:basedOn w:val="1"/>
    <w:qFormat/>
    <w:uiPriority w:val="0"/>
    <w:pPr>
      <w:widowControl w:val="0"/>
      <w:shd w:val="clear" w:color="auto" w:fill="auto"/>
      <w:tabs>
        <w:tab w:val="clear" w:pos="426"/>
      </w:tabs>
      <w:adjustRightInd/>
      <w:snapToGrid/>
      <w:spacing w:line="240" w:lineRule="auto"/>
      <w:ind w:firstLine="200" w:firstLineChars="200"/>
    </w:pPr>
    <w:rPr>
      <w:rFonts w:ascii="Times New Roman" w:cs="Times New Roman"/>
      <w:sz w:val="20"/>
    </w:rPr>
  </w:style>
  <w:style w:type="paragraph" w:customStyle="1" w:styleId="422">
    <w:name w:val="表格文字"/>
    <w:basedOn w:val="1"/>
    <w:qFormat/>
    <w:uiPriority w:val="0"/>
    <w:pPr>
      <w:widowControl w:val="0"/>
      <w:shd w:val="clear" w:color="auto" w:fill="auto"/>
      <w:tabs>
        <w:tab w:val="clear" w:pos="426"/>
      </w:tabs>
      <w:adjustRightInd/>
      <w:snapToGrid/>
      <w:spacing w:before="25" w:after="25" w:line="240" w:lineRule="auto"/>
      <w:jc w:val="left"/>
    </w:pPr>
    <w:rPr>
      <w:rFonts w:ascii="Times New Roman" w:cs="Times New Roman"/>
      <w:bCs/>
      <w:spacing w:val="10"/>
      <w:sz w:val="24"/>
      <w:szCs w:val="20"/>
    </w:rPr>
  </w:style>
  <w:style w:type="paragraph" w:customStyle="1" w:styleId="423">
    <w:name w:val="样式 普通(网站) + 小五"/>
    <w:basedOn w:val="78"/>
    <w:link w:val="424"/>
    <w:qFormat/>
    <w:uiPriority w:val="0"/>
    <w:pPr>
      <w:shd w:val="clear" w:color="auto" w:fill="auto"/>
      <w:tabs>
        <w:tab w:val="clear" w:pos="426"/>
      </w:tabs>
      <w:adjustRightInd/>
      <w:snapToGrid/>
      <w:spacing w:line="240" w:lineRule="exact"/>
      <w:jc w:val="left"/>
    </w:pPr>
    <w:rPr>
      <w:rFonts w:ascii="Arial Unicode MS" w:hAnsi="Arial Unicode MS" w:eastAsia="仿宋_GB2312" w:cs="Times New Roman"/>
      <w:sz w:val="18"/>
    </w:rPr>
  </w:style>
  <w:style w:type="character" w:customStyle="1" w:styleId="424">
    <w:name w:val="样式 普通(网站) + 小五 Char"/>
    <w:link w:val="423"/>
    <w:qFormat/>
    <w:uiPriority w:val="0"/>
    <w:rPr>
      <w:rFonts w:ascii="Arial Unicode MS" w:hAnsi="Arial Unicode MS" w:eastAsia="仿宋_GB2312"/>
      <w:sz w:val="18"/>
      <w:szCs w:val="24"/>
    </w:rPr>
  </w:style>
  <w:style w:type="paragraph" w:customStyle="1" w:styleId="425">
    <w:name w:val="题注4"/>
    <w:basedOn w:val="1"/>
    <w:next w:val="21"/>
    <w:qFormat/>
    <w:uiPriority w:val="0"/>
    <w:pPr>
      <w:widowControl w:val="0"/>
      <w:shd w:val="clear" w:color="auto" w:fill="auto"/>
      <w:tabs>
        <w:tab w:val="clear" w:pos="426"/>
      </w:tabs>
      <w:adjustRightInd/>
      <w:snapToGrid/>
      <w:spacing w:line="240" w:lineRule="auto"/>
      <w:ind w:left="-62" w:leftChars="-64" w:right="-50" w:rightChars="-50" w:hanging="2"/>
      <w:jc w:val="center"/>
    </w:pPr>
    <w:rPr>
      <w:rFonts w:ascii="Times New Roman" w:cs="Times New Roman"/>
      <w:b/>
      <w:color w:val="FF0000"/>
      <w:kern w:val="2"/>
      <w:szCs w:val="21"/>
      <w:lang w:val="en-GB" w:eastAsia="en-GB"/>
    </w:rPr>
  </w:style>
  <w:style w:type="paragraph" w:customStyle="1" w:styleId="426">
    <w:name w:val="Char Char Char Char Char Char Char Char Char1 Char Char Char Char Char Char Char Char Char Char Char Char Char"/>
    <w:basedOn w:val="3"/>
    <w:qFormat/>
    <w:uiPriority w:val="0"/>
    <w:pPr>
      <w:keepNext/>
      <w:keepLines/>
      <w:widowControl/>
      <w:tabs>
        <w:tab w:val="left" w:pos="4032"/>
        <w:tab w:val="clear" w:pos="426"/>
      </w:tabs>
      <w:snapToGrid w:val="0"/>
      <w:spacing w:before="240" w:after="240" w:line="348" w:lineRule="auto"/>
      <w:ind w:left="907" w:hanging="907"/>
      <w:jc w:val="left"/>
    </w:pPr>
    <w:rPr>
      <w:rFonts w:ascii="华文细黑" w:hAnsi="华文细黑" w:eastAsia="宋体"/>
      <w:kern w:val="0"/>
      <w:szCs w:val="44"/>
    </w:rPr>
  </w:style>
  <w:style w:type="paragraph" w:customStyle="1" w:styleId="427">
    <w:name w:val="纯文本1"/>
    <w:basedOn w:val="1"/>
    <w:link w:val="428"/>
    <w:qFormat/>
    <w:uiPriority w:val="0"/>
    <w:pPr>
      <w:widowControl w:val="0"/>
      <w:shd w:val="clear" w:color="auto" w:fill="auto"/>
      <w:tabs>
        <w:tab w:val="clear" w:pos="426"/>
      </w:tabs>
      <w:adjustRightInd/>
      <w:snapToGrid/>
      <w:spacing w:line="240" w:lineRule="auto"/>
    </w:pPr>
    <w:rPr>
      <w:rFonts w:cs="Times New Roman"/>
      <w:sz w:val="20"/>
      <w:szCs w:val="21"/>
    </w:rPr>
  </w:style>
  <w:style w:type="character" w:customStyle="1" w:styleId="428">
    <w:name w:val="纯文本 Char"/>
    <w:link w:val="427"/>
    <w:qFormat/>
    <w:uiPriority w:val="0"/>
    <w:rPr>
      <w:rFonts w:ascii="宋体"/>
      <w:szCs w:val="21"/>
    </w:rPr>
  </w:style>
  <w:style w:type="paragraph" w:customStyle="1" w:styleId="429">
    <w:name w:val="保留正文"/>
    <w:basedOn w:val="2"/>
    <w:qFormat/>
    <w:uiPriority w:val="0"/>
    <w:pPr>
      <w:keepNext/>
      <w:widowControl w:val="0"/>
      <w:shd w:val="clear" w:color="auto" w:fill="auto"/>
      <w:tabs>
        <w:tab w:val="clear" w:pos="426"/>
      </w:tabs>
      <w:adjustRightInd/>
      <w:snapToGrid/>
      <w:spacing w:after="160" w:line="240" w:lineRule="auto"/>
    </w:pPr>
    <w:rPr>
      <w:rFonts w:ascii="Times New Roman"/>
      <w:b w:val="0"/>
      <w:bCs w:val="0"/>
      <w:kern w:val="2"/>
      <w:sz w:val="21"/>
    </w:rPr>
  </w:style>
  <w:style w:type="paragraph" w:customStyle="1" w:styleId="430">
    <w:name w:val="Char Char2"/>
    <w:basedOn w:val="1"/>
    <w:qFormat/>
    <w:uiPriority w:val="0"/>
    <w:pPr>
      <w:widowControl w:val="0"/>
      <w:shd w:val="clear" w:color="auto" w:fill="auto"/>
      <w:tabs>
        <w:tab w:val="clear" w:pos="426"/>
      </w:tabs>
      <w:adjustRightInd/>
      <w:snapToGrid/>
      <w:spacing w:line="240" w:lineRule="auto"/>
    </w:pPr>
    <w:rPr>
      <w:rFonts w:cs="Times New Roman"/>
      <w:b/>
      <w:kern w:val="2"/>
      <w:sz w:val="28"/>
      <w:szCs w:val="28"/>
    </w:rPr>
  </w:style>
  <w:style w:type="paragraph" w:customStyle="1" w:styleId="431">
    <w:name w:val="文档结构图1"/>
    <w:basedOn w:val="1"/>
    <w:link w:val="432"/>
    <w:qFormat/>
    <w:uiPriority w:val="0"/>
    <w:pPr>
      <w:widowControl w:val="0"/>
      <w:shd w:val="clear" w:color="auto" w:fill="auto"/>
      <w:tabs>
        <w:tab w:val="clear" w:pos="426"/>
      </w:tabs>
      <w:adjustRightInd/>
      <w:snapToGrid/>
      <w:spacing w:line="240" w:lineRule="auto"/>
    </w:pPr>
    <w:rPr>
      <w:rFonts w:cs="Times New Roman"/>
      <w:sz w:val="18"/>
      <w:szCs w:val="18"/>
    </w:rPr>
  </w:style>
  <w:style w:type="character" w:customStyle="1" w:styleId="432">
    <w:name w:val="文档结构图 Char"/>
    <w:link w:val="431"/>
    <w:qFormat/>
    <w:uiPriority w:val="0"/>
    <w:rPr>
      <w:rFonts w:ascii="宋体"/>
      <w:sz w:val="18"/>
      <w:szCs w:val="18"/>
    </w:rPr>
  </w:style>
  <w:style w:type="paragraph" w:customStyle="1" w:styleId="433">
    <w:name w:val="填表"/>
    <w:qFormat/>
    <w:uiPriority w:val="0"/>
    <w:rPr>
      <w:rFonts w:ascii="Times New Roman" w:hAnsi="Times New Roman" w:eastAsia="宋体" w:cs="Times New Roman"/>
      <w:kern w:val="2"/>
      <w:sz w:val="18"/>
      <w:szCs w:val="21"/>
      <w:lang w:val="en-US" w:eastAsia="zh-CN" w:bidi="ar-SA"/>
    </w:rPr>
  </w:style>
  <w:style w:type="paragraph" w:customStyle="1" w:styleId="434">
    <w:name w:val="Char Char Char Char Char Char Char Char Char Char"/>
    <w:basedOn w:val="1"/>
    <w:qFormat/>
    <w:uiPriority w:val="0"/>
    <w:pPr>
      <w:shd w:val="clear" w:color="auto" w:fill="auto"/>
      <w:tabs>
        <w:tab w:val="clear" w:pos="426"/>
      </w:tabs>
      <w:adjustRightInd/>
      <w:snapToGrid/>
      <w:spacing w:after="160" w:line="240" w:lineRule="exact"/>
      <w:jc w:val="left"/>
    </w:pPr>
    <w:rPr>
      <w:rFonts w:ascii="Arial" w:hAnsi="Arial" w:cs="Times New Roman"/>
      <w:kern w:val="2"/>
    </w:rPr>
  </w:style>
  <w:style w:type="paragraph" w:customStyle="1" w:styleId="435">
    <w:name w:val="默认段落字体 Para Char Char Char Char"/>
    <w:basedOn w:val="1"/>
    <w:qFormat/>
    <w:uiPriority w:val="0"/>
    <w:pPr>
      <w:widowControl w:val="0"/>
      <w:shd w:val="clear" w:color="auto" w:fill="auto"/>
      <w:tabs>
        <w:tab w:val="clear" w:pos="426"/>
      </w:tabs>
      <w:adjustRightInd/>
      <w:spacing w:line="240" w:lineRule="auto"/>
    </w:pPr>
    <w:rPr>
      <w:rFonts w:ascii="华文细黑" w:hAnsi="华文细黑" w:cs="Times New Roman"/>
      <w:b/>
      <w:bCs/>
      <w:kern w:val="2"/>
      <w:sz w:val="28"/>
      <w:szCs w:val="44"/>
    </w:rPr>
  </w:style>
  <w:style w:type="paragraph" w:customStyle="1" w:styleId="436">
    <w:name w:val="d_post_content"/>
    <w:basedOn w:val="1"/>
    <w:qFormat/>
    <w:uiPriority w:val="0"/>
    <w:pPr>
      <w:shd w:val="clear" w:color="auto" w:fill="auto"/>
      <w:tabs>
        <w:tab w:val="clear" w:pos="426"/>
      </w:tabs>
      <w:wordWrap w:val="0"/>
      <w:adjustRightInd/>
      <w:snapToGrid/>
      <w:spacing w:before="100" w:beforeAutospacing="1" w:after="100" w:afterAutospacing="1" w:line="360" w:lineRule="atLeast"/>
      <w:jc w:val="left"/>
    </w:pPr>
    <w:rPr>
      <w:rFonts w:hAnsi="宋体"/>
      <w:szCs w:val="21"/>
    </w:rPr>
  </w:style>
  <w:style w:type="paragraph" w:customStyle="1" w:styleId="437">
    <w:name w:val="文件正文"/>
    <w:basedOn w:val="1"/>
    <w:link w:val="438"/>
    <w:qFormat/>
    <w:uiPriority w:val="0"/>
    <w:pPr>
      <w:widowControl w:val="0"/>
      <w:shd w:val="clear" w:color="auto" w:fill="auto"/>
      <w:tabs>
        <w:tab w:val="clear" w:pos="426"/>
      </w:tabs>
      <w:adjustRightInd/>
      <w:snapToGrid/>
      <w:ind w:firstLine="480" w:firstLineChars="200"/>
    </w:pPr>
    <w:rPr>
      <w:rFonts w:ascii="Times New Roman" w:eastAsia="仿宋_GB2312" w:cs="Times New Roman"/>
      <w:kern w:val="2"/>
      <w:sz w:val="24"/>
      <w:szCs w:val="20"/>
    </w:rPr>
  </w:style>
  <w:style w:type="character" w:customStyle="1" w:styleId="438">
    <w:name w:val="文件正文 Char Char"/>
    <w:link w:val="437"/>
    <w:qFormat/>
    <w:uiPriority w:val="0"/>
    <w:rPr>
      <w:rFonts w:eastAsia="仿宋_GB2312"/>
      <w:kern w:val="2"/>
      <w:sz w:val="24"/>
    </w:rPr>
  </w:style>
  <w:style w:type="paragraph" w:customStyle="1" w:styleId="439">
    <w:name w:val="Char Char2 Char"/>
    <w:basedOn w:val="1"/>
    <w:qFormat/>
    <w:uiPriority w:val="0"/>
    <w:pPr>
      <w:widowControl w:val="0"/>
      <w:shd w:val="clear" w:color="auto" w:fill="auto"/>
      <w:tabs>
        <w:tab w:val="clear" w:pos="426"/>
      </w:tabs>
      <w:adjustRightInd/>
      <w:snapToGrid/>
      <w:spacing w:line="240" w:lineRule="auto"/>
    </w:pPr>
    <w:rPr>
      <w:rFonts w:hAnsi="宋体" w:cs="Times New Roman"/>
      <w:b/>
      <w:kern w:val="2"/>
      <w:sz w:val="28"/>
      <w:szCs w:val="28"/>
    </w:rPr>
  </w:style>
  <w:style w:type="character" w:customStyle="1" w:styleId="440">
    <w:name w:val="c lh15"/>
    <w:qFormat/>
    <w:uiPriority w:val="0"/>
  </w:style>
  <w:style w:type="character" w:customStyle="1" w:styleId="441">
    <w:name w:val="px14"/>
    <w:qFormat/>
    <w:uiPriority w:val="0"/>
  </w:style>
  <w:style w:type="character" w:customStyle="1" w:styleId="442">
    <w:name w:val="标题2"/>
    <w:qFormat/>
    <w:uiPriority w:val="0"/>
  </w:style>
  <w:style w:type="paragraph" w:customStyle="1" w:styleId="443">
    <w:name w:val="2册标题3"/>
    <w:basedOn w:val="1"/>
    <w:next w:val="1"/>
    <w:qFormat/>
    <w:uiPriority w:val="0"/>
    <w:pPr>
      <w:widowControl w:val="0"/>
      <w:shd w:val="clear" w:color="auto" w:fill="auto"/>
      <w:tabs>
        <w:tab w:val="clear" w:pos="426"/>
      </w:tabs>
      <w:adjustRightInd/>
      <w:snapToGrid/>
      <w:spacing w:beforeLines="50" w:afterLines="50" w:line="240" w:lineRule="auto"/>
      <w:ind w:left="100" w:leftChars="100"/>
      <w:outlineLvl w:val="2"/>
    </w:pPr>
    <w:rPr>
      <w:rFonts w:ascii="Arial" w:hAnsi="Arial" w:eastAsia="黑体" w:cs="Times New Roman"/>
      <w:kern w:val="2"/>
      <w:sz w:val="28"/>
      <w:szCs w:val="20"/>
    </w:rPr>
  </w:style>
  <w:style w:type="paragraph" w:customStyle="1" w:styleId="444">
    <w:name w:val="2册标题5"/>
    <w:basedOn w:val="445"/>
    <w:next w:val="1"/>
    <w:qFormat/>
    <w:uiPriority w:val="0"/>
    <w:pPr>
      <w:ind w:left="720" w:leftChars="300"/>
      <w:outlineLvl w:val="4"/>
    </w:pPr>
    <w:rPr>
      <w:rFonts w:eastAsia="楷体_GB2312"/>
      <w:b/>
    </w:rPr>
  </w:style>
  <w:style w:type="paragraph" w:customStyle="1" w:styleId="445">
    <w:name w:val="2册标题4"/>
    <w:basedOn w:val="1"/>
    <w:next w:val="1"/>
    <w:qFormat/>
    <w:uiPriority w:val="0"/>
    <w:pPr>
      <w:widowControl w:val="0"/>
      <w:shd w:val="clear" w:color="auto" w:fill="auto"/>
      <w:tabs>
        <w:tab w:val="clear" w:pos="426"/>
      </w:tabs>
      <w:adjustRightInd/>
      <w:snapToGrid/>
      <w:spacing w:beforeLines="50" w:afterLines="50" w:line="240" w:lineRule="auto"/>
      <w:ind w:left="480" w:leftChars="200"/>
      <w:outlineLvl w:val="3"/>
    </w:pPr>
    <w:rPr>
      <w:rFonts w:ascii="Arial" w:hAnsi="Arial" w:eastAsia="黑体" w:cs="Times New Roman"/>
      <w:kern w:val="2"/>
      <w:sz w:val="24"/>
      <w:szCs w:val="20"/>
    </w:rPr>
  </w:style>
  <w:style w:type="paragraph" w:customStyle="1" w:styleId="446">
    <w:name w:val="xl44"/>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47">
    <w:name w:val="xl3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48">
    <w:name w:val="表图名"/>
    <w:basedOn w:val="1"/>
    <w:qFormat/>
    <w:uiPriority w:val="0"/>
    <w:pPr>
      <w:widowControl w:val="0"/>
      <w:shd w:val="clear" w:color="auto" w:fill="auto"/>
      <w:tabs>
        <w:tab w:val="clear" w:pos="426"/>
      </w:tabs>
      <w:adjustRightInd/>
      <w:snapToGrid/>
    </w:pPr>
    <w:rPr>
      <w:rFonts w:ascii="Arial" w:hAnsi="Arial" w:cs="Times New Roman"/>
      <w:kern w:val="2"/>
      <w:sz w:val="24"/>
      <w:szCs w:val="20"/>
    </w:rPr>
  </w:style>
  <w:style w:type="paragraph" w:customStyle="1" w:styleId="449">
    <w:name w:val="xl40"/>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50">
    <w:name w:val="第12册用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1">
    <w:name w:val="xl2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0"/>
      <w:szCs w:val="20"/>
    </w:rPr>
  </w:style>
  <w:style w:type="paragraph" w:customStyle="1" w:styleId="452">
    <w:name w:val="xl4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3">
    <w:name w:val="xl29"/>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4">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455">
    <w:name w:val="样式 ˎ̥ 左 首行缩进:  2 字符"/>
    <w:basedOn w:val="1"/>
    <w:qFormat/>
    <w:uiPriority w:val="0"/>
    <w:pPr>
      <w:widowControl w:val="0"/>
      <w:shd w:val="clear" w:color="auto" w:fill="auto"/>
      <w:tabs>
        <w:tab w:val="clear" w:pos="426"/>
      </w:tabs>
      <w:adjustRightInd/>
      <w:snapToGrid/>
      <w:ind w:firstLine="480" w:firstLineChars="200"/>
      <w:jc w:val="left"/>
    </w:pPr>
    <w:rPr>
      <w:rFonts w:ascii="ˎ̥" w:hAnsi="ˎ̥" w:cs="Times New Roman"/>
      <w:sz w:val="24"/>
      <w:szCs w:val="20"/>
    </w:rPr>
  </w:style>
  <w:style w:type="paragraph" w:customStyle="1" w:styleId="456">
    <w:name w:val="xl42"/>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57">
    <w:name w:val="12册标题"/>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44"/>
      <w:szCs w:val="20"/>
    </w:rPr>
  </w:style>
  <w:style w:type="paragraph" w:customStyle="1" w:styleId="458">
    <w:name w:val="xl39"/>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59">
    <w:name w:val="xl4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黑体" w:hAnsi="宋体" w:eastAsia="黑体" w:cs="Times New Roman"/>
      <w:sz w:val="26"/>
      <w:szCs w:val="20"/>
    </w:rPr>
  </w:style>
  <w:style w:type="paragraph" w:customStyle="1" w:styleId="460">
    <w:name w:val="LED标题1"/>
    <w:basedOn w:val="1"/>
    <w:next w:val="1"/>
    <w:qFormat/>
    <w:uiPriority w:val="0"/>
    <w:pPr>
      <w:widowControl w:val="0"/>
      <w:shd w:val="clear" w:color="auto" w:fill="auto"/>
      <w:tabs>
        <w:tab w:val="clear" w:pos="426"/>
      </w:tabs>
      <w:adjustRightInd/>
      <w:snapToGrid/>
      <w:spacing w:beforeLines="50" w:afterLines="50" w:line="240" w:lineRule="auto"/>
      <w:ind w:firstLine="320" w:firstLineChars="100"/>
      <w:jc w:val="center"/>
      <w:outlineLvl w:val="0"/>
    </w:pPr>
    <w:rPr>
      <w:rFonts w:ascii="Arial" w:hAnsi="Arial" w:eastAsia="黑体" w:cs="Times New Roman"/>
      <w:color w:val="FF0000"/>
      <w:kern w:val="2"/>
      <w:sz w:val="32"/>
      <w:szCs w:val="20"/>
    </w:rPr>
  </w:style>
  <w:style w:type="paragraph" w:customStyle="1" w:styleId="461">
    <w:name w:val="xl30"/>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2">
    <w:name w:val="2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ascii="Arial" w:hAnsi="Arial" w:eastAsia="黑体" w:cs="Times New Roman"/>
      <w:kern w:val="2"/>
      <w:sz w:val="32"/>
      <w:szCs w:val="20"/>
    </w:rPr>
  </w:style>
  <w:style w:type="paragraph" w:customStyle="1" w:styleId="463">
    <w:name w:val="xl37"/>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ascii="Verdana" w:hAnsi="Verdana" w:cs="Times New Roman"/>
      <w:sz w:val="24"/>
      <w:szCs w:val="20"/>
    </w:rPr>
  </w:style>
  <w:style w:type="paragraph" w:customStyle="1" w:styleId="464">
    <w:name w:val="xl4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0"/>
      <w:szCs w:val="20"/>
    </w:rPr>
  </w:style>
  <w:style w:type="paragraph" w:customStyle="1" w:styleId="465">
    <w:name w:val="xl4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6">
    <w:name w:val="1册标题3"/>
    <w:basedOn w:val="1"/>
    <w:next w:val="1"/>
    <w:qFormat/>
    <w:uiPriority w:val="0"/>
    <w:pPr>
      <w:keepNext/>
      <w:keepLines/>
      <w:widowControl w:val="0"/>
      <w:shd w:val="clear" w:color="auto" w:fill="auto"/>
      <w:tabs>
        <w:tab w:val="clear" w:pos="426"/>
      </w:tabs>
      <w:snapToGrid/>
      <w:spacing w:beforeLines="50" w:afterLines="50" w:line="240" w:lineRule="auto"/>
      <w:textAlignment w:val="baseline"/>
      <w:outlineLvl w:val="2"/>
    </w:pPr>
    <w:rPr>
      <w:rFonts w:hAnsi="宋体" w:cs="Times New Roman"/>
      <w:b/>
      <w:sz w:val="24"/>
      <w:szCs w:val="20"/>
    </w:rPr>
  </w:style>
  <w:style w:type="paragraph" w:customStyle="1" w:styleId="467">
    <w:name w:val="xl31"/>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68">
    <w:name w:val="xl2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18"/>
      <w:szCs w:val="20"/>
    </w:rPr>
  </w:style>
  <w:style w:type="paragraph" w:customStyle="1" w:styleId="469">
    <w:name w:val="xl38"/>
    <w:basedOn w:val="1"/>
    <w:qFormat/>
    <w:uiPriority w:val="0"/>
    <w:pPr>
      <w:pBdr>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Ansi="宋体" w:cs="Times New Roman"/>
      <w:sz w:val="24"/>
      <w:szCs w:val="20"/>
    </w:rPr>
  </w:style>
  <w:style w:type="paragraph" w:customStyle="1" w:styleId="470">
    <w:name w:val="xl36"/>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0"/>
      <w:szCs w:val="20"/>
    </w:rPr>
  </w:style>
  <w:style w:type="paragraph" w:customStyle="1" w:styleId="471">
    <w:name w:val="xl3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center"/>
    </w:pPr>
    <w:rPr>
      <w:rFonts w:hint="eastAsia" w:ascii="仿宋_GB2312" w:hAnsi="宋体" w:eastAsia="仿宋_GB2312" w:cs="Times New Roman"/>
      <w:sz w:val="24"/>
      <w:szCs w:val="20"/>
    </w:rPr>
  </w:style>
  <w:style w:type="paragraph" w:customStyle="1" w:styleId="472">
    <w:name w:val="Char2 Char Char Char Char Char Char"/>
    <w:basedOn w:val="1"/>
    <w:qFormat/>
    <w:uiPriority w:val="0"/>
    <w:pPr>
      <w:widowControl w:val="0"/>
      <w:shd w:val="clear" w:color="auto" w:fill="auto"/>
      <w:tabs>
        <w:tab w:val="clear" w:pos="426"/>
      </w:tabs>
      <w:snapToGrid/>
    </w:pPr>
    <w:rPr>
      <w:rFonts w:ascii="Times New Roman" w:cs="Times New Roman"/>
      <w:sz w:val="24"/>
      <w:szCs w:val="20"/>
    </w:rPr>
  </w:style>
  <w:style w:type="paragraph" w:customStyle="1" w:styleId="473">
    <w:name w:val="1册标题1"/>
    <w:basedOn w:val="1"/>
    <w:next w:val="1"/>
    <w:qFormat/>
    <w:uiPriority w:val="0"/>
    <w:pPr>
      <w:widowControl w:val="0"/>
      <w:shd w:val="clear" w:color="auto" w:fill="auto"/>
      <w:tabs>
        <w:tab w:val="clear" w:pos="426"/>
      </w:tabs>
      <w:adjustRightInd/>
      <w:snapToGrid/>
      <w:spacing w:beforeLines="50" w:afterLines="50" w:line="240" w:lineRule="auto"/>
      <w:jc w:val="center"/>
      <w:outlineLvl w:val="0"/>
    </w:pPr>
    <w:rPr>
      <w:rFonts w:hAnsi="宋体" w:cs="Times New Roman"/>
      <w:b/>
      <w:kern w:val="2"/>
      <w:sz w:val="36"/>
      <w:szCs w:val="20"/>
    </w:rPr>
  </w:style>
  <w:style w:type="paragraph" w:customStyle="1" w:styleId="474">
    <w:name w:val="xl33"/>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5">
    <w:name w:val="xl2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cs="Times New Roman"/>
      <w:sz w:val="24"/>
      <w:szCs w:val="20"/>
    </w:rPr>
  </w:style>
  <w:style w:type="paragraph" w:customStyle="1" w:styleId="476">
    <w:name w:val="1册标题2"/>
    <w:basedOn w:val="4"/>
    <w:next w:val="1"/>
    <w:qFormat/>
    <w:uiPriority w:val="0"/>
    <w:pPr>
      <w:keepNext w:val="0"/>
      <w:keepLines w:val="0"/>
      <w:tabs>
        <w:tab w:val="clear" w:pos="426"/>
      </w:tabs>
      <w:spacing w:before="0" w:after="0" w:line="312" w:lineRule="auto"/>
      <w:jc w:val="center"/>
      <w:textAlignment w:val="auto"/>
      <w:outlineLvl w:val="9"/>
    </w:pPr>
    <w:rPr>
      <w:rFonts w:hAnsi="宋体"/>
      <w:kern w:val="2"/>
      <w:sz w:val="32"/>
    </w:rPr>
  </w:style>
  <w:style w:type="paragraph" w:customStyle="1" w:styleId="477">
    <w:name w:val="文字"/>
    <w:basedOn w:val="1"/>
    <w:qFormat/>
    <w:uiPriority w:val="0"/>
    <w:pPr>
      <w:widowControl w:val="0"/>
      <w:shd w:val="clear" w:color="auto" w:fill="auto"/>
      <w:tabs>
        <w:tab w:val="left" w:pos="8520"/>
        <w:tab w:val="clear" w:pos="426"/>
      </w:tabs>
      <w:adjustRightInd/>
      <w:snapToGrid/>
      <w:spacing w:line="312" w:lineRule="auto"/>
      <w:ind w:right="-210" w:firstLine="556"/>
    </w:pPr>
    <w:rPr>
      <w:rFonts w:cs="Times New Roman"/>
      <w:kern w:val="2"/>
      <w:sz w:val="28"/>
      <w:szCs w:val="20"/>
    </w:rPr>
  </w:style>
  <w:style w:type="paragraph" w:customStyle="1" w:styleId="478">
    <w:name w:val="正文 2"/>
    <w:basedOn w:val="1"/>
    <w:qFormat/>
    <w:uiPriority w:val="0"/>
    <w:pPr>
      <w:widowControl w:val="0"/>
      <w:shd w:val="clear" w:color="auto" w:fill="auto"/>
      <w:tabs>
        <w:tab w:val="clear" w:pos="426"/>
      </w:tabs>
      <w:autoSpaceDE w:val="0"/>
      <w:autoSpaceDN w:val="0"/>
      <w:spacing w:before="80" w:after="40"/>
      <w:ind w:left="1134"/>
      <w:jc w:val="left"/>
    </w:pPr>
    <w:rPr>
      <w:rFonts w:ascii="Times New Roman" w:cs="Times New Roman"/>
      <w:sz w:val="24"/>
      <w:szCs w:val="20"/>
    </w:rPr>
  </w:style>
  <w:style w:type="character" w:customStyle="1" w:styleId="479">
    <w:name w:val="h9point1"/>
    <w:qFormat/>
    <w:uiPriority w:val="0"/>
    <w:rPr>
      <w:rFonts w:hint="eastAsia" w:ascii="宋体" w:hAnsi="宋体" w:eastAsia="宋体"/>
      <w:spacing w:val="360"/>
      <w:sz w:val="18"/>
      <w:szCs w:val="18"/>
    </w:rPr>
  </w:style>
  <w:style w:type="paragraph" w:customStyle="1" w:styleId="480">
    <w:name w:val="contentlabel"/>
    <w:basedOn w:val="1"/>
    <w:qFormat/>
    <w:uiPriority w:val="0"/>
    <w:pPr>
      <w:shd w:val="clear" w:color="auto" w:fill="auto"/>
      <w:tabs>
        <w:tab w:val="clear" w:pos="426"/>
      </w:tabs>
      <w:adjustRightInd/>
      <w:snapToGrid/>
      <w:spacing w:before="32" w:after="100" w:afterAutospacing="1" w:line="240" w:lineRule="auto"/>
      <w:ind w:left="96"/>
      <w:jc w:val="left"/>
    </w:pPr>
    <w:rPr>
      <w:rFonts w:hAnsi="宋体"/>
      <w:color w:val="336666"/>
      <w:sz w:val="19"/>
      <w:szCs w:val="19"/>
    </w:rPr>
  </w:style>
  <w:style w:type="paragraph" w:customStyle="1" w:styleId="481">
    <w:name w:val="Char Char1 Char Char Char Char Char Char Char Char Char Char Char Char Char Char Char"/>
    <w:basedOn w:val="1"/>
    <w:qFormat/>
    <w:uiPriority w:val="0"/>
    <w:pPr>
      <w:shd w:val="clear" w:color="auto" w:fill="auto"/>
      <w:tabs>
        <w:tab w:val="clear" w:pos="426"/>
      </w:tabs>
      <w:adjustRightInd/>
      <w:snapToGrid/>
      <w:spacing w:after="160" w:line="240" w:lineRule="exact"/>
      <w:jc w:val="left"/>
    </w:pPr>
    <w:rPr>
      <w:rFonts w:ascii="Verdana" w:hAnsi="Verdana" w:cs="Verdana"/>
      <w:sz w:val="20"/>
      <w:szCs w:val="20"/>
      <w:lang w:eastAsia="en-US"/>
    </w:rPr>
  </w:style>
  <w:style w:type="paragraph" w:customStyle="1" w:styleId="482">
    <w:name w:val="33"/>
    <w:basedOn w:val="1"/>
    <w:next w:val="43"/>
    <w:link w:val="483"/>
    <w:qFormat/>
    <w:uiPriority w:val="0"/>
    <w:pPr>
      <w:widowControl w:val="0"/>
      <w:shd w:val="clear" w:color="auto" w:fill="auto"/>
      <w:tabs>
        <w:tab w:val="clear" w:pos="426"/>
      </w:tabs>
      <w:adjustRightInd/>
      <w:snapToGrid/>
      <w:spacing w:before="120" w:after="120" w:line="500" w:lineRule="exact"/>
      <w:ind w:firstLine="551" w:firstLineChars="196"/>
    </w:pPr>
    <w:rPr>
      <w:rFonts w:ascii="幼圆" w:eastAsia="幼圆" w:cs="Times New Roman"/>
      <w:b/>
      <w:bCs/>
      <w:kern w:val="2"/>
      <w:sz w:val="28"/>
      <w:szCs w:val="28"/>
    </w:rPr>
  </w:style>
  <w:style w:type="character" w:customStyle="1" w:styleId="483">
    <w:name w:val="33 Char"/>
    <w:link w:val="482"/>
    <w:qFormat/>
    <w:uiPriority w:val="0"/>
    <w:rPr>
      <w:rFonts w:ascii="幼圆" w:eastAsia="幼圆"/>
      <w:b/>
      <w:bCs/>
      <w:kern w:val="2"/>
      <w:sz w:val="28"/>
      <w:szCs w:val="28"/>
    </w:rPr>
  </w:style>
  <w:style w:type="paragraph" w:customStyle="1" w:styleId="484">
    <w:name w:val="样式 样式 首行缩进:  2 字符 + 首行缩进:  2 字符"/>
    <w:basedOn w:val="485"/>
    <w:qFormat/>
    <w:uiPriority w:val="0"/>
    <w:pPr>
      <w:ind w:firstLine="560"/>
    </w:pPr>
    <w:rPr>
      <w:sz w:val="24"/>
    </w:rPr>
  </w:style>
  <w:style w:type="paragraph" w:customStyle="1" w:styleId="485">
    <w:name w:val="样式 首行缩进:  2 字符"/>
    <w:basedOn w:val="1"/>
    <w:qFormat/>
    <w:uiPriority w:val="0"/>
    <w:pPr>
      <w:widowControl w:val="0"/>
      <w:shd w:val="clear" w:color="auto" w:fill="auto"/>
      <w:tabs>
        <w:tab w:val="clear" w:pos="426"/>
      </w:tabs>
      <w:adjustRightInd/>
      <w:snapToGrid/>
      <w:spacing w:line="300" w:lineRule="auto"/>
      <w:ind w:firstLine="200" w:firstLineChars="200"/>
    </w:pPr>
    <w:rPr>
      <w:rFonts w:ascii="Times New Roman"/>
      <w:kern w:val="2"/>
      <w:sz w:val="28"/>
      <w:szCs w:val="20"/>
    </w:rPr>
  </w:style>
  <w:style w:type="paragraph" w:customStyle="1" w:styleId="486">
    <w:name w:val="xl47"/>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7">
    <w:name w:val="xl48"/>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8">
    <w:name w:val="xl49"/>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89">
    <w:name w:val="xl50"/>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0">
    <w:name w:val="xl51"/>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center"/>
    </w:pPr>
    <w:rPr>
      <w:rFonts w:hAnsi="宋体"/>
      <w:b/>
      <w:bCs/>
      <w:sz w:val="18"/>
      <w:szCs w:val="18"/>
    </w:rPr>
  </w:style>
  <w:style w:type="paragraph" w:customStyle="1" w:styleId="491">
    <w:name w:val="xl52"/>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sz w:val="18"/>
      <w:szCs w:val="18"/>
    </w:rPr>
  </w:style>
  <w:style w:type="paragraph" w:customStyle="1" w:styleId="492">
    <w:name w:val="xl53"/>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493">
    <w:name w:val="xl54"/>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4">
    <w:name w:val="xl55"/>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sz w:val="20"/>
      <w:szCs w:val="20"/>
    </w:rPr>
  </w:style>
  <w:style w:type="paragraph" w:customStyle="1" w:styleId="495">
    <w:name w:val="xl56"/>
    <w:basedOn w:val="1"/>
    <w:qFormat/>
    <w:uiPriority w:val="0"/>
    <w:pPr>
      <w:pBdr>
        <w:top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6">
    <w:name w:val="xl57"/>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7">
    <w:name w:val="xl58"/>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right"/>
    </w:pPr>
    <w:rPr>
      <w:rFonts w:hAnsi="宋体"/>
      <w:b/>
      <w:bCs/>
      <w:sz w:val="18"/>
      <w:szCs w:val="18"/>
    </w:rPr>
  </w:style>
  <w:style w:type="paragraph" w:customStyle="1" w:styleId="498">
    <w:name w:val="xl59"/>
    <w:basedOn w:val="1"/>
    <w:qFormat/>
    <w:uiPriority w:val="0"/>
    <w:pPr>
      <w:pBdr>
        <w:top w:val="single" w:color="auto" w:sz="4" w:space="0"/>
        <w:left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499">
    <w:name w:val="xl60"/>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b/>
      <w:bCs/>
      <w:sz w:val="18"/>
      <w:szCs w:val="18"/>
    </w:rPr>
  </w:style>
  <w:style w:type="paragraph" w:customStyle="1" w:styleId="500">
    <w:name w:val="xl61"/>
    <w:basedOn w:val="1"/>
    <w:qFormat/>
    <w:uiPriority w:val="0"/>
    <w:pPr>
      <w:pBdr>
        <w:top w:val="single" w:color="auto" w:sz="4" w:space="0"/>
        <w:left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1">
    <w:name w:val="xl62"/>
    <w:basedOn w:val="1"/>
    <w:qFormat/>
    <w:uiPriority w:val="0"/>
    <w:pPr>
      <w:pBdr>
        <w:top w:val="single" w:color="auto" w:sz="4" w:space="0"/>
        <w:bottom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2">
    <w:name w:val="xl63"/>
    <w:basedOn w:val="1"/>
    <w:qFormat/>
    <w:uiPriority w:val="0"/>
    <w:pPr>
      <w:pBdr>
        <w:top w:val="single" w:color="auto" w:sz="4" w:space="0"/>
        <w:bottom w:val="single" w:color="auto" w:sz="4" w:space="0"/>
        <w:right w:val="single" w:color="auto" w:sz="4" w:space="0"/>
      </w:pBdr>
      <w:shd w:val="clear" w:color="auto" w:fill="C0C0C0"/>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03">
    <w:name w:val="样式 段后: 0.25 行"/>
    <w:basedOn w:val="1"/>
    <w:qFormat/>
    <w:uiPriority w:val="0"/>
    <w:pPr>
      <w:widowControl w:val="0"/>
      <w:shd w:val="clear" w:color="auto" w:fill="auto"/>
      <w:tabs>
        <w:tab w:val="clear" w:pos="426"/>
      </w:tabs>
      <w:adjustRightInd/>
      <w:snapToGrid/>
      <w:spacing w:afterLines="25" w:line="300" w:lineRule="auto"/>
      <w:ind w:firstLine="420" w:firstLineChars="200"/>
    </w:pPr>
    <w:rPr>
      <w:rFonts w:ascii="Arial" w:hAnsi="Arial"/>
      <w:kern w:val="2"/>
      <w:szCs w:val="20"/>
    </w:rPr>
  </w:style>
  <w:style w:type="paragraph" w:customStyle="1" w:styleId="504">
    <w:name w:val="默认段落字体 Para Char Char Char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paragraph" w:customStyle="1" w:styleId="505">
    <w:name w:val="默认段落字体 Para Char Char Char Char Char Char Char"/>
    <w:basedOn w:val="1"/>
    <w:qFormat/>
    <w:uiPriority w:val="0"/>
    <w:pPr>
      <w:widowControl w:val="0"/>
      <w:shd w:val="clear" w:color="auto" w:fill="auto"/>
      <w:tabs>
        <w:tab w:val="clear" w:pos="426"/>
      </w:tabs>
      <w:adjustRightInd/>
      <w:snapToGrid/>
      <w:spacing w:line="240" w:lineRule="auto"/>
    </w:pPr>
    <w:rPr>
      <w:rFonts w:ascii="Tahoma" w:hAnsi="Tahoma" w:cs="Times New Roman"/>
      <w:kern w:val="2"/>
      <w:sz w:val="24"/>
      <w:szCs w:val="20"/>
    </w:rPr>
  </w:style>
  <w:style w:type="character" w:customStyle="1" w:styleId="506">
    <w:name w:val="H6 Char"/>
    <w:qFormat/>
    <w:uiPriority w:val="0"/>
    <w:rPr>
      <w:rFonts w:ascii="Arial" w:hAnsi="Arial" w:eastAsia="黑体"/>
      <w:b/>
      <w:kern w:val="2"/>
      <w:sz w:val="24"/>
    </w:rPr>
  </w:style>
  <w:style w:type="character" w:customStyle="1" w:styleId="507">
    <w:name w:val="L7 Char Char"/>
    <w:qFormat/>
    <w:uiPriority w:val="0"/>
    <w:rPr>
      <w:b/>
      <w:kern w:val="2"/>
      <w:sz w:val="24"/>
    </w:rPr>
  </w:style>
  <w:style w:type="character" w:customStyle="1" w:styleId="508">
    <w:name w:val="Char Char17"/>
    <w:qFormat/>
    <w:uiPriority w:val="0"/>
    <w:rPr>
      <w:rFonts w:ascii="Arial" w:hAnsi="Arial" w:eastAsia="黑体"/>
      <w:kern w:val="2"/>
      <w:sz w:val="24"/>
    </w:rPr>
  </w:style>
  <w:style w:type="character" w:customStyle="1" w:styleId="509">
    <w:name w:val="Char Char16"/>
    <w:qFormat/>
    <w:uiPriority w:val="0"/>
    <w:rPr>
      <w:rFonts w:ascii="Arial" w:hAnsi="Arial" w:eastAsia="黑体"/>
      <w:kern w:val="2"/>
      <w:sz w:val="21"/>
    </w:rPr>
  </w:style>
  <w:style w:type="character" w:customStyle="1" w:styleId="510">
    <w:name w:val="HTML 预设格式 Char1"/>
    <w:semiHidden/>
    <w:qFormat/>
    <w:uiPriority w:val="0"/>
    <w:rPr>
      <w:rFonts w:ascii="Courier New" w:hAnsi="Courier New" w:cs="Courier New"/>
      <w:kern w:val="2"/>
    </w:rPr>
  </w:style>
  <w:style w:type="character" w:customStyle="1" w:styleId="511">
    <w:name w:val="Char Char14"/>
    <w:qFormat/>
    <w:uiPriority w:val="0"/>
    <w:rPr>
      <w:rFonts w:ascii="华康简标题宋" w:eastAsia="华康简标题宋"/>
      <w:kern w:val="2"/>
      <w:sz w:val="52"/>
    </w:rPr>
  </w:style>
  <w:style w:type="character" w:customStyle="1" w:styleId="512">
    <w:name w:val="h Char"/>
    <w:qFormat/>
    <w:uiPriority w:val="0"/>
    <w:rPr>
      <w:rFonts w:ascii="宋体"/>
      <w:sz w:val="18"/>
    </w:rPr>
  </w:style>
  <w:style w:type="paragraph" w:customStyle="1" w:styleId="513">
    <w:name w:val="正式"/>
    <w:basedOn w:val="1"/>
    <w:qFormat/>
    <w:uiPriority w:val="0"/>
    <w:pPr>
      <w:widowControl w:val="0"/>
      <w:shd w:val="clear" w:color="auto" w:fill="auto"/>
      <w:tabs>
        <w:tab w:val="clear" w:pos="426"/>
      </w:tabs>
      <w:adjustRightInd/>
      <w:snapToGrid/>
      <w:ind w:firstLine="560"/>
    </w:pPr>
    <w:rPr>
      <w:rFonts w:hAnsi="宋体" w:cs="Times New Roman"/>
      <w:kern w:val="2"/>
      <w:sz w:val="28"/>
    </w:rPr>
  </w:style>
  <w:style w:type="paragraph" w:customStyle="1" w:styleId="514">
    <w:name w:val="样式 样式 (西文) 宋体 四号 行距: 1.5 倍行距 + 首行缩进:  2 字符"/>
    <w:basedOn w:val="1"/>
    <w:qFormat/>
    <w:uiPriority w:val="0"/>
    <w:pPr>
      <w:widowControl w:val="0"/>
      <w:shd w:val="clear" w:color="auto" w:fill="auto"/>
      <w:tabs>
        <w:tab w:val="clear" w:pos="426"/>
      </w:tabs>
      <w:adjustRightInd/>
      <w:snapToGrid/>
      <w:ind w:firstLine="560" w:firstLineChars="200"/>
    </w:pPr>
    <w:rPr>
      <w:rFonts w:hAnsi="宋体"/>
      <w:kern w:val="2"/>
      <w:sz w:val="28"/>
      <w:szCs w:val="20"/>
    </w:rPr>
  </w:style>
  <w:style w:type="character" w:customStyle="1" w:styleId="515">
    <w:name w:val="文件正文 Char Char Char"/>
    <w:qFormat/>
    <w:uiPriority w:val="0"/>
    <w:rPr>
      <w:rFonts w:eastAsia="仿宋_GB2312"/>
      <w:kern w:val="2"/>
      <w:sz w:val="24"/>
    </w:rPr>
  </w:style>
  <w:style w:type="character" w:customStyle="1" w:styleId="516">
    <w:name w:val="33 Char Char"/>
    <w:qFormat/>
    <w:uiPriority w:val="0"/>
    <w:rPr>
      <w:rFonts w:ascii="幼圆" w:eastAsia="幼圆"/>
      <w:b/>
      <w:bCs/>
      <w:sz w:val="28"/>
      <w:szCs w:val="28"/>
    </w:rPr>
  </w:style>
  <w:style w:type="character" w:customStyle="1" w:styleId="517">
    <w:name w:val="表格 Char Char"/>
    <w:link w:val="518"/>
    <w:qFormat/>
    <w:uiPriority w:val="0"/>
    <w:rPr>
      <w:rFonts w:ascii="宋体" w:hAnsi="宋体"/>
    </w:rPr>
  </w:style>
  <w:style w:type="paragraph" w:customStyle="1" w:styleId="518">
    <w:name w:val="表格"/>
    <w:basedOn w:val="1"/>
    <w:link w:val="517"/>
    <w:qFormat/>
    <w:uiPriority w:val="0"/>
    <w:pPr>
      <w:widowControl w:val="0"/>
      <w:shd w:val="clear" w:color="auto" w:fill="auto"/>
      <w:tabs>
        <w:tab w:val="clear" w:pos="426"/>
      </w:tabs>
      <w:adjustRightInd/>
      <w:spacing w:line="240" w:lineRule="auto"/>
      <w:ind w:firstLine="38"/>
      <w:jc w:val="center"/>
    </w:pPr>
    <w:rPr>
      <w:rFonts w:hAnsi="宋体" w:cs="Times New Roman"/>
      <w:sz w:val="20"/>
      <w:szCs w:val="20"/>
    </w:rPr>
  </w:style>
  <w:style w:type="character" w:customStyle="1" w:styleId="519">
    <w:name w:val="批注文字 Char1"/>
    <w:qFormat/>
    <w:uiPriority w:val="99"/>
    <w:rPr>
      <w:rFonts w:ascii="Times New Roman" w:hAnsi="Times New Roman" w:eastAsia="宋体" w:cs="Times New Roman"/>
      <w:szCs w:val="24"/>
    </w:rPr>
  </w:style>
  <w:style w:type="character" w:customStyle="1" w:styleId="520">
    <w:name w:val="批注主题 Char1"/>
    <w:semiHidden/>
    <w:qFormat/>
    <w:uiPriority w:val="0"/>
    <w:rPr>
      <w:rFonts w:ascii="Times New Roman" w:hAnsi="Times New Roman" w:eastAsia="宋体" w:cs="Times New Roman"/>
      <w:b/>
      <w:bCs/>
      <w:szCs w:val="24"/>
    </w:rPr>
  </w:style>
  <w:style w:type="character" w:customStyle="1" w:styleId="521">
    <w:name w:val="脚注文本 Char1"/>
    <w:semiHidden/>
    <w:qFormat/>
    <w:uiPriority w:val="0"/>
    <w:rPr>
      <w:rFonts w:ascii="Times New Roman" w:hAnsi="Times New Roman" w:eastAsia="宋体" w:cs="Times New Roman"/>
      <w:sz w:val="18"/>
      <w:szCs w:val="18"/>
    </w:rPr>
  </w:style>
  <w:style w:type="character" w:customStyle="1" w:styleId="522">
    <w:name w:val="普通文字1 Char Char1"/>
    <w:qFormat/>
    <w:uiPriority w:val="0"/>
    <w:rPr>
      <w:rFonts w:ascii="宋体" w:hAnsi="Courier New"/>
      <w:kern w:val="2"/>
      <w:sz w:val="21"/>
    </w:rPr>
  </w:style>
  <w:style w:type="character" w:customStyle="1" w:styleId="523">
    <w:name w:val="标题 Char1"/>
    <w:qFormat/>
    <w:uiPriority w:val="0"/>
    <w:rPr>
      <w:rFonts w:ascii="Cambria" w:hAnsi="Cambria" w:eastAsia="宋体" w:cs="Times New Roman"/>
      <w:b/>
      <w:bCs/>
      <w:sz w:val="32"/>
      <w:szCs w:val="32"/>
    </w:rPr>
  </w:style>
  <w:style w:type="paragraph" w:customStyle="1" w:styleId="524">
    <w:name w:val="列表内容"/>
    <w:basedOn w:val="1"/>
    <w:next w:val="1"/>
    <w:qFormat/>
    <w:uiPriority w:val="0"/>
    <w:pPr>
      <w:shd w:val="clear" w:color="auto" w:fill="auto"/>
      <w:tabs>
        <w:tab w:val="left" w:pos="907"/>
        <w:tab w:val="left" w:pos="1271"/>
        <w:tab w:val="clear" w:pos="426"/>
      </w:tabs>
      <w:adjustRightInd/>
      <w:snapToGrid/>
      <w:spacing w:line="240" w:lineRule="auto"/>
      <w:ind w:left="907" w:hanging="907"/>
      <w:jc w:val="left"/>
    </w:pPr>
    <w:rPr>
      <w:rFonts w:ascii="Times New Roman" w:cs="Times New Roman"/>
      <w:sz w:val="18"/>
    </w:rPr>
  </w:style>
  <w:style w:type="paragraph" w:customStyle="1" w:styleId="525">
    <w:name w:val="p16"/>
    <w:basedOn w:val="1"/>
    <w:qFormat/>
    <w:uiPriority w:val="99"/>
    <w:pPr>
      <w:shd w:val="clear" w:color="auto" w:fill="auto"/>
      <w:tabs>
        <w:tab w:val="clear" w:pos="426"/>
      </w:tabs>
      <w:adjustRightInd/>
      <w:snapToGrid/>
      <w:spacing w:line="240" w:lineRule="auto"/>
      <w:ind w:firstLine="420"/>
    </w:pPr>
    <w:rPr>
      <w:rFonts w:ascii="Arial Unicode MS" w:hAnsi="Arial Unicode MS" w:eastAsia="Arial Unicode MS" w:cs="Arial Unicode MS"/>
      <w:sz w:val="32"/>
      <w:szCs w:val="32"/>
    </w:rPr>
  </w:style>
  <w:style w:type="character" w:customStyle="1" w:styleId="526">
    <w:name w:val="15"/>
    <w:qFormat/>
    <w:uiPriority w:val="0"/>
    <w:rPr>
      <w:rFonts w:hint="default" w:ascii="Times New Roman" w:hAnsi="Times New Roman" w:cs="Times New Roman"/>
      <w:color w:val="0000FF"/>
      <w:u w:val="single"/>
    </w:rPr>
  </w:style>
  <w:style w:type="paragraph" w:customStyle="1" w:styleId="527">
    <w:name w:val="p15"/>
    <w:basedOn w:val="1"/>
    <w:qFormat/>
    <w:uiPriority w:val="0"/>
    <w:pPr>
      <w:shd w:val="clear" w:color="auto" w:fill="auto"/>
      <w:tabs>
        <w:tab w:val="clear" w:pos="426"/>
      </w:tabs>
      <w:adjustRightInd/>
      <w:spacing w:line="240" w:lineRule="auto"/>
      <w:ind w:left="420" w:hanging="420"/>
    </w:pPr>
    <w:rPr>
      <w:rFonts w:hAnsi="宋体"/>
      <w:szCs w:val="21"/>
    </w:rPr>
  </w:style>
  <w:style w:type="paragraph" w:customStyle="1" w:styleId="528">
    <w:name w:val="xl23"/>
    <w:basedOn w:val="1"/>
    <w:qFormat/>
    <w:uiPriority w:val="0"/>
    <w:pPr>
      <w:shd w:val="clear" w:color="auto" w:fill="auto"/>
      <w:tabs>
        <w:tab w:val="clear" w:pos="426"/>
      </w:tabs>
      <w:adjustRightInd/>
      <w:snapToGrid/>
      <w:spacing w:before="100" w:beforeAutospacing="1" w:after="100" w:afterAutospacing="1"/>
      <w:textAlignment w:val="top"/>
    </w:pPr>
    <w:rPr>
      <w:rFonts w:ascii="Times New Roman" w:cs="Times New Roman"/>
      <w:sz w:val="24"/>
    </w:rPr>
  </w:style>
  <w:style w:type="paragraph" w:customStyle="1" w:styleId="529">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0">
    <w:name w:val="样式1_0"/>
    <w:basedOn w:val="529"/>
    <w:qFormat/>
    <w:uiPriority w:val="0"/>
    <w:pPr>
      <w:numPr>
        <w:ilvl w:val="0"/>
        <w:numId w:val="31"/>
      </w:numPr>
    </w:pPr>
    <w:rPr>
      <w:rFonts w:ascii="宋体" w:hAnsi="宋体"/>
      <w:szCs w:val="21"/>
    </w:rPr>
  </w:style>
  <w:style w:type="paragraph" w:customStyle="1" w:styleId="531">
    <w:name w:val="正文缩进_0"/>
    <w:basedOn w:val="529"/>
    <w:qFormat/>
    <w:uiPriority w:val="0"/>
    <w:pPr>
      <w:ind w:firstLine="420"/>
    </w:pPr>
  </w:style>
  <w:style w:type="paragraph" w:customStyle="1" w:styleId="532">
    <w:name w:val="标题 2_1"/>
    <w:basedOn w:val="529"/>
    <w:next w:val="529"/>
    <w:qFormat/>
    <w:uiPriority w:val="0"/>
    <w:pPr>
      <w:keepNext/>
      <w:keepLines/>
      <w:spacing w:before="260" w:after="260" w:line="412" w:lineRule="auto"/>
      <w:outlineLvl w:val="1"/>
    </w:pPr>
    <w:rPr>
      <w:rFonts w:ascii="Arial" w:hAnsi="Arial" w:eastAsia="黑体"/>
      <w:b/>
      <w:sz w:val="32"/>
    </w:rPr>
  </w:style>
  <w:style w:type="paragraph" w:customStyle="1" w:styleId="533">
    <w:name w:val="纯文本_1"/>
    <w:basedOn w:val="529"/>
    <w:qFormat/>
    <w:uiPriority w:val="0"/>
    <w:rPr>
      <w:rFonts w:ascii="宋体"/>
      <w:szCs w:val="21"/>
    </w:rPr>
  </w:style>
  <w:style w:type="paragraph" w:customStyle="1" w:styleId="534">
    <w:name w:val="普通(网站)_0"/>
    <w:basedOn w:val="529"/>
    <w:qFormat/>
    <w:uiPriority w:val="0"/>
    <w:pPr>
      <w:widowControl/>
      <w:spacing w:before="100" w:beforeAutospacing="1" w:after="100" w:afterAutospacing="1"/>
      <w:jc w:val="left"/>
    </w:pPr>
    <w:rPr>
      <w:rFonts w:ascii="宋体"/>
      <w:kern w:val="0"/>
      <w:sz w:val="24"/>
      <w:szCs w:val="24"/>
      <w:lang w:eastAsia="en-US"/>
    </w:rPr>
  </w:style>
  <w:style w:type="character" w:customStyle="1" w:styleId="535">
    <w:name w:val="Char Char15"/>
    <w:qFormat/>
    <w:uiPriority w:val="0"/>
    <w:rPr>
      <w:rFonts w:ascii="宋体" w:hAnsi="宋体"/>
      <w:sz w:val="24"/>
    </w:rPr>
  </w:style>
  <w:style w:type="character" w:customStyle="1" w:styleId="536">
    <w:name w:val="Char Char13"/>
    <w:qFormat/>
    <w:uiPriority w:val="0"/>
    <w:rPr>
      <w:rFonts w:ascii="宋体" w:hAnsi="宋体"/>
      <w:b/>
      <w:kern w:val="2"/>
      <w:sz w:val="21"/>
    </w:rPr>
  </w:style>
  <w:style w:type="character" w:customStyle="1" w:styleId="537">
    <w:name w:val="Char Char10"/>
    <w:qFormat/>
    <w:uiPriority w:val="0"/>
    <w:rPr>
      <w:rFonts w:ascii="宋体"/>
      <w:sz w:val="28"/>
    </w:rPr>
  </w:style>
  <w:style w:type="character" w:customStyle="1" w:styleId="538">
    <w:name w:val="正文缩进2格 Char"/>
    <w:link w:val="539"/>
    <w:qFormat/>
    <w:uiPriority w:val="0"/>
    <w:rPr>
      <w:rFonts w:ascii="仿宋_GB2312" w:hAnsi="宋体" w:eastAsia="仿宋_GB2312"/>
      <w:kern w:val="2"/>
      <w:sz w:val="31"/>
    </w:rPr>
  </w:style>
  <w:style w:type="paragraph" w:customStyle="1" w:styleId="539">
    <w:name w:val="正文缩进2格"/>
    <w:basedOn w:val="1"/>
    <w:link w:val="538"/>
    <w:qFormat/>
    <w:uiPriority w:val="0"/>
    <w:pPr>
      <w:widowControl w:val="0"/>
      <w:shd w:val="clear" w:color="auto" w:fill="auto"/>
      <w:tabs>
        <w:tab w:val="clear" w:pos="426"/>
      </w:tabs>
      <w:adjustRightInd/>
      <w:snapToGrid/>
      <w:spacing w:line="600" w:lineRule="exact"/>
      <w:ind w:firstLine="639" w:firstLineChars="206"/>
    </w:pPr>
    <w:rPr>
      <w:rFonts w:ascii="仿宋_GB2312" w:hAnsi="宋体" w:eastAsia="仿宋_GB2312" w:cs="Times New Roman"/>
      <w:kern w:val="2"/>
      <w:sz w:val="31"/>
      <w:szCs w:val="20"/>
    </w:rPr>
  </w:style>
  <w:style w:type="character" w:customStyle="1" w:styleId="540">
    <w:name w:val="style5"/>
    <w:qFormat/>
    <w:uiPriority w:val="0"/>
  </w:style>
  <w:style w:type="character" w:customStyle="1" w:styleId="541">
    <w:name w:val="样式 标题 3 + 小四 Char"/>
    <w:qFormat/>
    <w:uiPriority w:val="0"/>
    <w:rPr>
      <w:rFonts w:ascii="宋体" w:hAnsi="宋体" w:eastAsia="宋体" w:cs="Arial"/>
      <w:b/>
      <w:bCs/>
      <w:smallCaps/>
      <w:kern w:val="2"/>
      <w:sz w:val="24"/>
      <w:szCs w:val="24"/>
      <w:lang w:val="en-US" w:eastAsia="zh-CN" w:bidi="ar-SA"/>
    </w:rPr>
  </w:style>
  <w:style w:type="paragraph" w:customStyle="1" w:styleId="542">
    <w:name w:val="font514155"/>
    <w:basedOn w:val="1"/>
    <w:qFormat/>
    <w:uiPriority w:val="0"/>
    <w:pPr>
      <w:shd w:val="clear" w:color="auto" w:fill="auto"/>
      <w:tabs>
        <w:tab w:val="clear" w:pos="426"/>
      </w:tabs>
      <w:adjustRightInd/>
      <w:snapToGrid/>
      <w:spacing w:before="100" w:beforeAutospacing="1" w:after="100" w:afterAutospacing="1" w:line="240" w:lineRule="auto"/>
      <w:jc w:val="left"/>
    </w:pPr>
    <w:rPr>
      <w:rFonts w:hAnsi="宋体"/>
      <w:sz w:val="18"/>
      <w:szCs w:val="18"/>
    </w:rPr>
  </w:style>
  <w:style w:type="paragraph" w:customStyle="1" w:styleId="543">
    <w:name w:val="xl7314155"/>
    <w:basedOn w:val="1"/>
    <w:qFormat/>
    <w:uiPriority w:val="0"/>
    <w:pPr>
      <w:pBdr>
        <w:top w:val="single" w:color="auto" w:sz="4" w:space="0"/>
        <w:left w:val="single" w:color="auto" w:sz="4" w:space="0"/>
        <w:bottom w:val="single" w:color="auto" w:sz="4" w:space="0"/>
        <w:right w:val="single" w:color="auto" w:sz="4" w:space="0"/>
      </w:pBdr>
      <w:shd w:val="clear" w:color="auto" w:fill="auto"/>
      <w:tabs>
        <w:tab w:val="clear" w:pos="426"/>
      </w:tabs>
      <w:adjustRightInd/>
      <w:snapToGrid/>
      <w:spacing w:before="100" w:beforeAutospacing="1" w:after="100" w:afterAutospacing="1" w:line="240" w:lineRule="auto"/>
      <w:jc w:val="left"/>
      <w:textAlignment w:val="center"/>
    </w:pPr>
    <w:rPr>
      <w:rFonts w:hAnsi="宋体"/>
      <w:sz w:val="20"/>
      <w:szCs w:val="20"/>
    </w:rPr>
  </w:style>
  <w:style w:type="character" w:customStyle="1" w:styleId="544">
    <w:name w:val="标题 1.1 Char1"/>
    <w:qFormat/>
    <w:uiPriority w:val="0"/>
    <w:rPr>
      <w:rFonts w:ascii="Arial" w:hAnsi="Arial" w:eastAsia="黑体"/>
      <w:b/>
      <w:bCs/>
      <w:kern w:val="2"/>
      <w:sz w:val="32"/>
      <w:szCs w:val="32"/>
      <w:lang w:val="en-US" w:eastAsia="zh-CN" w:bidi="ar-SA"/>
    </w:rPr>
  </w:style>
  <w:style w:type="paragraph" w:customStyle="1" w:styleId="545">
    <w:name w:val="TOC 标题3"/>
    <w:basedOn w:val="3"/>
    <w:next w:val="1"/>
    <w:qFormat/>
    <w:uiPriority w:val="0"/>
    <w:pPr>
      <w:keepNext/>
      <w:keepLines/>
      <w:widowControl/>
      <w:tabs>
        <w:tab w:val="clear" w:pos="426"/>
      </w:tabs>
      <w:spacing w:before="480" w:after="0" w:line="276" w:lineRule="auto"/>
      <w:jc w:val="left"/>
      <w:outlineLvl w:val="9"/>
    </w:pPr>
    <w:rPr>
      <w:rFonts w:ascii="Cambria" w:hAnsi="Cambria" w:eastAsia="宋体"/>
      <w:color w:val="365F91"/>
      <w:kern w:val="0"/>
    </w:rPr>
  </w:style>
  <w:style w:type="character" w:customStyle="1" w:styleId="546">
    <w:name w:val="标题 3.1 Char"/>
    <w:link w:val="547"/>
    <w:qFormat/>
    <w:uiPriority w:val="0"/>
    <w:rPr>
      <w:rFonts w:ascii="宋体" w:hAnsi="宋体"/>
      <w:b/>
      <w:color w:val="FF0000"/>
      <w:kern w:val="2"/>
      <w:sz w:val="32"/>
    </w:rPr>
  </w:style>
  <w:style w:type="paragraph" w:customStyle="1" w:styleId="547">
    <w:name w:val="标题 3.1"/>
    <w:basedOn w:val="5"/>
    <w:link w:val="546"/>
    <w:qFormat/>
    <w:uiPriority w:val="0"/>
    <w:pPr>
      <w:tabs>
        <w:tab w:val="left" w:pos="1440"/>
        <w:tab w:val="left" w:pos="1620"/>
      </w:tabs>
      <w:spacing w:line="600" w:lineRule="exact"/>
    </w:pPr>
    <w:rPr>
      <w:rFonts w:hAnsi="宋体"/>
      <w:bCs w:val="0"/>
      <w:color w:val="FF0000"/>
      <w:sz w:val="32"/>
      <w:szCs w:val="20"/>
    </w:rPr>
  </w:style>
  <w:style w:type="character" w:customStyle="1" w:styleId="548">
    <w:name w:val="文件正文 Char"/>
    <w:qFormat/>
    <w:uiPriority w:val="0"/>
    <w:rPr>
      <w:rFonts w:eastAsia="仿宋_GB2312"/>
      <w:kern w:val="2"/>
      <w:sz w:val="24"/>
    </w:rPr>
  </w:style>
  <w:style w:type="paragraph" w:customStyle="1" w:styleId="549">
    <w:name w:val="Char Char1"/>
    <w:basedOn w:val="1"/>
    <w:qFormat/>
    <w:uiPriority w:val="0"/>
    <w:pPr>
      <w:shd w:val="clear" w:color="auto" w:fill="auto"/>
      <w:tabs>
        <w:tab w:val="clear" w:pos="426"/>
      </w:tabs>
      <w:adjustRightInd/>
      <w:snapToGrid/>
      <w:spacing w:after="160" w:line="240" w:lineRule="exact"/>
      <w:jc w:val="left"/>
    </w:pPr>
    <w:rPr>
      <w:rFonts w:ascii="Arial" w:hAnsi="Arial" w:cs="Times New Roman"/>
      <w:sz w:val="20"/>
      <w:szCs w:val="20"/>
      <w:lang w:val="nl-NL" w:eastAsia="en-GB"/>
    </w:rPr>
  </w:style>
  <w:style w:type="paragraph" w:customStyle="1" w:styleId="550">
    <w:name w:val="Char Char Char Char Char Char1 Char"/>
    <w:basedOn w:val="1"/>
    <w:qFormat/>
    <w:uiPriority w:val="0"/>
    <w:pPr>
      <w:shd w:val="clear" w:color="auto" w:fill="auto"/>
      <w:tabs>
        <w:tab w:val="clear" w:pos="426"/>
      </w:tabs>
      <w:adjustRightInd/>
      <w:snapToGrid/>
      <w:spacing w:after="160" w:line="240" w:lineRule="exact"/>
      <w:jc w:val="left"/>
    </w:pPr>
    <w:rPr>
      <w:rFonts w:ascii="Verdana" w:hAnsi="Verdana" w:cs="Times New Roman"/>
      <w:szCs w:val="20"/>
      <w:lang w:eastAsia="en-US"/>
    </w:rPr>
  </w:style>
  <w:style w:type="character" w:customStyle="1" w:styleId="551">
    <w:name w:val="正文1 Char"/>
    <w:qFormat/>
    <w:uiPriority w:val="0"/>
    <w:rPr>
      <w:rFonts w:ascii="宋体" w:hAnsi="宋体" w:cs="宋体"/>
      <w:sz w:val="21"/>
    </w:rPr>
  </w:style>
  <w:style w:type="character" w:customStyle="1" w:styleId="552">
    <w:name w:val="标题 2 Char Char Char Char"/>
    <w:qFormat/>
    <w:uiPriority w:val="0"/>
    <w:rPr>
      <w:rFonts w:ascii="Arial" w:hAnsi="Arial" w:eastAsia="黑体"/>
      <w:b/>
      <w:bCs/>
      <w:kern w:val="2"/>
      <w:sz w:val="32"/>
      <w:szCs w:val="32"/>
      <w:lang w:val="en-US" w:eastAsia="zh-CN" w:bidi="ar-SA"/>
    </w:rPr>
  </w:style>
  <w:style w:type="paragraph" w:customStyle="1" w:styleId="553">
    <w:name w:val="表中文字"/>
    <w:basedOn w:val="1"/>
    <w:qFormat/>
    <w:uiPriority w:val="0"/>
    <w:pPr>
      <w:shd w:val="clear" w:color="auto" w:fill="auto"/>
      <w:tabs>
        <w:tab w:val="clear" w:pos="426"/>
      </w:tabs>
      <w:adjustRightInd/>
      <w:snapToGrid/>
      <w:spacing w:line="240" w:lineRule="auto"/>
    </w:pPr>
    <w:rPr>
      <w:rFonts w:ascii="Arial" w:hAnsi="Arial" w:cs="Times New Roman"/>
      <w:kern w:val="2"/>
      <w:szCs w:val="20"/>
    </w:rPr>
  </w:style>
  <w:style w:type="character" w:customStyle="1" w:styleId="554">
    <w:name w:val="批注文字 字符"/>
    <w:qFormat/>
    <w:uiPriority w:val="0"/>
    <w:rPr>
      <w:rFonts w:eastAsia="宋体"/>
      <w:szCs w:val="24"/>
    </w:rPr>
  </w:style>
  <w:style w:type="character" w:customStyle="1" w:styleId="555">
    <w:name w:val="批注框文本 字符"/>
    <w:qFormat/>
    <w:uiPriority w:val="0"/>
    <w:rPr>
      <w:rFonts w:ascii="Times New Roman" w:hAnsi="Times New Roman" w:eastAsia="宋体" w:cs="Times New Roman"/>
      <w:sz w:val="18"/>
      <w:szCs w:val="18"/>
    </w:rPr>
  </w:style>
  <w:style w:type="character" w:customStyle="1" w:styleId="556">
    <w:name w:val="页眉 字符"/>
    <w:qFormat/>
    <w:uiPriority w:val="0"/>
    <w:rPr>
      <w:rFonts w:ascii="Times New Roman" w:hAnsi="Times New Roman" w:eastAsia="宋体" w:cs="Times New Roman"/>
      <w:sz w:val="18"/>
      <w:szCs w:val="18"/>
    </w:rPr>
  </w:style>
  <w:style w:type="character" w:customStyle="1" w:styleId="557">
    <w:name w:val="页脚 字符"/>
    <w:qFormat/>
    <w:uiPriority w:val="99"/>
    <w:rPr>
      <w:rFonts w:ascii="Times New Roman" w:hAnsi="Times New Roman" w:eastAsia="宋体" w:cs="Times New Roman"/>
      <w:sz w:val="18"/>
      <w:szCs w:val="18"/>
    </w:rPr>
  </w:style>
  <w:style w:type="paragraph" w:customStyle="1" w:styleId="558">
    <w:name w:val="样式 7 10 磅"/>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59">
    <w:name w:val="Text Char"/>
    <w:link w:val="560"/>
    <w:qFormat/>
    <w:uiPriority w:val="0"/>
    <w:rPr>
      <w:rFonts w:ascii="Calibri" w:hAnsi="Calibri" w:eastAsia="微软雅黑 Light"/>
      <w:kern w:val="2"/>
      <w:sz w:val="24"/>
      <w:szCs w:val="28"/>
    </w:rPr>
  </w:style>
  <w:style w:type="paragraph" w:customStyle="1" w:styleId="560">
    <w:name w:val="Text"/>
    <w:basedOn w:val="1"/>
    <w:link w:val="559"/>
    <w:qFormat/>
    <w:uiPriority w:val="0"/>
    <w:pPr>
      <w:widowControl w:val="0"/>
      <w:shd w:val="clear" w:color="auto" w:fill="auto"/>
      <w:tabs>
        <w:tab w:val="clear" w:pos="426"/>
      </w:tabs>
      <w:spacing w:line="240" w:lineRule="auto"/>
      <w:ind w:firstLine="200" w:firstLineChars="200"/>
    </w:pPr>
    <w:rPr>
      <w:rFonts w:ascii="Calibri" w:hAnsi="Calibri" w:eastAsia="微软雅黑 Light" w:cs="Times New Roman"/>
      <w:kern w:val="2"/>
      <w:sz w:val="24"/>
      <w:szCs w:val="28"/>
    </w:rPr>
  </w:style>
  <w:style w:type="paragraph" w:customStyle="1" w:styleId="561">
    <w:name w:val="列表段落1"/>
    <w:basedOn w:val="1"/>
    <w:qFormat/>
    <w:uiPriority w:val="0"/>
    <w:pPr>
      <w:widowControl w:val="0"/>
      <w:shd w:val="clear" w:color="auto" w:fill="auto"/>
      <w:tabs>
        <w:tab w:val="clear" w:pos="426"/>
      </w:tabs>
      <w:adjustRightInd/>
      <w:snapToGrid/>
      <w:spacing w:line="240" w:lineRule="auto"/>
      <w:ind w:firstLine="200" w:firstLineChars="200"/>
    </w:pPr>
    <w:rPr>
      <w:rFonts w:ascii="Calibri" w:hAnsi="Calibri" w:cs="Times New Roman"/>
      <w:sz w:val="24"/>
    </w:rPr>
  </w:style>
  <w:style w:type="paragraph" w:customStyle="1" w:styleId="562">
    <w:name w:val="样式 正文缩进表正文正文非缩进特点段1四号正文不缩进标题4??????????ALT+Z水上软件特点 ...4"/>
    <w:basedOn w:val="8"/>
    <w:qFormat/>
    <w:uiPriority w:val="0"/>
    <w:pPr>
      <w:widowControl w:val="0"/>
      <w:shd w:val="clear" w:color="auto" w:fill="auto"/>
      <w:tabs>
        <w:tab w:val="clear" w:pos="426"/>
      </w:tabs>
      <w:adjustRightInd/>
      <w:snapToGrid/>
      <w:ind w:firstLine="200" w:firstLineChars="200"/>
    </w:pPr>
    <w:rPr>
      <w:rFonts w:cs="宋体"/>
      <w:color w:val="000000"/>
    </w:rPr>
  </w:style>
  <w:style w:type="paragraph" w:customStyle="1" w:styleId="563">
    <w:name w:val="正文！！！"/>
    <w:basedOn w:val="1"/>
    <w:qFormat/>
    <w:uiPriority w:val="0"/>
    <w:pPr>
      <w:widowControl w:val="0"/>
      <w:shd w:val="clear" w:color="auto" w:fill="auto"/>
      <w:tabs>
        <w:tab w:val="clear" w:pos="426"/>
      </w:tabs>
      <w:adjustRightInd/>
      <w:snapToGrid/>
      <w:ind w:firstLine="420" w:firstLineChars="200"/>
    </w:pPr>
    <w:rPr>
      <w:rFonts w:ascii="Arial" w:hAnsi="Arial" w:eastAsia="微软雅黑"/>
      <w:kern w:val="2"/>
      <w:sz w:val="24"/>
      <w:szCs w:val="20"/>
    </w:rPr>
  </w:style>
  <w:style w:type="paragraph" w:customStyle="1" w:styleId="564">
    <w:name w:val="样式 正文缩进表正文正文非缩进特点段1四号正文不缩进标题4??????????ALT+Z水上软件特点 ..."/>
    <w:basedOn w:val="8"/>
    <w:qFormat/>
    <w:uiPriority w:val="0"/>
    <w:pPr>
      <w:widowControl w:val="0"/>
      <w:shd w:val="clear" w:color="auto" w:fill="auto"/>
      <w:tabs>
        <w:tab w:val="clear" w:pos="426"/>
      </w:tabs>
      <w:adjustRightInd/>
      <w:snapToGrid/>
      <w:ind w:firstLine="200" w:firstLineChars="200"/>
    </w:pPr>
    <w:rPr>
      <w:rFonts w:cs="宋体"/>
    </w:rPr>
  </w:style>
  <w:style w:type="table" w:customStyle="1" w:styleId="565">
    <w:name w:val="网格型1"/>
    <w:basedOn w:val="85"/>
    <w:qFormat/>
    <w:uiPriority w:val="0"/>
    <w:rPr>
      <w:rFonts w:ascii="Calibri" w:hAnsi="Calibr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6">
    <w:name w:val="_Style 565"/>
    <w:unhideWhenUsed/>
    <w:qFormat/>
    <w:uiPriority w:val="99"/>
    <w:rPr>
      <w:rFonts w:ascii="宋体" w:hAnsi="Times New Roman" w:eastAsia="宋体" w:cs="宋体"/>
      <w:sz w:val="21"/>
      <w:szCs w:val="24"/>
      <w:lang w:val="en-US" w:eastAsia="zh-CN" w:bidi="ar-SA"/>
    </w:rPr>
  </w:style>
  <w:style w:type="character" w:customStyle="1" w:styleId="567">
    <w:name w:val="_Style 566"/>
    <w:unhideWhenUsed/>
    <w:qFormat/>
    <w:uiPriority w:val="99"/>
    <w:rPr>
      <w:color w:val="605E5C"/>
      <w:shd w:val="clear" w:color="auto" w:fill="E1DFDD"/>
    </w:rPr>
  </w:style>
  <w:style w:type="paragraph" w:customStyle="1" w:styleId="568">
    <w:name w:val="修订3"/>
    <w:hidden/>
    <w:semiHidden/>
    <w:qFormat/>
    <w:uiPriority w:val="99"/>
    <w:rPr>
      <w:rFonts w:ascii="宋体" w:hAnsi="Times New Roman" w:eastAsia="宋体" w:cs="宋体"/>
      <w:sz w:val="21"/>
      <w:szCs w:val="24"/>
      <w:lang w:val="en-US" w:eastAsia="zh-CN" w:bidi="ar-SA"/>
    </w:rPr>
  </w:style>
  <w:style w:type="paragraph" w:customStyle="1" w:styleId="569">
    <w:name w:val="修订4"/>
    <w:hidden/>
    <w:semiHidden/>
    <w:qFormat/>
    <w:uiPriority w:val="99"/>
    <w:rPr>
      <w:rFonts w:ascii="宋体" w:hAnsi="Times New Roman" w:eastAsia="宋体" w:cs="宋体"/>
      <w:sz w:val="21"/>
      <w:szCs w:val="24"/>
      <w:lang w:val="en-US" w:eastAsia="zh-CN" w:bidi="ar-SA"/>
    </w:rPr>
  </w:style>
  <w:style w:type="paragraph" w:customStyle="1" w:styleId="570">
    <w:name w:val="彩色列表 - 强调文字颜色 111"/>
    <w:basedOn w:val="1"/>
    <w:qFormat/>
    <w:uiPriority w:val="0"/>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szCs w:val="32"/>
    </w:rPr>
  </w:style>
  <w:style w:type="character" w:customStyle="1" w:styleId="571">
    <w:name w:val="未处理的提及1"/>
    <w:basedOn w:val="87"/>
    <w:semiHidden/>
    <w:unhideWhenUsed/>
    <w:qFormat/>
    <w:uiPriority w:val="99"/>
    <w:rPr>
      <w:color w:val="605E5C"/>
      <w:shd w:val="clear" w:color="auto" w:fill="E1DFDD"/>
    </w:rPr>
  </w:style>
  <w:style w:type="paragraph" w:customStyle="1" w:styleId="572">
    <w:name w:val="修订5"/>
    <w:hidden/>
    <w:semiHidden/>
    <w:qFormat/>
    <w:uiPriority w:val="99"/>
    <w:rPr>
      <w:rFonts w:ascii="宋体" w:hAnsi="Times New Roman" w:eastAsia="宋体" w:cs="宋体"/>
      <w:sz w:val="21"/>
      <w:szCs w:val="24"/>
      <w:lang w:val="en-US" w:eastAsia="zh-CN" w:bidi="ar-SA"/>
    </w:rPr>
  </w:style>
  <w:style w:type="character" w:customStyle="1" w:styleId="573">
    <w:name w:val="未处理的提及2"/>
    <w:basedOn w:val="87"/>
    <w:semiHidden/>
    <w:unhideWhenUsed/>
    <w:qFormat/>
    <w:uiPriority w:val="99"/>
    <w:rPr>
      <w:color w:val="605E5C"/>
      <w:shd w:val="clear" w:color="auto" w:fill="E1DFDD"/>
    </w:rPr>
  </w:style>
  <w:style w:type="paragraph" w:customStyle="1" w:styleId="574">
    <w:name w:val="修订6"/>
    <w:hidden/>
    <w:semiHidden/>
    <w:qFormat/>
    <w:uiPriority w:val="99"/>
    <w:rPr>
      <w:rFonts w:ascii="宋体" w:hAnsi="Times New Roman" w:eastAsia="宋体" w:cs="宋体"/>
      <w:sz w:val="21"/>
      <w:szCs w:val="24"/>
      <w:lang w:val="en-US" w:eastAsia="zh-CN" w:bidi="ar-SA"/>
    </w:rPr>
  </w:style>
  <w:style w:type="paragraph" w:customStyle="1" w:styleId="575">
    <w:name w:val="Table Paragraph"/>
    <w:basedOn w:val="1"/>
    <w:qFormat/>
    <w:uiPriority w:val="1"/>
    <w:pPr>
      <w:widowControl w:val="0"/>
      <w:shd w:val="clear" w:color="auto" w:fill="auto"/>
      <w:tabs>
        <w:tab w:val="clear" w:pos="426"/>
      </w:tabs>
      <w:autoSpaceDE w:val="0"/>
      <w:autoSpaceDN w:val="0"/>
      <w:snapToGrid/>
      <w:spacing w:line="240" w:lineRule="auto"/>
      <w:jc w:val="left"/>
    </w:pPr>
    <w:rPr>
      <w:rFonts w:ascii="Times New Roman" w:cs="Times New Roman" w:eastAsiaTheme="minorEastAsia"/>
      <w:sz w:val="24"/>
    </w:rPr>
  </w:style>
  <w:style w:type="character" w:customStyle="1" w:styleId="576">
    <w:name w:val="未处理的提及3"/>
    <w:basedOn w:val="87"/>
    <w:semiHidden/>
    <w:unhideWhenUsed/>
    <w:qFormat/>
    <w:uiPriority w:val="99"/>
    <w:rPr>
      <w:color w:val="605E5C"/>
      <w:shd w:val="clear" w:color="auto" w:fill="E1DFDD"/>
    </w:rPr>
  </w:style>
  <w:style w:type="paragraph" w:customStyle="1" w:styleId="577">
    <w:name w:val="修订7"/>
    <w:hidden/>
    <w:unhideWhenUsed/>
    <w:qFormat/>
    <w:uiPriority w:val="99"/>
    <w:rPr>
      <w:rFonts w:ascii="宋体" w:hAnsi="Times New Roman" w:eastAsia="宋体" w:cs="宋体"/>
      <w:sz w:val="21"/>
      <w:szCs w:val="24"/>
      <w:lang w:val="en-US" w:eastAsia="zh-CN" w:bidi="ar-SA"/>
    </w:rPr>
  </w:style>
  <w:style w:type="paragraph" w:customStyle="1" w:styleId="578">
    <w:name w:val="修订8"/>
    <w:hidden/>
    <w:unhideWhenUsed/>
    <w:qFormat/>
    <w:uiPriority w:val="99"/>
    <w:rPr>
      <w:rFonts w:ascii="宋体" w:hAnsi="Times New Roman" w:eastAsia="宋体" w:cs="宋体"/>
      <w:sz w:val="21"/>
      <w:szCs w:val="24"/>
      <w:lang w:val="en-US" w:eastAsia="zh-CN" w:bidi="ar-SA"/>
    </w:rPr>
  </w:style>
  <w:style w:type="character" w:customStyle="1" w:styleId="579">
    <w:name w:val="纯文本 字符"/>
    <w:basedOn w:val="87"/>
    <w:link w:val="44"/>
    <w:qFormat/>
    <w:uiPriority w:val="0"/>
    <w:rPr>
      <w:rFonts w:ascii="宋体"/>
      <w:kern w:val="2"/>
      <w:sz w:val="21"/>
      <w:shd w:val="clear" w:color="auto" w:fill="FFFFFF"/>
    </w:rPr>
  </w:style>
  <w:style w:type="character" w:customStyle="1" w:styleId="580">
    <w:name w:val="16"/>
    <w:basedOn w:val="87"/>
    <w:qFormat/>
    <w:uiPriority w:val="0"/>
    <w:rPr>
      <w:rFonts w:hint="eastAsia" w:ascii="宋体" w:hAnsi="宋体" w:eastAsia="宋体" w:cs="宋体"/>
      <w:color w:val="000000"/>
      <w:sz w:val="21"/>
      <w:szCs w:val="21"/>
    </w:rPr>
  </w:style>
  <w:style w:type="paragraph" w:customStyle="1" w:styleId="581">
    <w:name w:val="修订9"/>
    <w:hidden/>
    <w:unhideWhenUsed/>
    <w:qFormat/>
    <w:uiPriority w:val="99"/>
    <w:rPr>
      <w:rFonts w:ascii="宋体" w:hAnsi="Times New Roman" w:eastAsia="宋体" w:cs="宋体"/>
      <w:sz w:val="21"/>
      <w:szCs w:val="24"/>
      <w:lang w:val="en-US" w:eastAsia="zh-CN" w:bidi="ar-SA"/>
    </w:rPr>
  </w:style>
  <w:style w:type="paragraph" w:customStyle="1" w:styleId="582">
    <w:name w:val="修订10"/>
    <w:hidden/>
    <w:unhideWhenUsed/>
    <w:qFormat/>
    <w:uiPriority w:val="99"/>
    <w:rPr>
      <w:rFonts w:ascii="宋体" w:hAnsi="Times New Roman" w:eastAsia="宋体" w:cs="宋体"/>
      <w:sz w:val="21"/>
      <w:szCs w:val="24"/>
      <w:lang w:val="en-US" w:eastAsia="zh-CN" w:bidi="ar-SA"/>
    </w:rPr>
  </w:style>
  <w:style w:type="paragraph" w:customStyle="1" w:styleId="583">
    <w:name w:val="修订11"/>
    <w:hidden/>
    <w:unhideWhenUsed/>
    <w:qFormat/>
    <w:uiPriority w:val="99"/>
    <w:rPr>
      <w:rFonts w:ascii="宋体" w:hAnsi="Times New Roman" w:eastAsia="宋体" w:cs="宋体"/>
      <w:sz w:val="21"/>
      <w:szCs w:val="24"/>
      <w:lang w:val="en-US" w:eastAsia="zh-CN" w:bidi="ar-SA"/>
    </w:rPr>
  </w:style>
  <w:style w:type="paragraph" w:customStyle="1" w:styleId="584">
    <w:name w:val="列出段落"/>
    <w:basedOn w:val="1"/>
    <w:autoRedefine/>
    <w:qFormat/>
    <w:uiPriority w:val="99"/>
    <w:pPr>
      <w:widowControl w:val="0"/>
      <w:shd w:val="clear" w:color="auto" w:fill="auto"/>
      <w:tabs>
        <w:tab w:val="clear" w:pos="426"/>
      </w:tabs>
      <w:adjustRightInd/>
      <w:snapToGrid/>
      <w:spacing w:line="240" w:lineRule="auto"/>
      <w:ind w:firstLine="420" w:firstLineChars="200"/>
    </w:pPr>
    <w:rPr>
      <w:rFonts w:ascii="Times New Roman" w:eastAsia="仿宋体" w:cs="Times New Roman"/>
      <w:kern w:val="2"/>
      <w:sz w:val="32"/>
    </w:rPr>
  </w:style>
  <w:style w:type="paragraph" w:customStyle="1" w:styleId="585">
    <w:name w:val="BodyText"/>
    <w:basedOn w:val="1"/>
    <w:autoRedefine/>
    <w:qFormat/>
    <w:uiPriority w:val="0"/>
    <w:pPr>
      <w:widowControl w:val="0"/>
      <w:shd w:val="clear" w:color="auto" w:fill="auto"/>
      <w:tabs>
        <w:tab w:val="clear" w:pos="426"/>
      </w:tabs>
      <w:adjustRightInd/>
      <w:snapToGrid/>
    </w:pPr>
    <w:rPr>
      <w:rFonts w:ascii="Times New Roman" w:eastAsia="仿宋体" w:cs="Times New Roman"/>
      <w:b/>
      <w:sz w:val="24"/>
    </w:rPr>
  </w:style>
  <w:style w:type="paragraph" w:customStyle="1" w:styleId="586">
    <w:name w:val="修订12"/>
    <w:hidden/>
    <w:unhideWhenUsed/>
    <w:qFormat/>
    <w:uiPriority w:val="99"/>
    <w:rPr>
      <w:rFonts w:ascii="宋体" w:hAnsi="Times New Roman" w:eastAsia="宋体" w:cs="宋体"/>
      <w:sz w:val="21"/>
      <w:szCs w:val="24"/>
      <w:lang w:val="en-US" w:eastAsia="zh-CN" w:bidi="ar-SA"/>
    </w:rPr>
  </w:style>
  <w:style w:type="paragraph" w:customStyle="1" w:styleId="587">
    <w:name w:val="标题 11"/>
    <w:basedOn w:val="1"/>
    <w:qFormat/>
    <w:uiPriority w:val="1"/>
    <w:pPr>
      <w:spacing w:line="590" w:lineRule="exact"/>
      <w:ind w:left="3"/>
      <w:outlineLvl w:val="1"/>
    </w:pPr>
    <w:rPr>
      <w:rFonts w:ascii="Microsoft JhengHei" w:hAnsi="Microsoft JhengHei" w:eastAsia="Microsoft JhengHei" w:cs="Microsoft JhengHei"/>
      <w:b/>
      <w:bCs/>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82C488-93A7-4D47-8D80-F5F85F719B5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82</Pages>
  <Words>49818</Words>
  <Characters>52721</Characters>
  <Lines>486</Lines>
  <Paragraphs>136</Paragraphs>
  <TotalTime>0</TotalTime>
  <ScaleCrop>false</ScaleCrop>
  <LinksUpToDate>false</LinksUpToDate>
  <CharactersWithSpaces>55785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2022-07-29T16:11:00Z</dcterms:created>
  <dc:creator>thsware</dc:creator>
  <cp:lastModifiedBy>东海国际</cp:lastModifiedBy>
  <cp:lastPrinted>2023-03-28T10:09:00Z</cp:lastPrinted>
  <dcterms:modified xsi:type="dcterms:W3CDTF">2024-08-26T10:15:47Z</dcterms:modified>
  <dc:title>招  标　文　件</dc:title>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9883F111842D47FEB7F3C94E9E0F2251_13</vt:lpwstr>
  </property>
</Properties>
</file>