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F5664">
      <w:pPr>
        <w:tabs>
          <w:tab w:val="clear" w:pos="426"/>
        </w:tabs>
      </w:pPr>
    </w:p>
    <w:p w14:paraId="4462052E">
      <w:pPr>
        <w:tabs>
          <w:tab w:val="clear" w:pos="426"/>
        </w:tabs>
      </w:pPr>
    </w:p>
    <w:p w14:paraId="7F6DA128">
      <w:pPr>
        <w:pStyle w:val="84"/>
        <w:tabs>
          <w:tab w:val="left" w:pos="0"/>
          <w:tab w:val="left" w:pos="993"/>
          <w:tab w:val="left" w:pos="1134"/>
        </w:tabs>
        <w:spacing w:line="1300" w:lineRule="exact"/>
        <w:ind w:left="0" w:leftChars="0" w:firstLine="0" w:firstLineChars="0"/>
        <w:jc w:val="center"/>
        <w:rPr>
          <w:b/>
          <w:bCs/>
          <w:sz w:val="96"/>
          <w:szCs w:val="96"/>
        </w:rPr>
      </w:pPr>
      <w:r>
        <w:rPr>
          <w:rFonts w:hint="eastAsia"/>
          <w:b/>
          <w:bCs/>
          <w:sz w:val="96"/>
          <w:szCs w:val="96"/>
        </w:rPr>
        <w:t>国内招标</w:t>
      </w:r>
      <w:r>
        <w:rPr>
          <w:b/>
          <w:bCs/>
          <w:sz w:val="96"/>
          <w:szCs w:val="96"/>
        </w:rPr>
        <w:t>文件</w:t>
      </w:r>
    </w:p>
    <w:p w14:paraId="2BCC6781">
      <w:pPr>
        <w:jc w:val="center"/>
        <w:rPr>
          <w:sz w:val="52"/>
          <w:szCs w:val="52"/>
        </w:rPr>
      </w:pPr>
      <w:r>
        <w:rPr>
          <w:sz w:val="52"/>
          <w:szCs w:val="52"/>
        </w:rPr>
        <w:t>【</w:t>
      </w:r>
      <w:r>
        <w:rPr>
          <w:rFonts w:hint="eastAsia"/>
          <w:sz w:val="52"/>
          <w:szCs w:val="52"/>
        </w:rPr>
        <w:t>货物</w:t>
      </w:r>
      <w:r>
        <w:rPr>
          <w:sz w:val="52"/>
          <w:szCs w:val="52"/>
        </w:rPr>
        <w:t>类】</w:t>
      </w:r>
    </w:p>
    <w:p w14:paraId="5BAB8FF6">
      <w:pPr>
        <w:rPr>
          <w:sz w:val="44"/>
          <w:szCs w:val="44"/>
        </w:rPr>
      </w:pPr>
    </w:p>
    <w:p w14:paraId="5FBEB0E0">
      <w:pPr>
        <w:pStyle w:val="84"/>
        <w:tabs>
          <w:tab w:val="left" w:pos="0"/>
          <w:tab w:val="left" w:pos="993"/>
          <w:tab w:val="left" w:pos="1134"/>
        </w:tabs>
        <w:ind w:left="0" w:leftChars="0" w:firstLine="420"/>
      </w:pPr>
    </w:p>
    <w:p w14:paraId="3194596B">
      <w:pPr>
        <w:pStyle w:val="84"/>
        <w:tabs>
          <w:tab w:val="left" w:pos="0"/>
          <w:tab w:val="left" w:pos="993"/>
          <w:tab w:val="left" w:pos="1134"/>
        </w:tabs>
        <w:wordWrap w:val="0"/>
        <w:ind w:left="0" w:leftChars="0" w:firstLine="0" w:firstLineChars="0"/>
        <w:jc w:val="center"/>
        <w:rPr>
          <w:rFonts w:hint="eastAsia" w:ascii="宋体" w:hAnsi="宋体" w:cs="宋体"/>
          <w:b/>
          <w:sz w:val="44"/>
          <w:szCs w:val="44"/>
        </w:rPr>
      </w:pPr>
      <w:r>
        <w:rPr>
          <w:rFonts w:hint="eastAsia" w:ascii="宋体" w:hAnsi="宋体" w:cs="宋体"/>
          <w:b/>
          <w:sz w:val="44"/>
          <w:szCs w:val="44"/>
        </w:rPr>
        <w:t>项目编号：3324-DH2430H2479</w:t>
      </w:r>
    </w:p>
    <w:p w14:paraId="233721C2">
      <w:pPr>
        <w:pStyle w:val="84"/>
        <w:tabs>
          <w:tab w:val="left" w:pos="0"/>
          <w:tab w:val="left" w:pos="993"/>
          <w:tab w:val="left" w:pos="1134"/>
        </w:tabs>
        <w:wordWrap w:val="0"/>
        <w:ind w:left="0" w:leftChars="0" w:firstLine="0" w:firstLineChars="0"/>
        <w:jc w:val="center"/>
        <w:rPr>
          <w:rFonts w:hint="eastAsia" w:ascii="宋体" w:hAnsi="宋体" w:cs="宋体"/>
          <w:b/>
          <w:sz w:val="44"/>
          <w:szCs w:val="44"/>
        </w:rPr>
      </w:pPr>
      <w:r>
        <w:rPr>
          <w:rFonts w:hint="eastAsia" w:ascii="宋体" w:hAnsi="宋体" w:cs="宋体"/>
          <w:b/>
          <w:sz w:val="44"/>
          <w:szCs w:val="44"/>
        </w:rPr>
        <w:t>项目名称：广东省深圳市消防救援支队大亚湾特勤大队2024年备勤楼家具采购项目</w:t>
      </w:r>
    </w:p>
    <w:p w14:paraId="1516D8AF">
      <w:pPr>
        <w:pStyle w:val="84"/>
        <w:tabs>
          <w:tab w:val="left" w:pos="0"/>
          <w:tab w:val="left" w:pos="993"/>
          <w:tab w:val="left" w:pos="1134"/>
        </w:tabs>
        <w:ind w:left="420" w:firstLine="420"/>
      </w:pPr>
    </w:p>
    <w:p w14:paraId="288376CF">
      <w:pPr>
        <w:jc w:val="center"/>
        <w:rPr>
          <w:b/>
          <w:sz w:val="44"/>
          <w:szCs w:val="44"/>
        </w:rPr>
      </w:pPr>
      <w:r>
        <w:drawing>
          <wp:anchor distT="0" distB="0" distL="114300" distR="114300" simplePos="0" relativeHeight="251659264" behindDoc="1" locked="0" layoutInCell="1" allowOverlap="1">
            <wp:simplePos x="0" y="0"/>
            <wp:positionH relativeFrom="column">
              <wp:posOffset>1734185</wp:posOffset>
            </wp:positionH>
            <wp:positionV relativeFrom="paragraph">
              <wp:posOffset>389255</wp:posOffset>
            </wp:positionV>
            <wp:extent cx="2633980" cy="2094230"/>
            <wp:effectExtent l="0" t="0" r="13970" b="1270"/>
            <wp:wrapTight wrapText="bothSides">
              <wp:wrapPolygon>
                <wp:start x="0" y="0"/>
                <wp:lineTo x="0" y="21417"/>
                <wp:lineTo x="21402" y="21417"/>
                <wp:lineTo x="21402" y="0"/>
                <wp:lineTo x="0" y="0"/>
              </wp:wrapPolygon>
            </wp:wrapTight>
            <wp:docPr id="1" name="图片 2"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公司logo"/>
                    <pic:cNvPicPr>
                      <a:picLocks noChangeAspect="1"/>
                    </pic:cNvPicPr>
                  </pic:nvPicPr>
                  <pic:blipFill>
                    <a:blip r:embed="rId12"/>
                    <a:stretch>
                      <a:fillRect/>
                    </a:stretch>
                  </pic:blipFill>
                  <pic:spPr>
                    <a:xfrm>
                      <a:off x="0" y="0"/>
                      <a:ext cx="2633980" cy="2094230"/>
                    </a:xfrm>
                    <a:prstGeom prst="rect">
                      <a:avLst/>
                    </a:prstGeom>
                    <a:noFill/>
                    <a:ln>
                      <a:noFill/>
                    </a:ln>
                  </pic:spPr>
                </pic:pic>
              </a:graphicData>
            </a:graphic>
          </wp:anchor>
        </w:drawing>
      </w:r>
    </w:p>
    <w:p w14:paraId="5671B6BE">
      <w:pPr>
        <w:pStyle w:val="84"/>
        <w:tabs>
          <w:tab w:val="left" w:pos="0"/>
          <w:tab w:val="left" w:pos="993"/>
          <w:tab w:val="left" w:pos="1134"/>
        </w:tabs>
        <w:ind w:left="420" w:firstLine="420"/>
      </w:pPr>
    </w:p>
    <w:p w14:paraId="637C852B">
      <w:pPr>
        <w:jc w:val="center"/>
        <w:rPr>
          <w:b/>
          <w:sz w:val="52"/>
          <w:szCs w:val="52"/>
        </w:rPr>
      </w:pPr>
    </w:p>
    <w:p w14:paraId="3B0D9CE9">
      <w:pPr>
        <w:rPr>
          <w:b/>
          <w:sz w:val="52"/>
          <w:szCs w:val="52"/>
        </w:rPr>
      </w:pPr>
    </w:p>
    <w:p w14:paraId="14496BC4">
      <w:pPr>
        <w:rPr>
          <w:b/>
          <w:sz w:val="44"/>
          <w:szCs w:val="44"/>
        </w:rPr>
      </w:pPr>
    </w:p>
    <w:p w14:paraId="5FB7FEDD">
      <w:pPr>
        <w:jc w:val="center"/>
        <w:rPr>
          <w:b/>
          <w:sz w:val="44"/>
          <w:szCs w:val="44"/>
        </w:rPr>
      </w:pPr>
    </w:p>
    <w:p w14:paraId="30B95B1F">
      <w:pPr>
        <w:jc w:val="center"/>
        <w:rPr>
          <w:b/>
          <w:sz w:val="44"/>
          <w:szCs w:val="44"/>
        </w:rPr>
      </w:pPr>
      <w:r>
        <w:rPr>
          <w:b/>
          <w:sz w:val="44"/>
          <w:szCs w:val="44"/>
        </w:rPr>
        <w:t>深圳市东海国际招标有限公司</w:t>
      </w:r>
    </w:p>
    <w:p w14:paraId="51E9913F">
      <w:pPr>
        <w:pStyle w:val="84"/>
        <w:tabs>
          <w:tab w:val="left" w:pos="0"/>
          <w:tab w:val="left" w:pos="993"/>
          <w:tab w:val="left" w:pos="1134"/>
        </w:tabs>
        <w:ind w:left="420" w:firstLine="420"/>
      </w:pPr>
    </w:p>
    <w:p w14:paraId="087607B0">
      <w:pPr>
        <w:tabs>
          <w:tab w:val="clear" w:pos="426"/>
        </w:tabs>
        <w:jc w:val="center"/>
        <w:rPr>
          <w:b/>
          <w:sz w:val="32"/>
          <w:szCs w:val="32"/>
        </w:rPr>
      </w:pPr>
      <w:r>
        <w:rPr>
          <w:b/>
          <w:bCs/>
          <w:sz w:val="44"/>
          <w:szCs w:val="44"/>
        </w:rPr>
        <w:t>二〇二</w:t>
      </w:r>
      <w:r>
        <w:rPr>
          <w:rFonts w:hint="eastAsia"/>
          <w:b/>
          <w:bCs/>
          <w:sz w:val="44"/>
          <w:szCs w:val="44"/>
        </w:rPr>
        <w:t>四</w:t>
      </w:r>
      <w:r>
        <w:rPr>
          <w:b/>
          <w:bCs/>
          <w:sz w:val="44"/>
          <w:szCs w:val="44"/>
        </w:rPr>
        <w:t xml:space="preserve">年 </w:t>
      </w:r>
      <w:r>
        <w:rPr>
          <w:b/>
          <w:sz w:val="44"/>
          <w:szCs w:val="44"/>
        </w:rPr>
        <w:t>· 中国深圳</w:t>
      </w:r>
      <w:r>
        <w:br w:type="page"/>
      </w:r>
      <w:r>
        <w:rPr>
          <w:rFonts w:hint="eastAsia"/>
          <w:b/>
          <w:sz w:val="32"/>
          <w:szCs w:val="32"/>
        </w:rPr>
        <w:t>目      录</w:t>
      </w:r>
    </w:p>
    <w:p w14:paraId="3311B0B2">
      <w:pPr>
        <w:tabs>
          <w:tab w:val="clear" w:pos="426"/>
        </w:tabs>
        <w:jc w:val="center"/>
        <w:rPr>
          <w:sz w:val="32"/>
          <w:szCs w:val="32"/>
        </w:rPr>
      </w:pPr>
    </w:p>
    <w:p w14:paraId="48B47AA0">
      <w:pPr>
        <w:pStyle w:val="57"/>
        <w:tabs>
          <w:tab w:val="right" w:leader="dot" w:pos="9354"/>
          <w:tab w:val="clear" w:pos="426"/>
          <w:tab w:val="clear" w:pos="8789"/>
        </w:tabs>
      </w:pPr>
      <w:r>
        <w:fldChar w:fldCharType="begin"/>
      </w:r>
      <w:r>
        <w:instrText xml:space="preserve"> TOC \o "1-3" \h \z \u </w:instrText>
      </w:r>
      <w:r>
        <w:fldChar w:fldCharType="separate"/>
      </w:r>
      <w:r>
        <w:fldChar w:fldCharType="begin"/>
      </w:r>
      <w:r>
        <w:instrText xml:space="preserve"> HYPERLINK \l "_Toc30457" </w:instrText>
      </w:r>
      <w:r>
        <w:fldChar w:fldCharType="separate"/>
      </w:r>
      <w:r>
        <w:rPr>
          <w:rFonts w:hint="eastAsia"/>
          <w:bCs w:val="0"/>
          <w:szCs w:val="36"/>
        </w:rPr>
        <w:t>资格、符合性评审条款</w:t>
      </w:r>
      <w:r>
        <w:tab/>
      </w:r>
      <w:r>
        <w:fldChar w:fldCharType="begin"/>
      </w:r>
      <w:r>
        <w:instrText xml:space="preserve"> PAGEREF _Toc30457 \h </w:instrText>
      </w:r>
      <w:r>
        <w:fldChar w:fldCharType="separate"/>
      </w:r>
      <w:r>
        <w:t>1</w:t>
      </w:r>
      <w:r>
        <w:fldChar w:fldCharType="end"/>
      </w:r>
      <w:r>
        <w:fldChar w:fldCharType="end"/>
      </w:r>
    </w:p>
    <w:p w14:paraId="4ED11D6C">
      <w:pPr>
        <w:pStyle w:val="57"/>
        <w:tabs>
          <w:tab w:val="right" w:leader="dot" w:pos="9354"/>
          <w:tab w:val="clear" w:pos="426"/>
          <w:tab w:val="clear" w:pos="8789"/>
        </w:tabs>
      </w:pPr>
      <w:r>
        <w:fldChar w:fldCharType="begin"/>
      </w:r>
      <w:r>
        <w:instrText xml:space="preserve"> HYPERLINK \l "_Toc5671" </w:instrText>
      </w:r>
      <w:r>
        <w:fldChar w:fldCharType="separate"/>
      </w:r>
      <w:r>
        <w:rPr>
          <w:rFonts w:hint="eastAsia"/>
          <w:bCs w:val="0"/>
          <w:szCs w:val="36"/>
        </w:rPr>
        <w:t>评标信息</w:t>
      </w:r>
      <w:r>
        <w:tab/>
      </w:r>
      <w:r>
        <w:fldChar w:fldCharType="begin"/>
      </w:r>
      <w:r>
        <w:instrText xml:space="preserve"> PAGEREF _Toc5671 \h </w:instrText>
      </w:r>
      <w:r>
        <w:fldChar w:fldCharType="separate"/>
      </w:r>
      <w:r>
        <w:t>2</w:t>
      </w:r>
      <w:r>
        <w:fldChar w:fldCharType="end"/>
      </w:r>
      <w:r>
        <w:fldChar w:fldCharType="end"/>
      </w:r>
    </w:p>
    <w:p w14:paraId="47629525">
      <w:pPr>
        <w:pStyle w:val="57"/>
        <w:tabs>
          <w:tab w:val="right" w:leader="dot" w:pos="9354"/>
          <w:tab w:val="clear" w:pos="426"/>
          <w:tab w:val="clear" w:pos="8789"/>
        </w:tabs>
      </w:pPr>
      <w:r>
        <w:fldChar w:fldCharType="begin"/>
      </w:r>
      <w:r>
        <w:instrText xml:space="preserve"> HYPERLINK \l "_Toc8367" </w:instrText>
      </w:r>
      <w:r>
        <w:fldChar w:fldCharType="separate"/>
      </w:r>
      <w:r>
        <w:rPr>
          <w:rFonts w:hint="eastAsia"/>
        </w:rPr>
        <w:t>第一册专用条款</w:t>
      </w:r>
      <w:r>
        <w:tab/>
      </w:r>
      <w:r>
        <w:fldChar w:fldCharType="begin"/>
      </w:r>
      <w:r>
        <w:instrText xml:space="preserve"> PAGEREF _Toc8367 \h </w:instrText>
      </w:r>
      <w:r>
        <w:fldChar w:fldCharType="separate"/>
      </w:r>
      <w:r>
        <w:t>5</w:t>
      </w:r>
      <w:r>
        <w:fldChar w:fldCharType="end"/>
      </w:r>
      <w:r>
        <w:fldChar w:fldCharType="end"/>
      </w:r>
    </w:p>
    <w:p w14:paraId="2C008F46">
      <w:pPr>
        <w:pStyle w:val="71"/>
        <w:tabs>
          <w:tab w:val="right" w:leader="dot" w:pos="9354"/>
          <w:tab w:val="clear" w:pos="8789"/>
        </w:tabs>
        <w:ind w:left="105"/>
      </w:pPr>
      <w:r>
        <w:fldChar w:fldCharType="begin"/>
      </w:r>
      <w:r>
        <w:instrText xml:space="preserve"> HYPERLINK \l "_Toc7637" </w:instrText>
      </w:r>
      <w:r>
        <w:fldChar w:fldCharType="separate"/>
      </w:r>
      <w:r>
        <w:rPr>
          <w:rFonts w:hint="eastAsia"/>
        </w:rPr>
        <w:t>第一章招标公告</w:t>
      </w:r>
      <w:r>
        <w:tab/>
      </w:r>
      <w:r>
        <w:fldChar w:fldCharType="begin"/>
      </w:r>
      <w:r>
        <w:instrText xml:space="preserve"> PAGEREF _Toc7637 \h </w:instrText>
      </w:r>
      <w:r>
        <w:fldChar w:fldCharType="separate"/>
      </w:r>
      <w:r>
        <w:t>5</w:t>
      </w:r>
      <w:r>
        <w:fldChar w:fldCharType="end"/>
      </w:r>
      <w:r>
        <w:fldChar w:fldCharType="end"/>
      </w:r>
    </w:p>
    <w:p w14:paraId="2C853A4F">
      <w:pPr>
        <w:pStyle w:val="71"/>
        <w:tabs>
          <w:tab w:val="right" w:leader="dot" w:pos="9354"/>
          <w:tab w:val="clear" w:pos="8789"/>
        </w:tabs>
        <w:ind w:left="105"/>
      </w:pPr>
      <w:r>
        <w:fldChar w:fldCharType="begin"/>
      </w:r>
      <w:r>
        <w:instrText xml:space="preserve"> HYPERLINK \l "_Toc4439" </w:instrText>
      </w:r>
      <w:r>
        <w:fldChar w:fldCharType="separate"/>
      </w:r>
      <w:r>
        <w:rPr>
          <w:rFonts w:hint="eastAsia" w:hAnsi="宋体"/>
          <w:bCs/>
          <w:szCs w:val="22"/>
        </w:rPr>
        <w:t>一、项目基本情况</w:t>
      </w:r>
      <w:r>
        <w:tab/>
      </w:r>
      <w:r>
        <w:fldChar w:fldCharType="begin"/>
      </w:r>
      <w:r>
        <w:instrText xml:space="preserve"> PAGEREF _Toc4439 \h </w:instrText>
      </w:r>
      <w:r>
        <w:fldChar w:fldCharType="separate"/>
      </w:r>
      <w:r>
        <w:t>5</w:t>
      </w:r>
      <w:r>
        <w:fldChar w:fldCharType="end"/>
      </w:r>
      <w:r>
        <w:fldChar w:fldCharType="end"/>
      </w:r>
    </w:p>
    <w:p w14:paraId="0E1AC64A">
      <w:pPr>
        <w:pStyle w:val="71"/>
        <w:tabs>
          <w:tab w:val="right" w:leader="dot" w:pos="9354"/>
          <w:tab w:val="clear" w:pos="8789"/>
        </w:tabs>
        <w:ind w:left="105"/>
      </w:pPr>
      <w:r>
        <w:fldChar w:fldCharType="begin"/>
      </w:r>
      <w:r>
        <w:instrText xml:space="preserve"> HYPERLINK \l "_Toc29284" </w:instrText>
      </w:r>
      <w:r>
        <w:fldChar w:fldCharType="separate"/>
      </w:r>
      <w:r>
        <w:rPr>
          <w:rFonts w:hint="eastAsia" w:hAnsi="宋体"/>
          <w:szCs w:val="22"/>
        </w:rPr>
        <w:t>二、申请人资格要求</w:t>
      </w:r>
      <w:r>
        <w:tab/>
      </w:r>
      <w:r>
        <w:fldChar w:fldCharType="begin"/>
      </w:r>
      <w:r>
        <w:instrText xml:space="preserve"> PAGEREF _Toc29284 \h </w:instrText>
      </w:r>
      <w:r>
        <w:fldChar w:fldCharType="separate"/>
      </w:r>
      <w:r>
        <w:t>5</w:t>
      </w:r>
      <w:r>
        <w:fldChar w:fldCharType="end"/>
      </w:r>
      <w:r>
        <w:fldChar w:fldCharType="end"/>
      </w:r>
    </w:p>
    <w:p w14:paraId="3435B357">
      <w:pPr>
        <w:pStyle w:val="71"/>
        <w:tabs>
          <w:tab w:val="right" w:leader="dot" w:pos="9354"/>
          <w:tab w:val="clear" w:pos="8789"/>
        </w:tabs>
        <w:ind w:left="105"/>
      </w:pPr>
      <w:r>
        <w:fldChar w:fldCharType="begin"/>
      </w:r>
      <w:r>
        <w:instrText xml:space="preserve"> HYPERLINK \l "_Toc26421" </w:instrText>
      </w:r>
      <w:r>
        <w:fldChar w:fldCharType="separate"/>
      </w:r>
      <w:r>
        <w:rPr>
          <w:rFonts w:hint="eastAsia" w:hAnsi="宋体"/>
          <w:szCs w:val="22"/>
        </w:rPr>
        <w:t>三、获取招标文件</w:t>
      </w:r>
      <w:r>
        <w:tab/>
      </w:r>
      <w:r>
        <w:fldChar w:fldCharType="begin"/>
      </w:r>
      <w:r>
        <w:instrText xml:space="preserve"> PAGEREF _Toc26421 \h </w:instrText>
      </w:r>
      <w:r>
        <w:fldChar w:fldCharType="separate"/>
      </w:r>
      <w:r>
        <w:t>6</w:t>
      </w:r>
      <w:r>
        <w:fldChar w:fldCharType="end"/>
      </w:r>
      <w:r>
        <w:fldChar w:fldCharType="end"/>
      </w:r>
    </w:p>
    <w:p w14:paraId="0B2DDBC3">
      <w:pPr>
        <w:pStyle w:val="71"/>
        <w:tabs>
          <w:tab w:val="right" w:leader="dot" w:pos="9354"/>
          <w:tab w:val="clear" w:pos="8789"/>
        </w:tabs>
        <w:ind w:left="105"/>
      </w:pPr>
      <w:r>
        <w:fldChar w:fldCharType="begin"/>
      </w:r>
      <w:r>
        <w:instrText xml:space="preserve"> HYPERLINK \l "_Toc8396" </w:instrText>
      </w:r>
      <w:r>
        <w:fldChar w:fldCharType="separate"/>
      </w:r>
      <w:r>
        <w:rPr>
          <w:rFonts w:hint="eastAsia" w:hAnsi="宋体"/>
          <w:szCs w:val="22"/>
        </w:rPr>
        <w:t>四、提交投标文件截止时间、开标时间和地点</w:t>
      </w:r>
      <w:r>
        <w:tab/>
      </w:r>
      <w:r>
        <w:fldChar w:fldCharType="begin"/>
      </w:r>
      <w:r>
        <w:instrText xml:space="preserve"> PAGEREF _Toc8396 \h </w:instrText>
      </w:r>
      <w:r>
        <w:fldChar w:fldCharType="separate"/>
      </w:r>
      <w:r>
        <w:t>7</w:t>
      </w:r>
      <w:r>
        <w:fldChar w:fldCharType="end"/>
      </w:r>
      <w:r>
        <w:fldChar w:fldCharType="end"/>
      </w:r>
    </w:p>
    <w:p w14:paraId="7954826E">
      <w:pPr>
        <w:pStyle w:val="71"/>
        <w:tabs>
          <w:tab w:val="right" w:leader="dot" w:pos="9354"/>
          <w:tab w:val="clear" w:pos="8789"/>
        </w:tabs>
        <w:ind w:left="105"/>
      </w:pPr>
      <w:r>
        <w:fldChar w:fldCharType="begin"/>
      </w:r>
      <w:r>
        <w:instrText xml:space="preserve"> HYPERLINK \l "_Toc19479" </w:instrText>
      </w:r>
      <w:r>
        <w:fldChar w:fldCharType="separate"/>
      </w:r>
      <w:r>
        <w:rPr>
          <w:rFonts w:hint="eastAsia" w:hAnsi="宋体"/>
          <w:szCs w:val="22"/>
        </w:rPr>
        <w:t>五、公告期限</w:t>
      </w:r>
      <w:r>
        <w:tab/>
      </w:r>
      <w:r>
        <w:fldChar w:fldCharType="begin"/>
      </w:r>
      <w:r>
        <w:instrText xml:space="preserve"> PAGEREF _Toc19479 \h </w:instrText>
      </w:r>
      <w:r>
        <w:fldChar w:fldCharType="separate"/>
      </w:r>
      <w:r>
        <w:t>7</w:t>
      </w:r>
      <w:r>
        <w:fldChar w:fldCharType="end"/>
      </w:r>
      <w:r>
        <w:fldChar w:fldCharType="end"/>
      </w:r>
    </w:p>
    <w:p w14:paraId="3A1CB7D0">
      <w:pPr>
        <w:pStyle w:val="71"/>
        <w:tabs>
          <w:tab w:val="right" w:leader="dot" w:pos="9354"/>
          <w:tab w:val="clear" w:pos="8789"/>
        </w:tabs>
        <w:ind w:left="105"/>
      </w:pPr>
      <w:r>
        <w:fldChar w:fldCharType="begin"/>
      </w:r>
      <w:r>
        <w:instrText xml:space="preserve"> HYPERLINK \l "_Toc8562" </w:instrText>
      </w:r>
      <w:r>
        <w:fldChar w:fldCharType="separate"/>
      </w:r>
      <w:r>
        <w:rPr>
          <w:rFonts w:hint="eastAsia" w:hAnsi="宋体"/>
          <w:szCs w:val="22"/>
        </w:rPr>
        <w:t>六、其他补充事宜</w:t>
      </w:r>
      <w:r>
        <w:tab/>
      </w:r>
      <w:r>
        <w:fldChar w:fldCharType="begin"/>
      </w:r>
      <w:r>
        <w:instrText xml:space="preserve"> PAGEREF _Toc8562 \h </w:instrText>
      </w:r>
      <w:r>
        <w:fldChar w:fldCharType="separate"/>
      </w:r>
      <w:r>
        <w:t>7</w:t>
      </w:r>
      <w:r>
        <w:fldChar w:fldCharType="end"/>
      </w:r>
      <w:r>
        <w:fldChar w:fldCharType="end"/>
      </w:r>
    </w:p>
    <w:p w14:paraId="7AC47828">
      <w:pPr>
        <w:pStyle w:val="71"/>
        <w:tabs>
          <w:tab w:val="right" w:leader="dot" w:pos="9354"/>
          <w:tab w:val="clear" w:pos="8789"/>
        </w:tabs>
        <w:ind w:left="105"/>
      </w:pPr>
      <w:r>
        <w:fldChar w:fldCharType="begin"/>
      </w:r>
      <w:r>
        <w:instrText xml:space="preserve"> HYPERLINK \l "_Toc28932" </w:instrText>
      </w:r>
      <w:r>
        <w:fldChar w:fldCharType="separate"/>
      </w:r>
      <w:r>
        <w:rPr>
          <w:rFonts w:hint="eastAsia" w:cs="Times New Roman"/>
        </w:rPr>
        <w:t>第二章投标须知前附表</w:t>
      </w:r>
      <w:r>
        <w:tab/>
      </w:r>
      <w:r>
        <w:fldChar w:fldCharType="begin"/>
      </w:r>
      <w:r>
        <w:instrText xml:space="preserve"> PAGEREF _Toc28932 \h </w:instrText>
      </w:r>
      <w:r>
        <w:fldChar w:fldCharType="separate"/>
      </w:r>
      <w:r>
        <w:t>9</w:t>
      </w:r>
      <w:r>
        <w:fldChar w:fldCharType="end"/>
      </w:r>
      <w:r>
        <w:fldChar w:fldCharType="end"/>
      </w:r>
    </w:p>
    <w:p w14:paraId="5E428F50">
      <w:pPr>
        <w:pStyle w:val="71"/>
        <w:tabs>
          <w:tab w:val="right" w:leader="dot" w:pos="9354"/>
          <w:tab w:val="clear" w:pos="8789"/>
        </w:tabs>
        <w:ind w:left="105"/>
      </w:pPr>
      <w:r>
        <w:fldChar w:fldCharType="begin"/>
      </w:r>
      <w:r>
        <w:instrText xml:space="preserve"> HYPERLINK \l "_Toc21445" </w:instrText>
      </w:r>
      <w:r>
        <w:fldChar w:fldCharType="separate"/>
      </w:r>
      <w:r>
        <w:rPr>
          <w:rFonts w:hint="eastAsia"/>
        </w:rPr>
        <w:t>第三章项目需求</w:t>
      </w:r>
      <w:r>
        <w:tab/>
      </w:r>
      <w:r>
        <w:fldChar w:fldCharType="begin"/>
      </w:r>
      <w:r>
        <w:instrText xml:space="preserve"> PAGEREF _Toc21445 \h </w:instrText>
      </w:r>
      <w:r>
        <w:fldChar w:fldCharType="separate"/>
      </w:r>
      <w:r>
        <w:t>10</w:t>
      </w:r>
      <w:r>
        <w:fldChar w:fldCharType="end"/>
      </w:r>
      <w:r>
        <w:fldChar w:fldCharType="end"/>
      </w:r>
    </w:p>
    <w:p w14:paraId="3A80E8C6">
      <w:pPr>
        <w:pStyle w:val="43"/>
        <w:tabs>
          <w:tab w:val="right" w:leader="dot" w:pos="9354"/>
          <w:tab w:val="clear" w:pos="426"/>
        </w:tabs>
      </w:pPr>
      <w:r>
        <w:fldChar w:fldCharType="begin"/>
      </w:r>
      <w:r>
        <w:instrText xml:space="preserve"> HYPERLINK \l "_Toc10329" </w:instrText>
      </w:r>
      <w:r>
        <w:fldChar w:fldCharType="separate"/>
      </w:r>
      <w:r>
        <w:rPr>
          <w:rFonts w:hint="eastAsia"/>
        </w:rPr>
        <w:t>一、货物清单</w:t>
      </w:r>
      <w:r>
        <w:tab/>
      </w:r>
      <w:r>
        <w:fldChar w:fldCharType="begin"/>
      </w:r>
      <w:r>
        <w:instrText xml:space="preserve"> PAGEREF _Toc10329 \h </w:instrText>
      </w:r>
      <w:r>
        <w:fldChar w:fldCharType="separate"/>
      </w:r>
      <w:r>
        <w:t>10</w:t>
      </w:r>
      <w:r>
        <w:fldChar w:fldCharType="end"/>
      </w:r>
      <w:r>
        <w:fldChar w:fldCharType="end"/>
      </w:r>
    </w:p>
    <w:p w14:paraId="7E6EBF4E">
      <w:pPr>
        <w:pStyle w:val="43"/>
        <w:tabs>
          <w:tab w:val="right" w:leader="dot" w:pos="9354"/>
          <w:tab w:val="clear" w:pos="426"/>
        </w:tabs>
      </w:pPr>
      <w:r>
        <w:fldChar w:fldCharType="begin"/>
      </w:r>
      <w:r>
        <w:instrText xml:space="preserve"> HYPERLINK \l "_Toc31235" </w:instrText>
      </w:r>
      <w:r>
        <w:fldChar w:fldCharType="separate"/>
      </w:r>
      <w:r>
        <w:rPr>
          <w:rFonts w:hint="eastAsia"/>
        </w:rPr>
        <w:t>二、实质性响应条款</w:t>
      </w:r>
      <w:r>
        <w:tab/>
      </w:r>
      <w:r>
        <w:fldChar w:fldCharType="begin"/>
      </w:r>
      <w:r>
        <w:instrText xml:space="preserve"> PAGEREF _Toc31235 \h </w:instrText>
      </w:r>
      <w:r>
        <w:fldChar w:fldCharType="separate"/>
      </w:r>
      <w:r>
        <w:t>11</w:t>
      </w:r>
      <w:r>
        <w:fldChar w:fldCharType="end"/>
      </w:r>
      <w:r>
        <w:fldChar w:fldCharType="end"/>
      </w:r>
    </w:p>
    <w:p w14:paraId="79AE0932">
      <w:pPr>
        <w:pStyle w:val="43"/>
        <w:tabs>
          <w:tab w:val="right" w:leader="dot" w:pos="9354"/>
          <w:tab w:val="clear" w:pos="426"/>
        </w:tabs>
      </w:pPr>
      <w:r>
        <w:fldChar w:fldCharType="begin"/>
      </w:r>
      <w:r>
        <w:instrText xml:space="preserve"> HYPERLINK \l "_Toc1285" </w:instrText>
      </w:r>
      <w:r>
        <w:fldChar w:fldCharType="separate"/>
      </w:r>
      <w:r>
        <w:rPr>
          <w:rFonts w:hint="eastAsia" w:cs="Times New Roman"/>
        </w:rPr>
        <w:t>三、技术参数要求</w:t>
      </w:r>
      <w:r>
        <w:tab/>
      </w:r>
      <w:r>
        <w:fldChar w:fldCharType="begin"/>
      </w:r>
      <w:r>
        <w:instrText xml:space="preserve"> PAGEREF _Toc1285 \h </w:instrText>
      </w:r>
      <w:r>
        <w:fldChar w:fldCharType="separate"/>
      </w:r>
      <w:r>
        <w:t>12</w:t>
      </w:r>
      <w:r>
        <w:fldChar w:fldCharType="end"/>
      </w:r>
      <w:r>
        <w:fldChar w:fldCharType="end"/>
      </w:r>
    </w:p>
    <w:p w14:paraId="24A3B8BB">
      <w:pPr>
        <w:pStyle w:val="43"/>
        <w:tabs>
          <w:tab w:val="right" w:leader="dot" w:pos="9354"/>
          <w:tab w:val="clear" w:pos="426"/>
        </w:tabs>
      </w:pPr>
      <w:r>
        <w:fldChar w:fldCharType="begin"/>
      </w:r>
      <w:r>
        <w:instrText xml:space="preserve"> HYPERLINK \l "_Toc22898" </w:instrText>
      </w:r>
      <w:r>
        <w:fldChar w:fldCharType="separate"/>
      </w:r>
      <w:r>
        <w:rPr>
          <w:rFonts w:hint="eastAsia"/>
        </w:rPr>
        <w:t>五、商务要求</w:t>
      </w:r>
      <w:r>
        <w:tab/>
      </w:r>
      <w:r>
        <w:fldChar w:fldCharType="begin"/>
      </w:r>
      <w:r>
        <w:instrText xml:space="preserve"> PAGEREF _Toc22898 \h </w:instrText>
      </w:r>
      <w:r>
        <w:fldChar w:fldCharType="separate"/>
      </w:r>
      <w:r>
        <w:t>19</w:t>
      </w:r>
      <w:r>
        <w:fldChar w:fldCharType="end"/>
      </w:r>
      <w:r>
        <w:fldChar w:fldCharType="end"/>
      </w:r>
    </w:p>
    <w:p w14:paraId="37F29143">
      <w:pPr>
        <w:pStyle w:val="43"/>
        <w:tabs>
          <w:tab w:val="right" w:leader="dot" w:pos="9354"/>
          <w:tab w:val="clear" w:pos="426"/>
        </w:tabs>
      </w:pPr>
      <w:r>
        <w:fldChar w:fldCharType="begin"/>
      </w:r>
      <w:r>
        <w:instrText xml:space="preserve"> HYPERLINK \l "_Toc23424" </w:instrText>
      </w:r>
      <w:r>
        <w:fldChar w:fldCharType="separate"/>
      </w:r>
      <w:r>
        <w:rPr>
          <w:rFonts w:hint="eastAsia"/>
        </w:rPr>
        <w:t>六、政策导向</w:t>
      </w:r>
      <w:r>
        <w:tab/>
      </w:r>
      <w:r>
        <w:fldChar w:fldCharType="begin"/>
      </w:r>
      <w:r>
        <w:instrText xml:space="preserve"> PAGEREF _Toc23424 \h </w:instrText>
      </w:r>
      <w:r>
        <w:fldChar w:fldCharType="separate"/>
      </w:r>
      <w:r>
        <w:t>20</w:t>
      </w:r>
      <w:r>
        <w:fldChar w:fldCharType="end"/>
      </w:r>
      <w:r>
        <w:fldChar w:fldCharType="end"/>
      </w:r>
    </w:p>
    <w:p w14:paraId="6FBB7B13">
      <w:pPr>
        <w:pStyle w:val="71"/>
        <w:tabs>
          <w:tab w:val="right" w:leader="dot" w:pos="9354"/>
          <w:tab w:val="clear" w:pos="8789"/>
        </w:tabs>
        <w:ind w:left="105"/>
      </w:pPr>
      <w:r>
        <w:fldChar w:fldCharType="begin"/>
      </w:r>
      <w:r>
        <w:instrText xml:space="preserve"> HYPERLINK \l "_Toc30795" </w:instrText>
      </w:r>
      <w:r>
        <w:fldChar w:fldCharType="separate"/>
      </w:r>
      <w:r>
        <w:rPr>
          <w:rFonts w:hint="eastAsia"/>
        </w:rPr>
        <w:t>第四章采购合同的签订、履约及验收</w:t>
      </w:r>
      <w:r>
        <w:tab/>
      </w:r>
      <w:r>
        <w:fldChar w:fldCharType="begin"/>
      </w:r>
      <w:r>
        <w:instrText xml:space="preserve"> PAGEREF _Toc30795 \h </w:instrText>
      </w:r>
      <w:r>
        <w:fldChar w:fldCharType="separate"/>
      </w:r>
      <w:r>
        <w:t>22</w:t>
      </w:r>
      <w:r>
        <w:fldChar w:fldCharType="end"/>
      </w:r>
      <w:r>
        <w:fldChar w:fldCharType="end"/>
      </w:r>
    </w:p>
    <w:p w14:paraId="066D698A">
      <w:pPr>
        <w:pStyle w:val="71"/>
        <w:tabs>
          <w:tab w:val="right" w:leader="dot" w:pos="9354"/>
          <w:tab w:val="clear" w:pos="8789"/>
        </w:tabs>
        <w:ind w:left="105"/>
      </w:pPr>
      <w:r>
        <w:fldChar w:fldCharType="begin"/>
      </w:r>
      <w:r>
        <w:instrText xml:space="preserve"> HYPERLINK \l "_Toc5884" </w:instrText>
      </w:r>
      <w:r>
        <w:fldChar w:fldCharType="separate"/>
      </w:r>
      <w:r>
        <w:rPr>
          <w:rFonts w:hint="eastAsia"/>
        </w:rPr>
        <w:t>第五章投标文件格式、附件</w:t>
      </w:r>
      <w:r>
        <w:tab/>
      </w:r>
      <w:r>
        <w:fldChar w:fldCharType="begin"/>
      </w:r>
      <w:r>
        <w:instrText xml:space="preserve"> PAGEREF _Toc5884 \h </w:instrText>
      </w:r>
      <w:r>
        <w:fldChar w:fldCharType="separate"/>
      </w:r>
      <w:r>
        <w:t>28</w:t>
      </w:r>
      <w:r>
        <w:fldChar w:fldCharType="end"/>
      </w:r>
      <w:r>
        <w:fldChar w:fldCharType="end"/>
      </w:r>
    </w:p>
    <w:p w14:paraId="2E767A52">
      <w:pPr>
        <w:pStyle w:val="71"/>
        <w:tabs>
          <w:tab w:val="right" w:leader="dot" w:pos="9354"/>
          <w:tab w:val="clear" w:pos="8789"/>
        </w:tabs>
        <w:ind w:left="105"/>
      </w:pPr>
      <w:r>
        <w:fldChar w:fldCharType="begin"/>
      </w:r>
      <w:r>
        <w:instrText xml:space="preserve"> HYPERLINK \l "_Toc10564" </w:instrText>
      </w:r>
      <w:r>
        <w:fldChar w:fldCharType="separate"/>
      </w:r>
      <w:r>
        <w:rPr>
          <w:rFonts w:hint="eastAsia"/>
          <w:bCs/>
          <w:szCs w:val="32"/>
        </w:rPr>
        <w:t>附件1：开标文件</w:t>
      </w:r>
      <w:r>
        <w:tab/>
      </w:r>
      <w:r>
        <w:fldChar w:fldCharType="begin"/>
      </w:r>
      <w:r>
        <w:instrText xml:space="preserve"> PAGEREF _Toc10564 \h </w:instrText>
      </w:r>
      <w:r>
        <w:fldChar w:fldCharType="separate"/>
      </w:r>
      <w:r>
        <w:t>29</w:t>
      </w:r>
      <w:r>
        <w:fldChar w:fldCharType="end"/>
      </w:r>
      <w:r>
        <w:fldChar w:fldCharType="end"/>
      </w:r>
    </w:p>
    <w:p w14:paraId="123F758E">
      <w:pPr>
        <w:pStyle w:val="71"/>
        <w:tabs>
          <w:tab w:val="right" w:leader="dot" w:pos="9354"/>
          <w:tab w:val="clear" w:pos="8789"/>
        </w:tabs>
        <w:ind w:left="105"/>
      </w:pPr>
      <w:r>
        <w:fldChar w:fldCharType="begin"/>
      </w:r>
      <w:r>
        <w:instrText xml:space="preserve"> HYPERLINK \l "_Toc12359" </w:instrText>
      </w:r>
      <w:r>
        <w:fldChar w:fldCharType="separate"/>
      </w:r>
      <w:r>
        <w:rPr>
          <w:szCs w:val="32"/>
        </w:rPr>
        <w:t>附件2、投标文件</w:t>
      </w:r>
      <w:r>
        <w:tab/>
      </w:r>
      <w:r>
        <w:fldChar w:fldCharType="begin"/>
      </w:r>
      <w:r>
        <w:instrText xml:space="preserve"> PAGEREF _Toc12359 \h </w:instrText>
      </w:r>
      <w:r>
        <w:fldChar w:fldCharType="separate"/>
      </w:r>
      <w:r>
        <w:t>33</w:t>
      </w:r>
      <w:r>
        <w:fldChar w:fldCharType="end"/>
      </w:r>
      <w:r>
        <w:fldChar w:fldCharType="end"/>
      </w:r>
    </w:p>
    <w:p w14:paraId="278D934B">
      <w:pPr>
        <w:pStyle w:val="57"/>
        <w:tabs>
          <w:tab w:val="right" w:leader="dot" w:pos="9354"/>
          <w:tab w:val="clear" w:pos="426"/>
          <w:tab w:val="clear" w:pos="8789"/>
        </w:tabs>
      </w:pPr>
      <w:r>
        <w:fldChar w:fldCharType="begin"/>
      </w:r>
      <w:r>
        <w:instrText xml:space="preserve"> HYPERLINK \l "_Toc4584" </w:instrText>
      </w:r>
      <w:r>
        <w:fldChar w:fldCharType="separate"/>
      </w:r>
      <w:r>
        <w:rPr>
          <w:rFonts w:hint="eastAsia"/>
        </w:rPr>
        <w:t>第二册通用条款</w:t>
      </w:r>
      <w:r>
        <w:tab/>
      </w:r>
      <w:r>
        <w:fldChar w:fldCharType="begin"/>
      </w:r>
      <w:r>
        <w:instrText xml:space="preserve"> PAGEREF _Toc4584 \h </w:instrText>
      </w:r>
      <w:r>
        <w:fldChar w:fldCharType="separate"/>
      </w:r>
      <w:r>
        <w:t>62</w:t>
      </w:r>
      <w:r>
        <w:fldChar w:fldCharType="end"/>
      </w:r>
      <w:r>
        <w:fldChar w:fldCharType="end"/>
      </w:r>
    </w:p>
    <w:p w14:paraId="7D585B64">
      <w:pPr>
        <w:pStyle w:val="71"/>
        <w:tabs>
          <w:tab w:val="right" w:leader="dot" w:pos="9354"/>
          <w:tab w:val="clear" w:pos="8789"/>
        </w:tabs>
        <w:ind w:left="105"/>
      </w:pPr>
      <w:r>
        <w:fldChar w:fldCharType="begin"/>
      </w:r>
      <w:r>
        <w:instrText xml:space="preserve"> HYPERLINK \l "_Toc9983" </w:instrText>
      </w:r>
      <w:r>
        <w:fldChar w:fldCharType="separate"/>
      </w:r>
      <w:r>
        <w:rPr>
          <w:rFonts w:hint="eastAsia" w:hAnsi="宋体"/>
          <w:szCs w:val="22"/>
        </w:rPr>
        <w:t>第一章总则</w:t>
      </w:r>
      <w:r>
        <w:tab/>
      </w:r>
      <w:r>
        <w:fldChar w:fldCharType="begin"/>
      </w:r>
      <w:r>
        <w:instrText xml:space="preserve"> PAGEREF _Toc9983 \h </w:instrText>
      </w:r>
      <w:r>
        <w:fldChar w:fldCharType="separate"/>
      </w:r>
      <w:r>
        <w:t>62</w:t>
      </w:r>
      <w:r>
        <w:fldChar w:fldCharType="end"/>
      </w:r>
      <w:r>
        <w:fldChar w:fldCharType="end"/>
      </w:r>
    </w:p>
    <w:p w14:paraId="41B6FF8B">
      <w:pPr>
        <w:pStyle w:val="71"/>
        <w:tabs>
          <w:tab w:val="right" w:leader="dot" w:pos="9354"/>
          <w:tab w:val="clear" w:pos="8789"/>
        </w:tabs>
        <w:ind w:left="105"/>
      </w:pPr>
      <w:r>
        <w:fldChar w:fldCharType="begin"/>
      </w:r>
      <w:r>
        <w:instrText xml:space="preserve"> HYPERLINK \l "_Toc13481" </w:instrText>
      </w:r>
      <w:r>
        <w:fldChar w:fldCharType="separate"/>
      </w:r>
      <w:r>
        <w:rPr>
          <w:rFonts w:hint="eastAsia" w:hAnsi="宋体"/>
          <w:szCs w:val="22"/>
        </w:rPr>
        <w:t>第二章招标文件</w:t>
      </w:r>
      <w:r>
        <w:tab/>
      </w:r>
      <w:r>
        <w:fldChar w:fldCharType="begin"/>
      </w:r>
      <w:r>
        <w:instrText xml:space="preserve"> PAGEREF _Toc13481 \h </w:instrText>
      </w:r>
      <w:r>
        <w:fldChar w:fldCharType="separate"/>
      </w:r>
      <w:r>
        <w:t>64</w:t>
      </w:r>
      <w:r>
        <w:fldChar w:fldCharType="end"/>
      </w:r>
      <w:r>
        <w:fldChar w:fldCharType="end"/>
      </w:r>
    </w:p>
    <w:p w14:paraId="247646D9">
      <w:pPr>
        <w:pStyle w:val="71"/>
        <w:tabs>
          <w:tab w:val="right" w:leader="dot" w:pos="9354"/>
          <w:tab w:val="clear" w:pos="8789"/>
        </w:tabs>
        <w:ind w:left="105"/>
      </w:pPr>
      <w:r>
        <w:fldChar w:fldCharType="begin"/>
      </w:r>
      <w:r>
        <w:instrText xml:space="preserve"> HYPERLINK \l "_Toc3084" </w:instrText>
      </w:r>
      <w:r>
        <w:fldChar w:fldCharType="separate"/>
      </w:r>
      <w:r>
        <w:rPr>
          <w:rFonts w:hint="eastAsia" w:hAnsi="宋体"/>
          <w:szCs w:val="22"/>
        </w:rPr>
        <w:t>第三章投标文件的编制与递交</w:t>
      </w:r>
      <w:r>
        <w:tab/>
      </w:r>
      <w:r>
        <w:fldChar w:fldCharType="begin"/>
      </w:r>
      <w:r>
        <w:instrText xml:space="preserve"> PAGEREF _Toc3084 \h </w:instrText>
      </w:r>
      <w:r>
        <w:fldChar w:fldCharType="separate"/>
      </w:r>
      <w:r>
        <w:t>65</w:t>
      </w:r>
      <w:r>
        <w:fldChar w:fldCharType="end"/>
      </w:r>
      <w:r>
        <w:fldChar w:fldCharType="end"/>
      </w:r>
    </w:p>
    <w:p w14:paraId="6888B404">
      <w:pPr>
        <w:pStyle w:val="71"/>
        <w:tabs>
          <w:tab w:val="right" w:leader="dot" w:pos="9354"/>
          <w:tab w:val="clear" w:pos="8789"/>
        </w:tabs>
        <w:ind w:left="105"/>
      </w:pPr>
      <w:r>
        <w:fldChar w:fldCharType="begin"/>
      </w:r>
      <w:r>
        <w:instrText xml:space="preserve"> HYPERLINK \l "_Toc3890" </w:instrText>
      </w:r>
      <w:r>
        <w:fldChar w:fldCharType="separate"/>
      </w:r>
      <w:r>
        <w:rPr>
          <w:rFonts w:hint="eastAsia" w:hAnsi="宋体"/>
          <w:szCs w:val="22"/>
        </w:rPr>
        <w:t>第四章开标</w:t>
      </w:r>
      <w:r>
        <w:tab/>
      </w:r>
      <w:r>
        <w:fldChar w:fldCharType="begin"/>
      </w:r>
      <w:r>
        <w:instrText xml:space="preserve"> PAGEREF _Toc3890 \h </w:instrText>
      </w:r>
      <w:r>
        <w:fldChar w:fldCharType="separate"/>
      </w:r>
      <w:r>
        <w:t>69</w:t>
      </w:r>
      <w:r>
        <w:fldChar w:fldCharType="end"/>
      </w:r>
      <w:r>
        <w:fldChar w:fldCharType="end"/>
      </w:r>
    </w:p>
    <w:p w14:paraId="5F6EFEB4">
      <w:pPr>
        <w:pStyle w:val="71"/>
        <w:tabs>
          <w:tab w:val="right" w:leader="dot" w:pos="9354"/>
          <w:tab w:val="clear" w:pos="8789"/>
        </w:tabs>
        <w:ind w:left="105"/>
      </w:pPr>
      <w:r>
        <w:fldChar w:fldCharType="begin"/>
      </w:r>
      <w:r>
        <w:instrText xml:space="preserve"> HYPERLINK \l "_Toc2686" </w:instrText>
      </w:r>
      <w:r>
        <w:fldChar w:fldCharType="separate"/>
      </w:r>
      <w:r>
        <w:rPr>
          <w:rFonts w:hint="eastAsia" w:hAnsi="宋体"/>
          <w:szCs w:val="22"/>
        </w:rPr>
        <w:t>第五章评标要求</w:t>
      </w:r>
      <w:r>
        <w:tab/>
      </w:r>
      <w:r>
        <w:fldChar w:fldCharType="begin"/>
      </w:r>
      <w:r>
        <w:instrText xml:space="preserve"> PAGEREF _Toc2686 \h </w:instrText>
      </w:r>
      <w:r>
        <w:fldChar w:fldCharType="separate"/>
      </w:r>
      <w:r>
        <w:t>70</w:t>
      </w:r>
      <w:r>
        <w:fldChar w:fldCharType="end"/>
      </w:r>
      <w:r>
        <w:fldChar w:fldCharType="end"/>
      </w:r>
    </w:p>
    <w:p w14:paraId="402E25E5">
      <w:pPr>
        <w:pStyle w:val="71"/>
        <w:tabs>
          <w:tab w:val="right" w:leader="dot" w:pos="9354"/>
          <w:tab w:val="clear" w:pos="8789"/>
        </w:tabs>
        <w:ind w:left="105"/>
      </w:pPr>
      <w:r>
        <w:fldChar w:fldCharType="begin"/>
      </w:r>
      <w:r>
        <w:instrText xml:space="preserve"> HYPERLINK \l "_Toc26702" </w:instrText>
      </w:r>
      <w:r>
        <w:fldChar w:fldCharType="separate"/>
      </w:r>
      <w:r>
        <w:rPr>
          <w:rFonts w:hint="eastAsia" w:hAnsi="宋体"/>
          <w:szCs w:val="22"/>
        </w:rPr>
        <w:t>第六章评标程序及评标方法</w:t>
      </w:r>
      <w:r>
        <w:tab/>
      </w:r>
      <w:r>
        <w:fldChar w:fldCharType="begin"/>
      </w:r>
      <w:r>
        <w:instrText xml:space="preserve"> PAGEREF _Toc26702 \h </w:instrText>
      </w:r>
      <w:r>
        <w:fldChar w:fldCharType="separate"/>
      </w:r>
      <w:r>
        <w:t>70</w:t>
      </w:r>
      <w:r>
        <w:fldChar w:fldCharType="end"/>
      </w:r>
      <w:r>
        <w:fldChar w:fldCharType="end"/>
      </w:r>
    </w:p>
    <w:p w14:paraId="45708840">
      <w:pPr>
        <w:pStyle w:val="71"/>
        <w:tabs>
          <w:tab w:val="right" w:leader="dot" w:pos="9354"/>
          <w:tab w:val="clear" w:pos="8789"/>
        </w:tabs>
        <w:ind w:left="105"/>
      </w:pPr>
      <w:r>
        <w:fldChar w:fldCharType="begin"/>
      </w:r>
      <w:r>
        <w:instrText xml:space="preserve"> HYPERLINK \l "_Toc1522" </w:instrText>
      </w:r>
      <w:r>
        <w:fldChar w:fldCharType="separate"/>
      </w:r>
      <w:r>
        <w:rPr>
          <w:rFonts w:hint="eastAsia" w:hAnsi="宋体"/>
          <w:szCs w:val="22"/>
        </w:rPr>
        <w:t>第七章定标及公示</w:t>
      </w:r>
      <w:r>
        <w:tab/>
      </w:r>
      <w:r>
        <w:fldChar w:fldCharType="begin"/>
      </w:r>
      <w:r>
        <w:instrText xml:space="preserve"> PAGEREF _Toc1522 \h </w:instrText>
      </w:r>
      <w:r>
        <w:fldChar w:fldCharType="separate"/>
      </w:r>
      <w:r>
        <w:t>74</w:t>
      </w:r>
      <w:r>
        <w:fldChar w:fldCharType="end"/>
      </w:r>
      <w:r>
        <w:fldChar w:fldCharType="end"/>
      </w:r>
    </w:p>
    <w:p w14:paraId="0927D2B9">
      <w:pPr>
        <w:pStyle w:val="71"/>
        <w:tabs>
          <w:tab w:val="right" w:leader="dot" w:pos="9354"/>
          <w:tab w:val="clear" w:pos="8789"/>
        </w:tabs>
        <w:ind w:left="105"/>
      </w:pPr>
      <w:r>
        <w:fldChar w:fldCharType="begin"/>
      </w:r>
      <w:r>
        <w:instrText xml:space="preserve"> HYPERLINK \l "_Toc21816" </w:instrText>
      </w:r>
      <w:r>
        <w:fldChar w:fldCharType="separate"/>
      </w:r>
      <w:r>
        <w:rPr>
          <w:rFonts w:hint="eastAsia" w:hAnsi="宋体"/>
          <w:szCs w:val="22"/>
        </w:rPr>
        <w:t>第八章公开招标失败的后续处理</w:t>
      </w:r>
      <w:r>
        <w:tab/>
      </w:r>
      <w:r>
        <w:fldChar w:fldCharType="begin"/>
      </w:r>
      <w:r>
        <w:instrText xml:space="preserve"> PAGEREF _Toc21816 \h </w:instrText>
      </w:r>
      <w:r>
        <w:fldChar w:fldCharType="separate"/>
      </w:r>
      <w:r>
        <w:t>75</w:t>
      </w:r>
      <w:r>
        <w:fldChar w:fldCharType="end"/>
      </w:r>
      <w:r>
        <w:fldChar w:fldCharType="end"/>
      </w:r>
    </w:p>
    <w:p w14:paraId="57CBC405">
      <w:pPr>
        <w:pStyle w:val="71"/>
        <w:tabs>
          <w:tab w:val="right" w:leader="dot" w:pos="9354"/>
          <w:tab w:val="clear" w:pos="8789"/>
        </w:tabs>
        <w:ind w:left="105"/>
      </w:pPr>
      <w:r>
        <w:fldChar w:fldCharType="begin"/>
      </w:r>
      <w:r>
        <w:instrText xml:space="preserve"> HYPERLINK \l "_Toc18049" </w:instrText>
      </w:r>
      <w:r>
        <w:fldChar w:fldCharType="separate"/>
      </w:r>
      <w:r>
        <w:rPr>
          <w:rFonts w:hint="eastAsia" w:hAnsi="宋体"/>
          <w:szCs w:val="22"/>
        </w:rPr>
        <w:t>第九章合同的授予与备案</w:t>
      </w:r>
      <w:r>
        <w:tab/>
      </w:r>
      <w:r>
        <w:fldChar w:fldCharType="begin"/>
      </w:r>
      <w:r>
        <w:instrText xml:space="preserve"> PAGEREF _Toc18049 \h </w:instrText>
      </w:r>
      <w:r>
        <w:fldChar w:fldCharType="separate"/>
      </w:r>
      <w:r>
        <w:t>78</w:t>
      </w:r>
      <w:r>
        <w:fldChar w:fldCharType="end"/>
      </w:r>
      <w:r>
        <w:fldChar w:fldCharType="end"/>
      </w:r>
    </w:p>
    <w:p w14:paraId="3F2BD23A">
      <w:pPr>
        <w:pStyle w:val="71"/>
        <w:tabs>
          <w:tab w:val="right" w:leader="dot" w:pos="9354"/>
          <w:tab w:val="clear" w:pos="8789"/>
        </w:tabs>
        <w:ind w:left="105"/>
      </w:pPr>
      <w:r>
        <w:fldChar w:fldCharType="begin"/>
      </w:r>
      <w:r>
        <w:instrText xml:space="preserve"> HYPERLINK \l "_Toc3658" </w:instrText>
      </w:r>
      <w:r>
        <w:fldChar w:fldCharType="separate"/>
      </w:r>
      <w:r>
        <w:rPr>
          <w:rFonts w:hint="eastAsia" w:hAnsi="宋体"/>
          <w:szCs w:val="22"/>
        </w:rPr>
        <w:t>第十章质疑受理</w:t>
      </w:r>
      <w:r>
        <w:tab/>
      </w:r>
      <w:r>
        <w:fldChar w:fldCharType="begin"/>
      </w:r>
      <w:r>
        <w:instrText xml:space="preserve"> PAGEREF _Toc3658 \h </w:instrText>
      </w:r>
      <w:r>
        <w:fldChar w:fldCharType="separate"/>
      </w:r>
      <w:r>
        <w:t>78</w:t>
      </w:r>
      <w:r>
        <w:fldChar w:fldCharType="end"/>
      </w:r>
      <w:r>
        <w:fldChar w:fldCharType="end"/>
      </w:r>
    </w:p>
    <w:p w14:paraId="6E546E91">
      <w:pPr>
        <w:tabs>
          <w:tab w:val="right" w:leader="dot" w:pos="8820"/>
          <w:tab w:val="right" w:leader="dot" w:pos="9240"/>
          <w:tab w:val="clear" w:pos="426"/>
        </w:tabs>
        <w:sectPr>
          <w:footerReference r:id="rId5" w:type="even"/>
          <w:pgSz w:w="11906" w:h="16838"/>
          <w:pgMar w:top="1134" w:right="1134" w:bottom="1134" w:left="1418" w:header="851" w:footer="992" w:gutter="0"/>
          <w:pgBorders>
            <w:top w:val="none" w:sz="0" w:space="0"/>
            <w:left w:val="none" w:sz="0" w:space="0"/>
            <w:bottom w:val="none" w:sz="0" w:space="0"/>
            <w:right w:val="none" w:sz="0" w:space="0"/>
          </w:pgBorders>
          <w:pgNumType w:start="0"/>
          <w:cols w:space="720" w:num="1"/>
          <w:titlePg/>
          <w:docGrid w:linePitch="462" w:charSpace="0"/>
        </w:sectPr>
      </w:pPr>
      <w:r>
        <w:rPr>
          <w:smallCaps/>
        </w:rPr>
        <w:fldChar w:fldCharType="end"/>
      </w:r>
    </w:p>
    <w:p w14:paraId="452D491C">
      <w:pPr>
        <w:pStyle w:val="62"/>
        <w:widowControl w:val="0"/>
        <w:shd w:val="clear" w:color="auto" w:fill="auto"/>
        <w:tabs>
          <w:tab w:val="clear" w:pos="426"/>
        </w:tabs>
        <w:adjustRightInd/>
        <w:snapToGrid/>
        <w:outlineLvl w:val="0"/>
        <w:rPr>
          <w:rFonts w:ascii="宋体"/>
          <w:bCs w:val="0"/>
          <w:sz w:val="36"/>
          <w:szCs w:val="36"/>
        </w:rPr>
      </w:pPr>
    </w:p>
    <w:p w14:paraId="755A9C3F">
      <w:pPr>
        <w:pStyle w:val="62"/>
        <w:widowControl w:val="0"/>
        <w:shd w:val="clear" w:color="auto" w:fill="auto"/>
        <w:tabs>
          <w:tab w:val="clear" w:pos="426"/>
        </w:tabs>
        <w:adjustRightInd/>
        <w:snapToGrid/>
        <w:outlineLvl w:val="0"/>
        <w:rPr>
          <w:rFonts w:ascii="宋体"/>
          <w:bCs w:val="0"/>
          <w:sz w:val="36"/>
          <w:szCs w:val="36"/>
        </w:rPr>
      </w:pPr>
      <w:bookmarkStart w:id="0" w:name="_Toc30457"/>
      <w:r>
        <w:rPr>
          <w:rFonts w:hint="eastAsia" w:ascii="宋体"/>
          <w:bCs w:val="0"/>
          <w:sz w:val="36"/>
          <w:szCs w:val="36"/>
        </w:rPr>
        <w:t>资格、符合性评审条款</w:t>
      </w:r>
      <w:bookmarkEnd w:id="0"/>
    </w:p>
    <w:tbl>
      <w:tblPr>
        <w:tblStyle w:val="8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8445"/>
      </w:tblGrid>
      <w:tr w14:paraId="347EA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0291E5D">
            <w:pPr>
              <w:spacing w:line="360" w:lineRule="exact"/>
              <w:jc w:val="center"/>
              <w:rPr>
                <w:sz w:val="22"/>
              </w:rPr>
            </w:pPr>
            <w:r>
              <w:rPr>
                <w:rFonts w:hint="eastAsia" w:hAnsi="宋体"/>
                <w:b/>
                <w:bCs/>
                <w:sz w:val="22"/>
              </w:rPr>
              <w:t>资格性审查表</w:t>
            </w:r>
          </w:p>
        </w:tc>
      </w:tr>
      <w:tr w14:paraId="43A79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vAlign w:val="center"/>
          </w:tcPr>
          <w:p w14:paraId="7A6C6712">
            <w:pPr>
              <w:spacing w:line="360" w:lineRule="exact"/>
              <w:ind w:left="420" w:hanging="420"/>
              <w:jc w:val="center"/>
              <w:rPr>
                <w:rFonts w:hint="eastAsia" w:hAnsi="宋体"/>
                <w:sz w:val="22"/>
              </w:rPr>
            </w:pPr>
            <w:r>
              <w:rPr>
                <w:rFonts w:hint="eastAsia" w:hAnsi="宋体"/>
                <w:snapToGrid w:val="0"/>
                <w:color w:val="000000"/>
                <w:sz w:val="22"/>
                <w:szCs w:val="21"/>
                <w:lang w:eastAsia="en-US"/>
              </w:rPr>
              <w:t>1</w:t>
            </w:r>
          </w:p>
        </w:tc>
        <w:tc>
          <w:tcPr>
            <w:tcW w:w="4646" w:type="pct"/>
          </w:tcPr>
          <w:p w14:paraId="2BBB187F">
            <w:pPr>
              <w:spacing w:line="360" w:lineRule="exact"/>
              <w:rPr>
                <w:rFonts w:hint="eastAsia" w:hAnsi="宋体"/>
                <w:sz w:val="22"/>
              </w:rPr>
            </w:pPr>
            <w:r>
              <w:rPr>
                <w:rFonts w:hint="eastAsia" w:hAnsi="宋体"/>
                <w:sz w:val="22"/>
              </w:rPr>
              <w:t>不具备采购文件所列的资格要求，或未提交相应的资格证明资料（详见采购公告投标人资质要求）</w:t>
            </w:r>
          </w:p>
        </w:tc>
      </w:tr>
      <w:tr w14:paraId="3720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tcPr>
          <w:p w14:paraId="10381895">
            <w:pPr>
              <w:spacing w:line="360" w:lineRule="exact"/>
              <w:jc w:val="center"/>
              <w:rPr>
                <w:rFonts w:hint="eastAsia" w:hAnsi="宋体"/>
                <w:sz w:val="22"/>
              </w:rPr>
            </w:pPr>
            <w:r>
              <w:rPr>
                <w:rFonts w:hint="eastAsia" w:hAnsi="宋体"/>
                <w:sz w:val="22"/>
              </w:rPr>
              <w:t>2</w:t>
            </w:r>
          </w:p>
        </w:tc>
        <w:tc>
          <w:tcPr>
            <w:tcW w:w="4646" w:type="pct"/>
          </w:tcPr>
          <w:p w14:paraId="5313BC02">
            <w:pPr>
              <w:spacing w:line="360" w:lineRule="exact"/>
              <w:rPr>
                <w:rFonts w:hint="eastAsia" w:hAnsi="宋体"/>
                <w:sz w:val="22"/>
              </w:rPr>
            </w:pPr>
            <w:r>
              <w:rPr>
                <w:rFonts w:hint="eastAsia" w:hAnsi="宋体"/>
                <w:sz w:val="22"/>
              </w:rPr>
              <w:t>不具备国家有关法律规定的有关资质的</w:t>
            </w:r>
          </w:p>
        </w:tc>
      </w:tr>
      <w:tr w14:paraId="75B30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733C91D2">
            <w:pPr>
              <w:spacing w:line="360" w:lineRule="exact"/>
              <w:jc w:val="center"/>
              <w:rPr>
                <w:rFonts w:hint="eastAsia" w:hAnsi="宋体"/>
                <w:sz w:val="22"/>
              </w:rPr>
            </w:pPr>
            <w:r>
              <w:rPr>
                <w:rFonts w:hint="eastAsia" w:hAnsi="宋体"/>
                <w:b/>
                <w:bCs/>
                <w:sz w:val="22"/>
              </w:rPr>
              <w:t>符合性审查表</w:t>
            </w:r>
          </w:p>
        </w:tc>
      </w:tr>
      <w:tr w14:paraId="5014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7042B787">
            <w:pPr>
              <w:spacing w:line="360" w:lineRule="exact"/>
              <w:ind w:left="420" w:hanging="420"/>
              <w:jc w:val="center"/>
              <w:rPr>
                <w:rFonts w:hint="eastAsia" w:hAnsi="宋体"/>
                <w:sz w:val="22"/>
              </w:rPr>
            </w:pPr>
            <w:r>
              <w:rPr>
                <w:rFonts w:hint="eastAsia" w:hAnsi="宋体"/>
                <w:snapToGrid w:val="0"/>
                <w:color w:val="000000"/>
                <w:sz w:val="22"/>
                <w:szCs w:val="21"/>
                <w:lang w:eastAsia="en-US"/>
              </w:rPr>
              <w:t>1</w:t>
            </w:r>
          </w:p>
        </w:tc>
        <w:tc>
          <w:tcPr>
            <w:tcW w:w="4646" w:type="pct"/>
          </w:tcPr>
          <w:p w14:paraId="4A87A011">
            <w:pPr>
              <w:spacing w:line="360" w:lineRule="exact"/>
              <w:jc w:val="left"/>
              <w:rPr>
                <w:rFonts w:hint="eastAsia" w:hAnsi="宋体"/>
                <w:sz w:val="22"/>
              </w:rPr>
            </w:pPr>
            <w:r>
              <w:rPr>
                <w:rFonts w:hint="eastAsia" w:hAnsi="宋体"/>
                <w:sz w:val="22"/>
              </w:rPr>
              <w:t>将一个包中的内容拆开投标</w:t>
            </w:r>
          </w:p>
        </w:tc>
      </w:tr>
      <w:tr w14:paraId="3C26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E889793">
            <w:pPr>
              <w:spacing w:line="360" w:lineRule="exact"/>
              <w:ind w:left="420" w:hanging="420"/>
              <w:jc w:val="center"/>
              <w:rPr>
                <w:rFonts w:hint="eastAsia" w:hAnsi="宋体"/>
                <w:sz w:val="22"/>
              </w:rPr>
            </w:pPr>
            <w:r>
              <w:rPr>
                <w:rFonts w:hint="eastAsia" w:hAnsi="宋体"/>
                <w:snapToGrid w:val="0"/>
                <w:color w:val="000000"/>
                <w:sz w:val="22"/>
                <w:szCs w:val="21"/>
              </w:rPr>
              <w:t>2</w:t>
            </w:r>
          </w:p>
        </w:tc>
        <w:tc>
          <w:tcPr>
            <w:tcW w:w="4646" w:type="pct"/>
          </w:tcPr>
          <w:p w14:paraId="192BB0B5">
            <w:pPr>
              <w:spacing w:line="360" w:lineRule="exact"/>
              <w:jc w:val="left"/>
              <w:rPr>
                <w:rFonts w:hint="eastAsia" w:hAnsi="宋体"/>
                <w:sz w:val="22"/>
              </w:rPr>
            </w:pPr>
            <w:r>
              <w:rPr>
                <w:rFonts w:hint="eastAsia" w:hAnsi="宋体"/>
                <w:sz w:val="22"/>
              </w:rPr>
              <w:t>采购文件未规定允许有替代方案时，对同一货物投标时，同时提供两套或两套以上的投标方案</w:t>
            </w:r>
          </w:p>
        </w:tc>
      </w:tr>
      <w:tr w14:paraId="3FC46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50B6C64">
            <w:pPr>
              <w:spacing w:line="360" w:lineRule="exact"/>
              <w:ind w:left="420" w:hanging="420"/>
              <w:jc w:val="center"/>
              <w:rPr>
                <w:rFonts w:hint="eastAsia" w:hAnsi="宋体"/>
                <w:sz w:val="22"/>
              </w:rPr>
            </w:pPr>
            <w:r>
              <w:rPr>
                <w:rFonts w:hint="eastAsia" w:hAnsi="宋体"/>
                <w:snapToGrid w:val="0"/>
                <w:color w:val="000000"/>
                <w:sz w:val="22"/>
                <w:szCs w:val="21"/>
              </w:rPr>
              <w:t>3</w:t>
            </w:r>
          </w:p>
        </w:tc>
        <w:tc>
          <w:tcPr>
            <w:tcW w:w="4646" w:type="pct"/>
          </w:tcPr>
          <w:p w14:paraId="124A1997">
            <w:pPr>
              <w:spacing w:line="360" w:lineRule="exact"/>
              <w:jc w:val="left"/>
              <w:rPr>
                <w:rFonts w:hint="eastAsia" w:hAnsi="宋体"/>
                <w:sz w:val="22"/>
              </w:rPr>
            </w:pPr>
            <w:r>
              <w:rPr>
                <w:rFonts w:hint="eastAsia" w:hAnsi="宋体"/>
                <w:sz w:val="22"/>
              </w:rPr>
              <w:t>投标总价或分项报价高于财政预算限额的</w:t>
            </w:r>
          </w:p>
        </w:tc>
      </w:tr>
      <w:tr w14:paraId="4F2FB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6BB682CF">
            <w:pPr>
              <w:spacing w:line="360" w:lineRule="exact"/>
              <w:ind w:left="420" w:hanging="420"/>
              <w:jc w:val="center"/>
              <w:rPr>
                <w:rFonts w:hint="eastAsia" w:hAnsi="宋体"/>
                <w:sz w:val="22"/>
              </w:rPr>
            </w:pPr>
            <w:r>
              <w:rPr>
                <w:rFonts w:hint="eastAsia" w:hAnsi="宋体"/>
                <w:snapToGrid w:val="0"/>
                <w:color w:val="000000"/>
                <w:sz w:val="22"/>
                <w:szCs w:val="21"/>
              </w:rPr>
              <w:t>4</w:t>
            </w:r>
          </w:p>
        </w:tc>
        <w:tc>
          <w:tcPr>
            <w:tcW w:w="4646" w:type="pct"/>
          </w:tcPr>
          <w:p w14:paraId="53C53283">
            <w:pPr>
              <w:spacing w:line="360" w:lineRule="exact"/>
              <w:jc w:val="left"/>
              <w:rPr>
                <w:rFonts w:hint="eastAsia" w:hAnsi="宋体"/>
                <w:sz w:val="22"/>
              </w:rPr>
            </w:pPr>
            <w:r>
              <w:rPr>
                <w:rFonts w:hint="eastAsia" w:hAnsi="宋体"/>
                <w:sz w:val="22"/>
              </w:rPr>
              <w:t>同一项目出现两个或以上报价</w:t>
            </w:r>
          </w:p>
        </w:tc>
      </w:tr>
      <w:tr w14:paraId="387B1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750F1A6B">
            <w:pPr>
              <w:spacing w:line="360" w:lineRule="exact"/>
              <w:ind w:left="420" w:hanging="420"/>
              <w:jc w:val="center"/>
              <w:rPr>
                <w:rFonts w:hint="eastAsia" w:hAnsi="宋体"/>
                <w:sz w:val="22"/>
              </w:rPr>
            </w:pPr>
            <w:r>
              <w:rPr>
                <w:rFonts w:hint="eastAsia" w:hAnsi="宋体"/>
                <w:snapToGrid w:val="0"/>
                <w:color w:val="000000"/>
                <w:sz w:val="22"/>
                <w:szCs w:val="21"/>
              </w:rPr>
              <w:t>5</w:t>
            </w:r>
          </w:p>
        </w:tc>
        <w:tc>
          <w:tcPr>
            <w:tcW w:w="4646" w:type="pct"/>
          </w:tcPr>
          <w:p w14:paraId="5F7577A0">
            <w:pPr>
              <w:spacing w:line="360" w:lineRule="exact"/>
              <w:jc w:val="left"/>
              <w:rPr>
                <w:rFonts w:hint="eastAsia" w:hAnsi="宋体"/>
                <w:sz w:val="22"/>
              </w:rPr>
            </w:pPr>
            <w:r>
              <w:rPr>
                <w:rFonts w:hint="eastAsia" w:hAnsi="宋体"/>
                <w:sz w:val="22"/>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r>
      <w:tr w14:paraId="5A080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66780EB1">
            <w:pPr>
              <w:spacing w:line="360" w:lineRule="exact"/>
              <w:ind w:left="420" w:hanging="420"/>
              <w:jc w:val="center"/>
              <w:rPr>
                <w:rFonts w:hint="eastAsia" w:hAnsi="宋体"/>
                <w:sz w:val="22"/>
              </w:rPr>
            </w:pPr>
            <w:r>
              <w:rPr>
                <w:rFonts w:hint="eastAsia" w:hAnsi="宋体"/>
                <w:snapToGrid w:val="0"/>
                <w:color w:val="000000"/>
                <w:sz w:val="22"/>
                <w:szCs w:val="21"/>
              </w:rPr>
              <w:t>6</w:t>
            </w:r>
          </w:p>
        </w:tc>
        <w:tc>
          <w:tcPr>
            <w:tcW w:w="4646" w:type="pct"/>
          </w:tcPr>
          <w:p w14:paraId="26D87B89">
            <w:pPr>
              <w:spacing w:line="360" w:lineRule="exact"/>
              <w:jc w:val="left"/>
              <w:rPr>
                <w:rFonts w:hint="eastAsia" w:hAnsi="宋体"/>
                <w:sz w:val="22"/>
              </w:rPr>
            </w:pPr>
            <w:r>
              <w:rPr>
                <w:rFonts w:hint="eastAsia" w:hAnsi="宋体"/>
                <w:sz w:val="22"/>
              </w:rPr>
              <w:t>投标报价有严重缺漏项目</w:t>
            </w:r>
          </w:p>
        </w:tc>
      </w:tr>
      <w:tr w14:paraId="0251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01ABAB45">
            <w:pPr>
              <w:spacing w:line="360" w:lineRule="exact"/>
              <w:ind w:left="420" w:hanging="420"/>
              <w:jc w:val="center"/>
              <w:rPr>
                <w:rFonts w:hint="eastAsia" w:hAnsi="宋体"/>
                <w:sz w:val="22"/>
              </w:rPr>
            </w:pPr>
            <w:r>
              <w:rPr>
                <w:rFonts w:hint="eastAsia" w:hAnsi="宋体"/>
                <w:snapToGrid w:val="0"/>
                <w:color w:val="000000"/>
                <w:sz w:val="22"/>
                <w:szCs w:val="21"/>
              </w:rPr>
              <w:t>7</w:t>
            </w:r>
          </w:p>
        </w:tc>
        <w:tc>
          <w:tcPr>
            <w:tcW w:w="4646" w:type="pct"/>
          </w:tcPr>
          <w:p w14:paraId="31D638E7">
            <w:pPr>
              <w:spacing w:line="360" w:lineRule="exact"/>
              <w:jc w:val="left"/>
              <w:rPr>
                <w:rFonts w:hint="eastAsia" w:hAnsi="宋体"/>
                <w:sz w:val="22"/>
              </w:rPr>
            </w:pPr>
            <w:r>
              <w:rPr>
                <w:rFonts w:hint="eastAsia" w:hAnsi="宋体"/>
                <w:sz w:val="22"/>
              </w:rPr>
              <w:t>投标文件载明的交货期超过采购文件规定的期限</w:t>
            </w:r>
          </w:p>
        </w:tc>
      </w:tr>
      <w:tr w14:paraId="0700B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17BEAC9A">
            <w:pPr>
              <w:spacing w:line="360" w:lineRule="exact"/>
              <w:ind w:left="420" w:hanging="420"/>
              <w:jc w:val="center"/>
              <w:rPr>
                <w:rFonts w:hint="eastAsia" w:hAnsi="宋体"/>
                <w:sz w:val="22"/>
              </w:rPr>
            </w:pPr>
            <w:r>
              <w:rPr>
                <w:rFonts w:hint="eastAsia" w:hAnsi="宋体"/>
                <w:snapToGrid w:val="0"/>
                <w:color w:val="000000"/>
                <w:sz w:val="22"/>
                <w:szCs w:val="21"/>
              </w:rPr>
              <w:t>8</w:t>
            </w:r>
          </w:p>
        </w:tc>
        <w:tc>
          <w:tcPr>
            <w:tcW w:w="4646" w:type="pct"/>
          </w:tcPr>
          <w:p w14:paraId="08F0552F">
            <w:pPr>
              <w:spacing w:line="360" w:lineRule="exact"/>
              <w:jc w:val="left"/>
              <w:rPr>
                <w:rFonts w:hint="eastAsia" w:hAnsi="宋体"/>
                <w:sz w:val="22"/>
              </w:rPr>
            </w:pPr>
            <w:r>
              <w:rPr>
                <w:rFonts w:hint="eastAsia" w:hAnsi="宋体"/>
                <w:sz w:val="22"/>
              </w:rPr>
              <w:t>投标文件载明的免费保修期低于采购文件规定的期限</w:t>
            </w:r>
          </w:p>
        </w:tc>
      </w:tr>
      <w:tr w14:paraId="72875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076B90E">
            <w:pPr>
              <w:spacing w:line="360" w:lineRule="exact"/>
              <w:ind w:left="420" w:hanging="420"/>
              <w:jc w:val="center"/>
              <w:rPr>
                <w:rFonts w:hint="eastAsia" w:hAnsi="宋体"/>
                <w:sz w:val="22"/>
              </w:rPr>
            </w:pPr>
            <w:r>
              <w:rPr>
                <w:rFonts w:hint="eastAsia" w:hAnsi="宋体"/>
                <w:snapToGrid w:val="0"/>
                <w:color w:val="000000"/>
                <w:sz w:val="22"/>
                <w:szCs w:val="21"/>
              </w:rPr>
              <w:t>9</w:t>
            </w:r>
          </w:p>
        </w:tc>
        <w:tc>
          <w:tcPr>
            <w:tcW w:w="4646" w:type="pct"/>
          </w:tcPr>
          <w:p w14:paraId="25A62933">
            <w:pPr>
              <w:spacing w:line="360" w:lineRule="exact"/>
              <w:jc w:val="left"/>
              <w:rPr>
                <w:rFonts w:hint="eastAsia" w:hAnsi="宋体"/>
                <w:sz w:val="22"/>
              </w:rPr>
            </w:pPr>
            <w:r>
              <w:rPr>
                <w:rFonts w:hint="eastAsia" w:hAnsi="宋体"/>
                <w:sz w:val="22"/>
              </w:rPr>
              <w:t>所投产品、工程、服务在质量、技术、方案等方面没有实质性满足采购文件要求</w:t>
            </w:r>
          </w:p>
        </w:tc>
      </w:tr>
      <w:tr w14:paraId="53DF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E43E719">
            <w:pPr>
              <w:spacing w:line="360" w:lineRule="exact"/>
              <w:ind w:left="420" w:hanging="420"/>
              <w:jc w:val="center"/>
              <w:rPr>
                <w:rFonts w:hint="eastAsia" w:hAnsi="宋体"/>
                <w:sz w:val="22"/>
              </w:rPr>
            </w:pPr>
            <w:r>
              <w:rPr>
                <w:rFonts w:hint="eastAsia" w:hAnsi="宋体"/>
                <w:snapToGrid w:val="0"/>
                <w:color w:val="000000"/>
                <w:sz w:val="22"/>
                <w:szCs w:val="21"/>
              </w:rPr>
              <w:t>10</w:t>
            </w:r>
          </w:p>
        </w:tc>
        <w:tc>
          <w:tcPr>
            <w:tcW w:w="4646" w:type="pct"/>
          </w:tcPr>
          <w:p w14:paraId="1E057ED4">
            <w:pPr>
              <w:spacing w:line="360" w:lineRule="exact"/>
              <w:jc w:val="left"/>
              <w:rPr>
                <w:rFonts w:hint="eastAsia" w:hAnsi="宋体"/>
                <w:sz w:val="22"/>
              </w:rPr>
            </w:pPr>
            <w:r>
              <w:rPr>
                <w:rFonts w:hint="eastAsia" w:hAnsi="宋体"/>
                <w:sz w:val="22"/>
              </w:rPr>
              <w:t>未按采购文件提供《投标函》；未按采购文件对投标文件组成的要求提供投标文件的（投标文件组成不完整）；投标文件的数量、制作、密封、标记、签字盖章不符合采购文件要求；投标文件无法定代表人有效授权的</w:t>
            </w:r>
          </w:p>
        </w:tc>
      </w:tr>
      <w:tr w14:paraId="2BAFC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8EE3C9B">
            <w:pPr>
              <w:spacing w:line="360" w:lineRule="exact"/>
              <w:ind w:left="420" w:hanging="420"/>
              <w:jc w:val="center"/>
              <w:rPr>
                <w:rFonts w:hint="eastAsia" w:hAnsi="宋体"/>
                <w:sz w:val="22"/>
              </w:rPr>
            </w:pPr>
            <w:r>
              <w:rPr>
                <w:rFonts w:hint="eastAsia" w:hAnsi="宋体"/>
                <w:snapToGrid w:val="0"/>
                <w:color w:val="000000"/>
                <w:sz w:val="22"/>
                <w:szCs w:val="21"/>
              </w:rPr>
              <w:t>11</w:t>
            </w:r>
          </w:p>
        </w:tc>
        <w:tc>
          <w:tcPr>
            <w:tcW w:w="4646" w:type="pct"/>
          </w:tcPr>
          <w:p w14:paraId="2697E16C">
            <w:pPr>
              <w:spacing w:line="360" w:lineRule="exact"/>
              <w:jc w:val="left"/>
              <w:rPr>
                <w:rFonts w:hint="eastAsia" w:hAnsi="宋体"/>
                <w:sz w:val="22"/>
              </w:rPr>
            </w:pPr>
            <w:r>
              <w:rPr>
                <w:rFonts w:hint="eastAsia" w:hAnsi="宋体"/>
                <w:sz w:val="22"/>
              </w:rPr>
              <w:t>未提供投标文件电子文档或者有病毒</w:t>
            </w:r>
          </w:p>
        </w:tc>
      </w:tr>
      <w:tr w14:paraId="55EFE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1096A0DB">
            <w:pPr>
              <w:spacing w:line="360" w:lineRule="exact"/>
              <w:jc w:val="center"/>
              <w:rPr>
                <w:rFonts w:hint="eastAsia" w:hAnsi="宋体"/>
                <w:sz w:val="22"/>
              </w:rPr>
            </w:pPr>
            <w:r>
              <w:rPr>
                <w:rFonts w:hint="eastAsia" w:hAnsi="宋体"/>
                <w:sz w:val="22"/>
              </w:rPr>
              <w:t>12</w:t>
            </w:r>
          </w:p>
        </w:tc>
        <w:tc>
          <w:tcPr>
            <w:tcW w:w="4646" w:type="pct"/>
          </w:tcPr>
          <w:p w14:paraId="7DA59FC9">
            <w:pPr>
              <w:spacing w:line="360" w:lineRule="exact"/>
              <w:jc w:val="left"/>
              <w:rPr>
                <w:rFonts w:hint="eastAsia" w:hAnsi="宋体"/>
                <w:sz w:val="22"/>
              </w:rPr>
            </w:pPr>
            <w:r>
              <w:rPr>
                <w:rFonts w:hint="eastAsia" w:hAnsi="宋体"/>
                <w:sz w:val="22"/>
              </w:rPr>
              <w:t>法律、法规规定的其他情形</w:t>
            </w:r>
          </w:p>
        </w:tc>
      </w:tr>
    </w:tbl>
    <w:p w14:paraId="6F30D197">
      <w:pPr>
        <w:pStyle w:val="62"/>
        <w:widowControl w:val="0"/>
        <w:shd w:val="clear" w:color="auto" w:fill="auto"/>
        <w:tabs>
          <w:tab w:val="clear" w:pos="426"/>
        </w:tabs>
        <w:adjustRightInd/>
        <w:snapToGrid/>
        <w:jc w:val="both"/>
        <w:outlineLvl w:val="9"/>
        <w:rPr>
          <w:sz w:val="21"/>
          <w:szCs w:val="21"/>
        </w:rPr>
      </w:pPr>
    </w:p>
    <w:p w14:paraId="3EE58E95">
      <w:pPr>
        <w:pStyle w:val="62"/>
        <w:widowControl w:val="0"/>
        <w:shd w:val="clear" w:color="auto" w:fill="auto"/>
        <w:tabs>
          <w:tab w:val="clear" w:pos="426"/>
        </w:tabs>
        <w:adjustRightInd/>
        <w:snapToGrid/>
        <w:outlineLvl w:val="0"/>
        <w:rPr>
          <w:rFonts w:ascii="宋体"/>
          <w:bCs w:val="0"/>
          <w:sz w:val="36"/>
          <w:szCs w:val="36"/>
        </w:rPr>
      </w:pPr>
      <w:r>
        <w:rPr>
          <w:sz w:val="24"/>
        </w:rPr>
        <w:br w:type="page"/>
      </w:r>
      <w:bookmarkStart w:id="1" w:name="_Toc5671"/>
      <w:bookmarkStart w:id="2" w:name="_Toc435514846"/>
      <w:r>
        <w:rPr>
          <w:rFonts w:hint="eastAsia" w:ascii="宋体"/>
          <w:bCs w:val="0"/>
          <w:sz w:val="36"/>
          <w:szCs w:val="36"/>
        </w:rPr>
        <w:t>评标信息</w:t>
      </w:r>
      <w:bookmarkEnd w:id="1"/>
    </w:p>
    <w:bookmarkEnd w:id="2"/>
    <w:p w14:paraId="079BC65F">
      <w:pPr>
        <w:tabs>
          <w:tab w:val="clear" w:pos="426"/>
        </w:tabs>
        <w:spacing w:line="360" w:lineRule="exact"/>
        <w:ind w:firstLine="440" w:firstLineChars="200"/>
        <w:rPr>
          <w:bCs/>
          <w:sz w:val="22"/>
          <w:szCs w:val="22"/>
        </w:rPr>
      </w:pPr>
      <w:r>
        <w:rPr>
          <w:rFonts w:hint="eastAsia"/>
          <w:bCs/>
          <w:sz w:val="22"/>
          <w:szCs w:val="22"/>
        </w:rPr>
        <w:t>评标方法：综合评分法。按照招标文件中规定的各项因素进行量化打分，以评标总得分的平均分最高的投标人为中标候选供应商，采购人根据评标委员会评审结果确定中标候选供应商为中标人。</w:t>
      </w:r>
    </w:p>
    <w:p w14:paraId="7E15CEA0">
      <w:pPr>
        <w:tabs>
          <w:tab w:val="clear" w:pos="426"/>
        </w:tabs>
        <w:spacing w:line="360" w:lineRule="exact"/>
        <w:ind w:firstLine="440" w:firstLineChars="200"/>
        <w:rPr>
          <w:rFonts w:hint="eastAsia" w:hAnsi="宋体"/>
          <w:sz w:val="22"/>
          <w:szCs w:val="22"/>
        </w:rPr>
      </w:pPr>
      <w:r>
        <w:rPr>
          <w:rFonts w:hint="eastAsia"/>
          <w:bCs/>
          <w:sz w:val="22"/>
          <w:szCs w:val="22"/>
        </w:rPr>
        <w:t>综合评分法中的价格分统一采用低价优先法计算。即满足采购文件要求且投标价格最低的投标报价为评标基准价，其价格分为满分。其他投标人的价格分统一按照下列公式计算：投标报价得分=(评标基准价/投标报价)×分值</w:t>
      </w:r>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791"/>
        <w:gridCol w:w="1817"/>
        <w:gridCol w:w="876"/>
        <w:gridCol w:w="1261"/>
        <w:gridCol w:w="4336"/>
      </w:tblGrid>
      <w:tr w14:paraId="1175D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36" w:hRule="atLeast"/>
          <w:jc w:val="center"/>
        </w:trPr>
        <w:tc>
          <w:tcPr>
            <w:tcW w:w="2612" w:type="pct"/>
            <w:gridSpan w:val="4"/>
            <w:shd w:val="clear" w:color="auto" w:fill="FFFFFF" w:themeFill="background1"/>
            <w:vAlign w:val="center"/>
          </w:tcPr>
          <w:p w14:paraId="25A4BF19">
            <w:pPr>
              <w:spacing w:line="360" w:lineRule="exact"/>
              <w:jc w:val="center"/>
              <w:rPr>
                <w:rFonts w:hint="eastAsia" w:hAnsi="宋体"/>
                <w:sz w:val="22"/>
                <w:szCs w:val="22"/>
              </w:rPr>
            </w:pPr>
            <w:bookmarkStart w:id="3" w:name="_Hlk109230509"/>
            <w:bookmarkStart w:id="4" w:name="_Toc432592812"/>
            <w:r>
              <w:rPr>
                <w:rFonts w:hint="eastAsia" w:hAnsi="宋体"/>
                <w:sz w:val="22"/>
                <w:szCs w:val="22"/>
              </w:rPr>
              <w:t>评分项</w:t>
            </w:r>
          </w:p>
        </w:tc>
        <w:tc>
          <w:tcPr>
            <w:tcW w:w="2387" w:type="pct"/>
            <w:shd w:val="clear" w:color="auto" w:fill="FFFFFF" w:themeFill="background1"/>
            <w:vAlign w:val="center"/>
          </w:tcPr>
          <w:p w14:paraId="3C43D602">
            <w:pPr>
              <w:spacing w:line="360" w:lineRule="exact"/>
              <w:jc w:val="center"/>
              <w:rPr>
                <w:rFonts w:hint="eastAsia" w:hAnsi="宋体"/>
                <w:sz w:val="22"/>
                <w:szCs w:val="22"/>
              </w:rPr>
            </w:pPr>
            <w:r>
              <w:rPr>
                <w:rFonts w:hint="eastAsia" w:hAnsi="宋体"/>
                <w:sz w:val="22"/>
                <w:szCs w:val="22"/>
              </w:rPr>
              <w:t>分值</w:t>
            </w:r>
          </w:p>
        </w:tc>
      </w:tr>
      <w:tr w14:paraId="27C73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3" w:hRule="atLeast"/>
          <w:jc w:val="center"/>
        </w:trPr>
        <w:tc>
          <w:tcPr>
            <w:tcW w:w="2612" w:type="pct"/>
            <w:gridSpan w:val="4"/>
            <w:shd w:val="clear" w:color="auto" w:fill="FFFFFF" w:themeFill="background1"/>
            <w:vAlign w:val="center"/>
          </w:tcPr>
          <w:p w14:paraId="7219487E">
            <w:pPr>
              <w:spacing w:line="360" w:lineRule="exact"/>
              <w:jc w:val="center"/>
              <w:rPr>
                <w:rFonts w:hint="eastAsia" w:hAnsi="宋体"/>
                <w:sz w:val="22"/>
                <w:szCs w:val="22"/>
              </w:rPr>
            </w:pPr>
            <w:r>
              <w:rPr>
                <w:rFonts w:hint="eastAsia" w:hAnsi="宋体"/>
                <w:sz w:val="22"/>
                <w:szCs w:val="22"/>
              </w:rPr>
              <w:t>价格</w:t>
            </w:r>
          </w:p>
        </w:tc>
        <w:tc>
          <w:tcPr>
            <w:tcW w:w="2387" w:type="pct"/>
            <w:shd w:val="clear" w:color="auto" w:fill="FFFFFF" w:themeFill="background1"/>
            <w:vAlign w:val="center"/>
          </w:tcPr>
          <w:p w14:paraId="4EFF009C">
            <w:pPr>
              <w:spacing w:line="360" w:lineRule="exact"/>
              <w:jc w:val="center"/>
              <w:rPr>
                <w:rFonts w:hint="eastAsia" w:hAnsi="宋体"/>
                <w:sz w:val="22"/>
                <w:szCs w:val="22"/>
              </w:rPr>
            </w:pPr>
            <w:r>
              <w:rPr>
                <w:rFonts w:hint="eastAsia" w:hAnsi="宋体"/>
                <w:sz w:val="22"/>
                <w:szCs w:val="22"/>
              </w:rPr>
              <w:t>30</w:t>
            </w:r>
          </w:p>
        </w:tc>
      </w:tr>
      <w:tr w14:paraId="31DE8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6" w:hRule="atLeast"/>
          <w:jc w:val="center"/>
        </w:trPr>
        <w:tc>
          <w:tcPr>
            <w:tcW w:w="2612" w:type="pct"/>
            <w:gridSpan w:val="4"/>
            <w:shd w:val="clear" w:color="auto" w:fill="FFFFFF" w:themeFill="background1"/>
            <w:vAlign w:val="center"/>
          </w:tcPr>
          <w:p w14:paraId="219AFF93">
            <w:pPr>
              <w:spacing w:line="360" w:lineRule="exact"/>
              <w:jc w:val="center"/>
              <w:rPr>
                <w:rFonts w:hint="eastAsia" w:hAnsi="宋体"/>
                <w:sz w:val="22"/>
                <w:szCs w:val="22"/>
              </w:rPr>
            </w:pPr>
            <w:r>
              <w:rPr>
                <w:rFonts w:hint="eastAsia" w:hAnsi="宋体"/>
                <w:sz w:val="22"/>
                <w:szCs w:val="22"/>
              </w:rPr>
              <w:t>技术部分</w:t>
            </w:r>
          </w:p>
        </w:tc>
        <w:tc>
          <w:tcPr>
            <w:tcW w:w="2387" w:type="pct"/>
            <w:shd w:val="clear" w:color="auto" w:fill="FFFFFF" w:themeFill="background1"/>
            <w:vAlign w:val="center"/>
          </w:tcPr>
          <w:p w14:paraId="524B67EB">
            <w:pPr>
              <w:spacing w:line="360" w:lineRule="exact"/>
              <w:jc w:val="center"/>
              <w:rPr>
                <w:rFonts w:hint="eastAsia" w:hAnsi="宋体"/>
                <w:sz w:val="22"/>
                <w:szCs w:val="22"/>
              </w:rPr>
            </w:pPr>
            <w:r>
              <w:rPr>
                <w:rFonts w:hint="eastAsia" w:hAnsi="宋体"/>
                <w:sz w:val="22"/>
                <w:szCs w:val="22"/>
              </w:rPr>
              <w:t>45</w:t>
            </w:r>
          </w:p>
        </w:tc>
      </w:tr>
      <w:tr w14:paraId="0E12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6" w:type="pct"/>
            <w:shd w:val="clear" w:color="auto" w:fill="FFFFFF" w:themeFill="background1"/>
            <w:vAlign w:val="center"/>
          </w:tcPr>
          <w:p w14:paraId="400ACCE2">
            <w:pPr>
              <w:spacing w:line="360" w:lineRule="exact"/>
              <w:jc w:val="center"/>
              <w:rPr>
                <w:rFonts w:hint="eastAsia" w:hAnsi="宋体"/>
                <w:sz w:val="22"/>
                <w:szCs w:val="22"/>
              </w:rPr>
            </w:pPr>
            <w:r>
              <w:rPr>
                <w:rFonts w:hint="eastAsia" w:hAnsi="宋体"/>
                <w:sz w:val="22"/>
                <w:szCs w:val="22"/>
              </w:rPr>
              <w:t>序号</w:t>
            </w:r>
          </w:p>
        </w:tc>
        <w:tc>
          <w:tcPr>
            <w:tcW w:w="1000" w:type="pct"/>
            <w:shd w:val="clear" w:color="auto" w:fill="FFFFFF" w:themeFill="background1"/>
            <w:vAlign w:val="center"/>
          </w:tcPr>
          <w:p w14:paraId="7962D42A">
            <w:pPr>
              <w:spacing w:line="360" w:lineRule="exact"/>
              <w:jc w:val="center"/>
              <w:rPr>
                <w:rFonts w:hint="eastAsia" w:hAnsi="宋体"/>
                <w:sz w:val="22"/>
                <w:szCs w:val="22"/>
              </w:rPr>
            </w:pPr>
            <w:r>
              <w:rPr>
                <w:rFonts w:hint="eastAsia" w:hAnsi="宋体"/>
                <w:sz w:val="22"/>
                <w:szCs w:val="22"/>
              </w:rPr>
              <w:t>评分因素</w:t>
            </w:r>
          </w:p>
        </w:tc>
        <w:tc>
          <w:tcPr>
            <w:tcW w:w="482" w:type="pct"/>
            <w:shd w:val="clear" w:color="auto" w:fill="FFFFFF" w:themeFill="background1"/>
            <w:vAlign w:val="center"/>
          </w:tcPr>
          <w:p w14:paraId="5F7235D5">
            <w:pPr>
              <w:spacing w:line="360" w:lineRule="exact"/>
              <w:jc w:val="center"/>
              <w:rPr>
                <w:rFonts w:hint="eastAsia" w:hAnsi="宋体"/>
                <w:sz w:val="22"/>
                <w:szCs w:val="22"/>
              </w:rPr>
            </w:pPr>
            <w:r>
              <w:rPr>
                <w:rFonts w:hint="eastAsia" w:hAnsi="宋体"/>
                <w:sz w:val="22"/>
                <w:szCs w:val="22"/>
              </w:rPr>
              <w:t>分值</w:t>
            </w:r>
          </w:p>
        </w:tc>
        <w:tc>
          <w:tcPr>
            <w:tcW w:w="693" w:type="pct"/>
            <w:shd w:val="clear" w:color="auto" w:fill="FFFFFF" w:themeFill="background1"/>
            <w:vAlign w:val="center"/>
          </w:tcPr>
          <w:p w14:paraId="3B881FD8">
            <w:pPr>
              <w:spacing w:line="360" w:lineRule="exact"/>
              <w:jc w:val="center"/>
              <w:rPr>
                <w:rFonts w:hint="eastAsia" w:hAnsi="宋体"/>
                <w:sz w:val="22"/>
                <w:szCs w:val="22"/>
              </w:rPr>
            </w:pPr>
            <w:r>
              <w:rPr>
                <w:rFonts w:hint="eastAsia" w:hAnsi="宋体"/>
                <w:sz w:val="22"/>
                <w:szCs w:val="22"/>
              </w:rPr>
              <w:t>评分方式</w:t>
            </w:r>
          </w:p>
        </w:tc>
        <w:tc>
          <w:tcPr>
            <w:tcW w:w="2387" w:type="pct"/>
            <w:shd w:val="clear" w:color="auto" w:fill="FFFFFF" w:themeFill="background1"/>
            <w:vAlign w:val="center"/>
          </w:tcPr>
          <w:p w14:paraId="703A77C9">
            <w:pPr>
              <w:spacing w:line="360" w:lineRule="exact"/>
              <w:jc w:val="center"/>
              <w:rPr>
                <w:rFonts w:hint="eastAsia" w:hAnsi="宋体"/>
                <w:sz w:val="22"/>
                <w:szCs w:val="22"/>
              </w:rPr>
            </w:pPr>
            <w:r>
              <w:rPr>
                <w:rFonts w:hint="eastAsia" w:hAnsi="宋体"/>
                <w:sz w:val="22"/>
                <w:szCs w:val="22"/>
              </w:rPr>
              <w:t>评分准则</w:t>
            </w:r>
          </w:p>
        </w:tc>
      </w:tr>
      <w:tr w14:paraId="4B2EF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6" w:type="pct"/>
            <w:shd w:val="clear" w:color="auto" w:fill="FFFFFF" w:themeFill="background1"/>
            <w:vAlign w:val="center"/>
          </w:tcPr>
          <w:p w14:paraId="6CCC401D">
            <w:pPr>
              <w:spacing w:line="360" w:lineRule="exact"/>
              <w:jc w:val="center"/>
              <w:rPr>
                <w:rFonts w:hint="eastAsia" w:hAnsi="宋体"/>
                <w:sz w:val="22"/>
                <w:szCs w:val="22"/>
              </w:rPr>
            </w:pPr>
            <w:r>
              <w:rPr>
                <w:rFonts w:hint="eastAsia" w:hAnsi="宋体"/>
                <w:sz w:val="22"/>
                <w:szCs w:val="22"/>
              </w:rPr>
              <w:t>1</w:t>
            </w:r>
          </w:p>
        </w:tc>
        <w:tc>
          <w:tcPr>
            <w:tcW w:w="1000" w:type="pct"/>
            <w:shd w:val="clear" w:color="auto" w:fill="FFFFFF" w:themeFill="background1"/>
            <w:vAlign w:val="center"/>
          </w:tcPr>
          <w:p w14:paraId="72C4827B">
            <w:pPr>
              <w:spacing w:line="360" w:lineRule="exact"/>
              <w:jc w:val="center"/>
              <w:rPr>
                <w:rFonts w:hint="eastAsia" w:hAnsi="宋体"/>
                <w:sz w:val="22"/>
                <w:szCs w:val="22"/>
              </w:rPr>
            </w:pPr>
            <w:r>
              <w:rPr>
                <w:rFonts w:hint="eastAsia" w:hAnsi="宋体"/>
                <w:sz w:val="22"/>
                <w:szCs w:val="22"/>
              </w:rPr>
              <w:t>技术规格偏离情况</w:t>
            </w:r>
          </w:p>
        </w:tc>
        <w:tc>
          <w:tcPr>
            <w:tcW w:w="482" w:type="pct"/>
            <w:shd w:val="clear" w:color="auto" w:fill="FFFFFF" w:themeFill="background1"/>
            <w:vAlign w:val="center"/>
          </w:tcPr>
          <w:p w14:paraId="77CEA2E3">
            <w:pPr>
              <w:spacing w:line="360" w:lineRule="exact"/>
              <w:jc w:val="center"/>
              <w:rPr>
                <w:rFonts w:hint="eastAsia" w:hAnsi="宋体"/>
                <w:sz w:val="22"/>
                <w:szCs w:val="22"/>
              </w:rPr>
            </w:pPr>
            <w:r>
              <w:rPr>
                <w:rFonts w:hint="eastAsia" w:hAnsi="宋体"/>
                <w:sz w:val="22"/>
                <w:szCs w:val="22"/>
              </w:rPr>
              <w:t>14</w:t>
            </w:r>
          </w:p>
        </w:tc>
        <w:tc>
          <w:tcPr>
            <w:tcW w:w="693" w:type="pct"/>
            <w:shd w:val="clear" w:color="auto" w:fill="FFFFFF" w:themeFill="background1"/>
            <w:vAlign w:val="center"/>
          </w:tcPr>
          <w:p w14:paraId="4D4BE88F">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vAlign w:val="center"/>
          </w:tcPr>
          <w:p w14:paraId="742586CB">
            <w:pPr>
              <w:spacing w:line="360" w:lineRule="exact"/>
              <w:jc w:val="left"/>
              <w:rPr>
                <w:rFonts w:hint="eastAsia" w:hAnsi="宋体"/>
                <w:sz w:val="22"/>
                <w:szCs w:val="22"/>
              </w:rPr>
            </w:pPr>
            <w:r>
              <w:rPr>
                <w:rFonts w:hint="eastAsia" w:hAnsi="宋体"/>
                <w:sz w:val="22"/>
                <w:szCs w:val="22"/>
              </w:rPr>
              <w:t>评审小组根据《技术规格偏离表》（以下简称“偏离表”，即《技术规格偏离表》）响应情况进行打分，全部满足的得满分。技术参数每负偏离一项扣0.3分，扣完为止。</w:t>
            </w:r>
          </w:p>
          <w:p w14:paraId="5EB11992">
            <w:pPr>
              <w:spacing w:line="360" w:lineRule="exact"/>
              <w:jc w:val="left"/>
            </w:pPr>
            <w:r>
              <w:rPr>
                <w:rFonts w:hint="eastAsia" w:hAnsi="宋体"/>
                <w:sz w:val="22"/>
                <w:szCs w:val="22"/>
              </w:rPr>
              <w:t>注：技术参数中如有参数写明需要提供检测报告、证书、截图等相关证明材料的，须提供相关证明材料并在招标文件中注明证明材料在投标文件中的具体位置，未按要求提供或提供不清晰导致专家无法判断的视为负偏离。证明材料涉及检测（或检验）报告的，如检测机构出具的检测（或检验）报告载明的检测事项超出该机构的检测范围，则该项技术指标按负偏离处理。</w:t>
            </w:r>
          </w:p>
        </w:tc>
      </w:tr>
      <w:tr w14:paraId="5925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6" w:type="pct"/>
            <w:shd w:val="clear" w:color="auto" w:fill="FFFFFF" w:themeFill="background1"/>
            <w:vAlign w:val="center"/>
          </w:tcPr>
          <w:p w14:paraId="62FD01F4">
            <w:pPr>
              <w:spacing w:line="360" w:lineRule="exact"/>
              <w:jc w:val="center"/>
              <w:rPr>
                <w:rFonts w:hint="eastAsia" w:hAnsi="宋体"/>
                <w:sz w:val="22"/>
                <w:szCs w:val="22"/>
              </w:rPr>
            </w:pPr>
            <w:r>
              <w:rPr>
                <w:rFonts w:hint="eastAsia" w:hAnsi="宋体"/>
                <w:sz w:val="22"/>
                <w:szCs w:val="22"/>
              </w:rPr>
              <w:t>2</w:t>
            </w:r>
          </w:p>
        </w:tc>
        <w:tc>
          <w:tcPr>
            <w:tcW w:w="1000" w:type="pct"/>
            <w:shd w:val="clear" w:color="auto" w:fill="FFFFFF" w:themeFill="background1"/>
            <w:vAlign w:val="center"/>
          </w:tcPr>
          <w:p w14:paraId="1F40D81E">
            <w:pPr>
              <w:spacing w:line="360" w:lineRule="exact"/>
              <w:jc w:val="center"/>
              <w:rPr>
                <w:rFonts w:hint="eastAsia" w:hAnsi="宋体"/>
                <w:sz w:val="22"/>
                <w:szCs w:val="22"/>
              </w:rPr>
            </w:pPr>
            <w:r>
              <w:rPr>
                <w:rFonts w:hint="eastAsia" w:hAnsi="宋体"/>
                <w:sz w:val="22"/>
                <w:szCs w:val="22"/>
              </w:rPr>
              <w:t>检测报告</w:t>
            </w:r>
          </w:p>
        </w:tc>
        <w:tc>
          <w:tcPr>
            <w:tcW w:w="482" w:type="pct"/>
            <w:shd w:val="clear" w:color="auto" w:fill="FFFFFF" w:themeFill="background1"/>
            <w:vAlign w:val="center"/>
          </w:tcPr>
          <w:p w14:paraId="15AFAEA6">
            <w:pPr>
              <w:spacing w:line="360" w:lineRule="exact"/>
              <w:jc w:val="center"/>
              <w:rPr>
                <w:rFonts w:hint="eastAsia" w:hAnsi="宋体"/>
                <w:sz w:val="22"/>
                <w:szCs w:val="22"/>
              </w:rPr>
            </w:pPr>
            <w:r>
              <w:rPr>
                <w:rFonts w:hint="eastAsia" w:hAnsi="宋体"/>
                <w:sz w:val="22"/>
                <w:szCs w:val="22"/>
              </w:rPr>
              <w:t>12</w:t>
            </w:r>
          </w:p>
        </w:tc>
        <w:tc>
          <w:tcPr>
            <w:tcW w:w="693" w:type="pct"/>
            <w:shd w:val="clear" w:color="auto" w:fill="FFFFFF" w:themeFill="background1"/>
            <w:vAlign w:val="center"/>
          </w:tcPr>
          <w:p w14:paraId="0FCBCF2E">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vAlign w:val="center"/>
          </w:tcPr>
          <w:p w14:paraId="18D7C605">
            <w:pPr>
              <w:spacing w:line="360" w:lineRule="exact"/>
              <w:jc w:val="left"/>
              <w:rPr>
                <w:rFonts w:hint="eastAsia" w:hAnsi="宋体"/>
                <w:sz w:val="22"/>
                <w:szCs w:val="22"/>
              </w:rPr>
            </w:pPr>
            <w:r>
              <w:rPr>
                <w:rFonts w:hint="eastAsia" w:hAnsi="宋体"/>
                <w:sz w:val="22"/>
                <w:szCs w:val="22"/>
              </w:rPr>
              <w:t>投标人提供投标截止之日前18个月内的有效的由国家级检测单位出具的抽样合格检测报告（具有CMA、CNAS标识和可查询二维码）原件扫描件，每满足以下一项要求，得3分，缺少一份检测报告或检测项不全不得分。</w:t>
            </w:r>
          </w:p>
          <w:p w14:paraId="28D46B09">
            <w:pPr>
              <w:spacing w:line="360" w:lineRule="exact"/>
              <w:jc w:val="left"/>
              <w:rPr>
                <w:rFonts w:hint="eastAsia" w:hAnsi="宋体"/>
                <w:sz w:val="22"/>
                <w:szCs w:val="22"/>
              </w:rPr>
            </w:pPr>
            <w:r>
              <w:rPr>
                <w:rFonts w:hint="eastAsia" w:hAnsi="宋体"/>
                <w:sz w:val="22"/>
                <w:szCs w:val="22"/>
              </w:rPr>
              <w:t>1、柜子</w:t>
            </w:r>
          </w:p>
          <w:p w14:paraId="781AFB1A">
            <w:pPr>
              <w:spacing w:line="360" w:lineRule="exact"/>
              <w:jc w:val="left"/>
              <w:rPr>
                <w:rFonts w:hint="eastAsia" w:hAnsi="宋体"/>
                <w:sz w:val="22"/>
                <w:szCs w:val="22"/>
              </w:rPr>
            </w:pPr>
            <w:r>
              <w:rPr>
                <w:rFonts w:hint="eastAsia" w:hAnsi="宋体"/>
                <w:sz w:val="22"/>
                <w:szCs w:val="22"/>
              </w:rPr>
              <w:t>检验依据：</w:t>
            </w:r>
          </w:p>
          <w:p w14:paraId="3E20158C">
            <w:pPr>
              <w:spacing w:line="360" w:lineRule="exact"/>
              <w:jc w:val="left"/>
              <w:rPr>
                <w:rFonts w:hint="eastAsia" w:hAnsi="宋体"/>
                <w:sz w:val="22"/>
                <w:szCs w:val="22"/>
              </w:rPr>
            </w:pPr>
            <w:r>
              <w:rPr>
                <w:rFonts w:hint="eastAsia" w:hAnsi="宋体"/>
                <w:sz w:val="22"/>
                <w:szCs w:val="22"/>
              </w:rPr>
              <w:t>符合GB/T 3324-2017《木家具通用技术条件》、平整度面板≤0.07，拉门≤0.05，位差度≤0.3，无干花、湿花，无污斑，无表面划痕，无明显色差，无鼓泡、龟裂、分层，电镀件无锈蚀、光滑平整，零部件结构严密、牢固。耐污染性能＞3级，力学性能要求符合标准，甲醛释放量＜0.5</w:t>
            </w:r>
          </w:p>
          <w:p w14:paraId="6FE7747F">
            <w:pPr>
              <w:spacing w:line="360" w:lineRule="exact"/>
              <w:jc w:val="left"/>
              <w:rPr>
                <w:rFonts w:hint="eastAsia" w:hAnsi="宋体"/>
                <w:sz w:val="22"/>
                <w:szCs w:val="22"/>
              </w:rPr>
            </w:pPr>
            <w:r>
              <w:rPr>
                <w:rFonts w:hint="eastAsia" w:hAnsi="宋体"/>
                <w:sz w:val="22"/>
                <w:szCs w:val="22"/>
              </w:rPr>
              <w:t>2、门铰</w:t>
            </w:r>
          </w:p>
          <w:p w14:paraId="1D6D27C5">
            <w:pPr>
              <w:spacing w:line="360" w:lineRule="exact"/>
              <w:jc w:val="left"/>
              <w:rPr>
                <w:rFonts w:hint="eastAsia" w:hAnsi="宋体"/>
                <w:sz w:val="22"/>
                <w:szCs w:val="22"/>
              </w:rPr>
            </w:pPr>
            <w:r>
              <w:rPr>
                <w:rFonts w:hint="eastAsia" w:hAnsi="宋体"/>
                <w:sz w:val="22"/>
                <w:szCs w:val="22"/>
              </w:rPr>
              <w:t>检测依据：</w:t>
            </w:r>
          </w:p>
          <w:p w14:paraId="7F9B7F50">
            <w:pPr>
              <w:spacing w:line="360" w:lineRule="exact"/>
              <w:jc w:val="left"/>
              <w:rPr>
                <w:rFonts w:hint="eastAsia" w:hAnsi="宋体"/>
                <w:sz w:val="22"/>
                <w:szCs w:val="22"/>
              </w:rPr>
            </w:pPr>
            <w:r>
              <w:rPr>
                <w:rFonts w:hint="eastAsia" w:hAnsi="宋体"/>
                <w:sz w:val="22"/>
                <w:szCs w:val="22"/>
              </w:rPr>
              <w:t>符合QB/T 2189-2013《家具五金 杯状暗铰链》要求，垂直静载荷、水平静载荷符合标准，操作力经耐久性试验后，打开力和关闭力为不应大于10N，耐腐蚀18H无锈点。</w:t>
            </w:r>
          </w:p>
          <w:p w14:paraId="0B701C99">
            <w:pPr>
              <w:spacing w:line="360" w:lineRule="exact"/>
              <w:jc w:val="left"/>
              <w:rPr>
                <w:rFonts w:hint="eastAsia" w:hAnsi="宋体"/>
                <w:sz w:val="22"/>
                <w:szCs w:val="22"/>
              </w:rPr>
            </w:pPr>
            <w:r>
              <w:rPr>
                <w:rFonts w:hint="eastAsia" w:hAnsi="宋体"/>
                <w:sz w:val="22"/>
                <w:szCs w:val="22"/>
              </w:rPr>
              <w:t>3、多层板</w:t>
            </w:r>
          </w:p>
          <w:p w14:paraId="6705C8DC">
            <w:pPr>
              <w:spacing w:line="360" w:lineRule="exact"/>
              <w:jc w:val="left"/>
              <w:rPr>
                <w:rFonts w:hint="eastAsia" w:hAnsi="宋体"/>
                <w:sz w:val="22"/>
                <w:szCs w:val="22"/>
              </w:rPr>
            </w:pPr>
            <w:r>
              <w:rPr>
                <w:rFonts w:hint="eastAsia" w:hAnsi="宋体"/>
                <w:sz w:val="22"/>
                <w:szCs w:val="22"/>
              </w:rPr>
              <w:t>检验依据：</w:t>
            </w:r>
          </w:p>
          <w:p w14:paraId="63F7915D">
            <w:pPr>
              <w:spacing w:line="360" w:lineRule="exact"/>
              <w:jc w:val="left"/>
              <w:rPr>
                <w:rFonts w:hint="eastAsia" w:hAnsi="宋体"/>
                <w:sz w:val="22"/>
                <w:szCs w:val="22"/>
              </w:rPr>
            </w:pPr>
            <w:r>
              <w:rPr>
                <w:rFonts w:hint="eastAsia" w:hAnsi="宋体"/>
                <w:sz w:val="22"/>
                <w:szCs w:val="22"/>
              </w:rPr>
              <w:t>符合GB/T34722-2017《浸渍胶膜纸饰面胶合板和细木工板》要求，表面耐污染腐蚀达5级，甲醛释放量小于0.05mg/m³。</w:t>
            </w:r>
          </w:p>
          <w:p w14:paraId="2B9076C7">
            <w:pPr>
              <w:spacing w:line="360" w:lineRule="exact"/>
              <w:jc w:val="left"/>
              <w:rPr>
                <w:rFonts w:hint="eastAsia" w:hAnsi="宋体"/>
                <w:sz w:val="22"/>
                <w:szCs w:val="22"/>
              </w:rPr>
            </w:pPr>
            <w:r>
              <w:rPr>
                <w:rFonts w:hint="eastAsia" w:hAnsi="宋体"/>
                <w:sz w:val="22"/>
                <w:szCs w:val="22"/>
              </w:rPr>
              <w:t>4、导轨</w:t>
            </w:r>
          </w:p>
          <w:p w14:paraId="60296989">
            <w:pPr>
              <w:spacing w:line="360" w:lineRule="exact"/>
              <w:jc w:val="left"/>
              <w:rPr>
                <w:rFonts w:hint="eastAsia" w:hAnsi="宋体"/>
                <w:sz w:val="22"/>
                <w:szCs w:val="22"/>
              </w:rPr>
            </w:pPr>
            <w:r>
              <w:rPr>
                <w:rFonts w:hint="eastAsia" w:hAnsi="宋体"/>
                <w:sz w:val="22"/>
                <w:szCs w:val="22"/>
              </w:rPr>
              <w:t>检测依据：</w:t>
            </w:r>
          </w:p>
          <w:p w14:paraId="2FC2A448">
            <w:pPr>
              <w:spacing w:line="360" w:lineRule="exact"/>
              <w:jc w:val="left"/>
              <w:rPr>
                <w:rFonts w:hint="eastAsia" w:hAnsi="宋体"/>
                <w:sz w:val="22"/>
                <w:szCs w:val="22"/>
              </w:rPr>
            </w:pPr>
            <w:r>
              <w:rPr>
                <w:rFonts w:hint="eastAsia" w:hAnsi="宋体"/>
                <w:sz w:val="22"/>
                <w:szCs w:val="22"/>
              </w:rPr>
              <w:t>符合QB/T 2454-2013《家具五金 抽屉导轨要求和检验》要求，过载均符合要求，下沉量未超过抽屉导轨拉出长度的4%，耐腐蚀18H无锈点。</w:t>
            </w:r>
          </w:p>
        </w:tc>
      </w:tr>
      <w:tr w14:paraId="610FA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36" w:type="pct"/>
            <w:shd w:val="clear" w:color="auto" w:fill="FFFFFF" w:themeFill="background1"/>
            <w:vAlign w:val="center"/>
          </w:tcPr>
          <w:p w14:paraId="02413611">
            <w:pPr>
              <w:spacing w:line="360" w:lineRule="exact"/>
              <w:jc w:val="center"/>
              <w:rPr>
                <w:rFonts w:hint="eastAsia" w:hAnsi="宋体"/>
                <w:sz w:val="22"/>
                <w:szCs w:val="22"/>
              </w:rPr>
            </w:pPr>
            <w:r>
              <w:rPr>
                <w:rFonts w:hint="eastAsia" w:hAnsi="宋体"/>
                <w:sz w:val="22"/>
                <w:szCs w:val="22"/>
              </w:rPr>
              <w:t>2</w:t>
            </w:r>
          </w:p>
        </w:tc>
        <w:tc>
          <w:tcPr>
            <w:tcW w:w="1000" w:type="pct"/>
            <w:shd w:val="clear" w:color="auto" w:fill="FFFFFF" w:themeFill="background1"/>
            <w:vAlign w:val="center"/>
          </w:tcPr>
          <w:p w14:paraId="1AC3CCF2">
            <w:pPr>
              <w:spacing w:line="360" w:lineRule="exact"/>
              <w:jc w:val="center"/>
              <w:rPr>
                <w:rFonts w:hint="eastAsia" w:hAnsi="宋体"/>
                <w:sz w:val="22"/>
                <w:szCs w:val="22"/>
              </w:rPr>
            </w:pPr>
            <w:r>
              <w:rPr>
                <w:rFonts w:hint="eastAsia" w:hAnsi="宋体"/>
                <w:sz w:val="22"/>
                <w:szCs w:val="22"/>
              </w:rPr>
              <w:t>技术保障措施</w:t>
            </w:r>
          </w:p>
        </w:tc>
        <w:tc>
          <w:tcPr>
            <w:tcW w:w="482" w:type="pct"/>
            <w:shd w:val="clear" w:color="auto" w:fill="FFFFFF" w:themeFill="background1"/>
            <w:vAlign w:val="center"/>
          </w:tcPr>
          <w:p w14:paraId="649A1E2E">
            <w:pPr>
              <w:spacing w:line="360" w:lineRule="exact"/>
              <w:jc w:val="center"/>
              <w:rPr>
                <w:rFonts w:hint="eastAsia" w:hAnsi="宋体"/>
                <w:sz w:val="22"/>
                <w:szCs w:val="22"/>
              </w:rPr>
            </w:pPr>
            <w:r>
              <w:rPr>
                <w:rFonts w:hint="eastAsia" w:hAnsi="宋体"/>
                <w:sz w:val="22"/>
                <w:szCs w:val="22"/>
              </w:rPr>
              <w:t>7</w:t>
            </w:r>
          </w:p>
        </w:tc>
        <w:tc>
          <w:tcPr>
            <w:tcW w:w="693" w:type="pct"/>
            <w:shd w:val="clear" w:color="auto" w:fill="FFFFFF" w:themeFill="background1"/>
            <w:vAlign w:val="center"/>
          </w:tcPr>
          <w:p w14:paraId="0784B962">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vAlign w:val="center"/>
          </w:tcPr>
          <w:p w14:paraId="09C8A2F2">
            <w:pPr>
              <w:spacing w:line="360" w:lineRule="exact"/>
              <w:jc w:val="left"/>
              <w:rPr>
                <w:rFonts w:hint="eastAsia" w:hAnsi="宋体"/>
                <w:sz w:val="22"/>
                <w:szCs w:val="22"/>
              </w:rPr>
            </w:pPr>
            <w:r>
              <w:rPr>
                <w:rFonts w:hint="eastAsia" w:hAnsi="宋体"/>
                <w:sz w:val="22"/>
                <w:szCs w:val="22"/>
              </w:rPr>
              <w:t>投标人在投标文件中详细说明技术保障措施（包括技术方案、产品供货进度、安装调试及验收方案、售后服务计划等）</w:t>
            </w:r>
          </w:p>
          <w:p w14:paraId="711FD62F">
            <w:pPr>
              <w:spacing w:line="360" w:lineRule="exact"/>
              <w:jc w:val="left"/>
              <w:rPr>
                <w:rFonts w:hint="eastAsia" w:hAnsi="宋体"/>
                <w:sz w:val="22"/>
                <w:szCs w:val="22"/>
              </w:rPr>
            </w:pPr>
            <w:r>
              <w:rPr>
                <w:rFonts w:hint="eastAsia" w:hAnsi="宋体"/>
                <w:sz w:val="22"/>
                <w:szCs w:val="22"/>
              </w:rPr>
              <w:t>以上每满足一项得0.5分，最高得2分。</w:t>
            </w:r>
          </w:p>
          <w:p w14:paraId="6D68B2B8">
            <w:pPr>
              <w:spacing w:line="360" w:lineRule="exact"/>
              <w:jc w:val="left"/>
              <w:rPr>
                <w:rFonts w:hint="eastAsia" w:hAnsi="宋体"/>
                <w:sz w:val="22"/>
                <w:szCs w:val="22"/>
              </w:rPr>
            </w:pPr>
            <w:r>
              <w:rPr>
                <w:rFonts w:hint="eastAsia" w:hAnsi="宋体"/>
                <w:sz w:val="22"/>
                <w:szCs w:val="22"/>
              </w:rPr>
              <w:t>评审小组根据招标文件的采购需求和投标文件响应情况，在此基础上进行</w:t>
            </w:r>
            <w:r>
              <w:rPr>
                <w:rFonts w:hint="eastAsia"/>
              </w:rPr>
              <w:t>评审</w:t>
            </w:r>
            <w:r>
              <w:rPr>
                <w:rFonts w:hint="eastAsia" w:hAnsi="宋体"/>
                <w:sz w:val="22"/>
                <w:szCs w:val="22"/>
              </w:rPr>
              <w:t>：</w:t>
            </w:r>
          </w:p>
          <w:p w14:paraId="649D418A">
            <w:pPr>
              <w:spacing w:line="360" w:lineRule="exact"/>
              <w:jc w:val="left"/>
              <w:rPr>
                <w:rFonts w:hint="eastAsia" w:hAnsi="宋体"/>
                <w:sz w:val="22"/>
                <w:szCs w:val="22"/>
              </w:rPr>
            </w:pPr>
            <w:r>
              <w:rPr>
                <w:rFonts w:hint="eastAsia" w:hAnsi="宋体"/>
                <w:sz w:val="22"/>
                <w:szCs w:val="22"/>
              </w:rPr>
              <w:t>1.内容全面、具体、针对性强、科学合理、可操作性强评价为优得5分；</w:t>
            </w:r>
          </w:p>
          <w:p w14:paraId="7FE83F58">
            <w:pPr>
              <w:spacing w:line="360" w:lineRule="exact"/>
              <w:jc w:val="left"/>
              <w:rPr>
                <w:rFonts w:hint="eastAsia" w:hAnsi="宋体"/>
                <w:sz w:val="22"/>
                <w:szCs w:val="22"/>
              </w:rPr>
            </w:pPr>
            <w:r>
              <w:rPr>
                <w:rFonts w:hint="eastAsia" w:hAnsi="宋体"/>
                <w:sz w:val="22"/>
                <w:szCs w:val="22"/>
              </w:rPr>
              <w:t>2.内容一般、但具有针对性、可操作性评价为良得3分；</w:t>
            </w:r>
          </w:p>
          <w:p w14:paraId="0BD3089C">
            <w:pPr>
              <w:spacing w:line="360" w:lineRule="exact"/>
              <w:jc w:val="left"/>
              <w:rPr>
                <w:rFonts w:hint="eastAsia" w:hAnsi="宋体"/>
                <w:sz w:val="22"/>
                <w:szCs w:val="22"/>
              </w:rPr>
            </w:pPr>
            <w:r>
              <w:rPr>
                <w:rFonts w:hint="eastAsia" w:hAnsi="宋体"/>
                <w:sz w:val="22"/>
                <w:szCs w:val="22"/>
              </w:rPr>
              <w:t>3.内容具有一定的针对性和可操作性评价为中得2分；</w:t>
            </w:r>
          </w:p>
          <w:p w14:paraId="39FE030B">
            <w:pPr>
              <w:spacing w:line="360" w:lineRule="exact"/>
              <w:jc w:val="left"/>
              <w:rPr>
                <w:rFonts w:hint="eastAsia" w:hAnsi="宋体"/>
                <w:sz w:val="22"/>
                <w:szCs w:val="22"/>
              </w:rPr>
            </w:pPr>
            <w:r>
              <w:rPr>
                <w:rFonts w:hint="eastAsia" w:hAnsi="宋体"/>
                <w:sz w:val="22"/>
                <w:szCs w:val="22"/>
              </w:rPr>
              <w:t>4.内容不详细、针对性和可靠操作性评价为差得1分。</w:t>
            </w:r>
          </w:p>
          <w:p w14:paraId="60C78394">
            <w:pPr>
              <w:spacing w:line="360" w:lineRule="exact"/>
              <w:jc w:val="left"/>
              <w:rPr>
                <w:rFonts w:hint="eastAsia" w:hAnsi="宋体"/>
                <w:sz w:val="22"/>
                <w:szCs w:val="22"/>
              </w:rPr>
            </w:pPr>
            <w:r>
              <w:rPr>
                <w:rFonts w:hint="eastAsia" w:hAnsi="宋体"/>
                <w:sz w:val="22"/>
                <w:szCs w:val="22"/>
              </w:rPr>
              <w:t>未提供或未按要求提供或提供不清晰导致专家无法判断的均不得分。</w:t>
            </w:r>
          </w:p>
        </w:tc>
      </w:tr>
      <w:tr w14:paraId="60FD6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6" w:type="pct"/>
            <w:shd w:val="clear" w:color="auto" w:fill="FFFFFF" w:themeFill="background1"/>
            <w:vAlign w:val="center"/>
          </w:tcPr>
          <w:p w14:paraId="2FDFAB00">
            <w:pPr>
              <w:spacing w:line="360" w:lineRule="exact"/>
              <w:jc w:val="center"/>
              <w:rPr>
                <w:rFonts w:hint="eastAsia" w:hAnsi="宋体"/>
                <w:sz w:val="22"/>
                <w:szCs w:val="22"/>
              </w:rPr>
            </w:pPr>
            <w:r>
              <w:rPr>
                <w:rFonts w:hint="eastAsia" w:hAnsi="宋体"/>
                <w:sz w:val="22"/>
                <w:szCs w:val="22"/>
              </w:rPr>
              <w:t>3</w:t>
            </w:r>
          </w:p>
        </w:tc>
        <w:tc>
          <w:tcPr>
            <w:tcW w:w="1000" w:type="pct"/>
            <w:shd w:val="clear" w:color="auto" w:fill="FFFFFF" w:themeFill="background1"/>
            <w:vAlign w:val="center"/>
          </w:tcPr>
          <w:p w14:paraId="32AFD9AC">
            <w:pPr>
              <w:spacing w:line="360" w:lineRule="exact"/>
              <w:jc w:val="center"/>
              <w:rPr>
                <w:rFonts w:hint="eastAsia" w:hAnsi="宋体"/>
                <w:sz w:val="22"/>
                <w:szCs w:val="22"/>
              </w:rPr>
            </w:pPr>
            <w:r>
              <w:rPr>
                <w:rFonts w:hint="eastAsia" w:hAnsi="宋体"/>
                <w:sz w:val="22"/>
                <w:szCs w:val="22"/>
              </w:rPr>
              <w:t>设计方案及效果图</w:t>
            </w:r>
          </w:p>
        </w:tc>
        <w:tc>
          <w:tcPr>
            <w:tcW w:w="482" w:type="pct"/>
            <w:shd w:val="clear" w:color="auto" w:fill="FFFFFF" w:themeFill="background1"/>
            <w:vAlign w:val="center"/>
          </w:tcPr>
          <w:p w14:paraId="1F3E5794">
            <w:pPr>
              <w:spacing w:line="360" w:lineRule="exact"/>
              <w:jc w:val="center"/>
              <w:rPr>
                <w:rFonts w:hint="eastAsia" w:hAnsi="宋体"/>
                <w:sz w:val="22"/>
                <w:szCs w:val="22"/>
              </w:rPr>
            </w:pPr>
            <w:r>
              <w:rPr>
                <w:rFonts w:hint="eastAsia" w:hAnsi="宋体"/>
                <w:sz w:val="22"/>
                <w:szCs w:val="22"/>
              </w:rPr>
              <w:t>12</w:t>
            </w:r>
          </w:p>
        </w:tc>
        <w:tc>
          <w:tcPr>
            <w:tcW w:w="693" w:type="pct"/>
            <w:shd w:val="clear" w:color="auto" w:fill="FFFFFF" w:themeFill="background1"/>
            <w:vAlign w:val="center"/>
          </w:tcPr>
          <w:p w14:paraId="35B2962B">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vAlign w:val="center"/>
          </w:tcPr>
          <w:p w14:paraId="1F37BB73">
            <w:pPr>
              <w:spacing w:line="360" w:lineRule="exact"/>
              <w:jc w:val="left"/>
              <w:rPr>
                <w:rFonts w:hint="eastAsia" w:hAnsi="宋体"/>
                <w:sz w:val="22"/>
                <w:szCs w:val="22"/>
              </w:rPr>
            </w:pPr>
            <w:r>
              <w:rPr>
                <w:rFonts w:hint="eastAsia" w:hAnsi="宋体"/>
                <w:sz w:val="22"/>
                <w:szCs w:val="22"/>
              </w:rPr>
              <w:t>（一）评分内容：</w:t>
            </w:r>
          </w:p>
          <w:p w14:paraId="381EFDB9">
            <w:pPr>
              <w:spacing w:line="360" w:lineRule="exact"/>
              <w:jc w:val="left"/>
              <w:rPr>
                <w:rFonts w:hint="eastAsia" w:hAnsi="宋体"/>
                <w:sz w:val="22"/>
                <w:szCs w:val="22"/>
              </w:rPr>
            </w:pPr>
            <w:r>
              <w:rPr>
                <w:rFonts w:hint="eastAsia" w:hAnsi="宋体"/>
                <w:sz w:val="22"/>
                <w:szCs w:val="22"/>
              </w:rPr>
              <w:t>投标人根据采购方项目实际需求，出具符合消防文化风格的设计方案和效果图。要求在投标文件中详细说明设计方案并分别呈现重点区域家具陈列的鸟瞰图和三维立体效果图。1）餐厅；2）备勤室；3）多媒体会议室；4）会议等候室。</w:t>
            </w:r>
          </w:p>
          <w:p w14:paraId="17F87EF9">
            <w:pPr>
              <w:spacing w:line="360" w:lineRule="exact"/>
              <w:jc w:val="left"/>
              <w:rPr>
                <w:rFonts w:hint="eastAsia" w:hAnsi="宋体"/>
                <w:sz w:val="22"/>
                <w:szCs w:val="22"/>
              </w:rPr>
            </w:pPr>
            <w:r>
              <w:rPr>
                <w:rFonts w:hint="eastAsia" w:hAnsi="宋体"/>
                <w:sz w:val="22"/>
                <w:szCs w:val="22"/>
              </w:rPr>
              <w:t>评审小组根据设计方案及效果图进行分档评分，从（包括但不限于）安全性、适宜性、多样性、互动性等方面进行评价，以上每满足一项得1分，最高得4分。未根据建筑平面图实际尺寸出效果图的此项不得分。</w:t>
            </w:r>
          </w:p>
          <w:p w14:paraId="332BC4FD">
            <w:pPr>
              <w:spacing w:line="360" w:lineRule="exact"/>
              <w:jc w:val="left"/>
              <w:rPr>
                <w:rFonts w:hint="eastAsia" w:hAnsi="宋体"/>
                <w:sz w:val="22"/>
                <w:szCs w:val="22"/>
              </w:rPr>
            </w:pPr>
            <w:r>
              <w:rPr>
                <w:rFonts w:hint="eastAsia" w:hAnsi="宋体"/>
                <w:sz w:val="22"/>
                <w:szCs w:val="22"/>
              </w:rPr>
              <w:t>（二）评分依据：</w:t>
            </w:r>
          </w:p>
          <w:p w14:paraId="3130F008">
            <w:pPr>
              <w:spacing w:line="360" w:lineRule="exact"/>
              <w:jc w:val="left"/>
              <w:rPr>
                <w:rFonts w:hint="eastAsia" w:hAnsi="宋体"/>
                <w:sz w:val="22"/>
                <w:szCs w:val="22"/>
              </w:rPr>
            </w:pPr>
            <w:r>
              <w:rPr>
                <w:rFonts w:hint="eastAsia" w:hAnsi="宋体"/>
                <w:sz w:val="22"/>
                <w:szCs w:val="22"/>
              </w:rPr>
              <w:t>评审小组根据招标文件的采购需求和各投标文件响应情况，按照量化的评审因素指标，在上述基础上进一步评审，进行优良中差分档评分：</w:t>
            </w:r>
          </w:p>
          <w:p w14:paraId="3D753FBE">
            <w:pPr>
              <w:spacing w:line="360" w:lineRule="exact"/>
              <w:jc w:val="left"/>
              <w:rPr>
                <w:rFonts w:hint="eastAsia" w:hAnsi="宋体"/>
                <w:sz w:val="22"/>
                <w:szCs w:val="22"/>
              </w:rPr>
            </w:pPr>
            <w:r>
              <w:rPr>
                <w:rFonts w:hint="eastAsia" w:hAnsi="宋体"/>
                <w:sz w:val="22"/>
                <w:szCs w:val="22"/>
              </w:rPr>
              <w:t>1、设计方案及效果图符合室内实际尺寸，设计方案详细，效果图外观样式、色调搭配非常协调，区域规划布局非常合理，实用性强，空间利用率高、符合消防使用需要为优，得8分。</w:t>
            </w:r>
          </w:p>
          <w:p w14:paraId="561B37E2">
            <w:pPr>
              <w:spacing w:line="360" w:lineRule="exact"/>
              <w:jc w:val="left"/>
              <w:rPr>
                <w:rFonts w:hint="eastAsia" w:hAnsi="宋体"/>
                <w:sz w:val="22"/>
                <w:szCs w:val="22"/>
              </w:rPr>
            </w:pPr>
            <w:r>
              <w:rPr>
                <w:rFonts w:hint="eastAsia" w:hAnsi="宋体"/>
                <w:sz w:val="22"/>
                <w:szCs w:val="22"/>
              </w:rPr>
              <w:t>2、设计方案及效果图符合室内实际尺寸，设计方案较详细，效果图纸外观样式、色调搭配协调，区域规划布局较合理，实用性较强，空间利用率较高、符合消防使用需要为良，得5分。</w:t>
            </w:r>
          </w:p>
          <w:p w14:paraId="6D3BCD76">
            <w:pPr>
              <w:spacing w:line="360" w:lineRule="exact"/>
              <w:jc w:val="left"/>
              <w:rPr>
                <w:rFonts w:hint="eastAsia" w:hAnsi="宋体"/>
                <w:sz w:val="22"/>
                <w:szCs w:val="22"/>
              </w:rPr>
            </w:pPr>
            <w:r>
              <w:rPr>
                <w:rFonts w:hint="eastAsia" w:hAnsi="宋体"/>
                <w:sz w:val="22"/>
                <w:szCs w:val="22"/>
              </w:rPr>
              <w:t>3、设计方案及效果图符合室内实际尺寸，设计方案基本详细，效果图纸外观样式、色调搭配一般，区域规划布局一般，实用性一般，空间利用率不高、基本符合消防使用需要为中，得2分。</w:t>
            </w:r>
          </w:p>
          <w:p w14:paraId="2A462B71">
            <w:pPr>
              <w:spacing w:line="360" w:lineRule="exact"/>
              <w:jc w:val="left"/>
              <w:rPr>
                <w:rFonts w:hint="eastAsia" w:hAnsi="宋体"/>
                <w:sz w:val="22"/>
                <w:szCs w:val="22"/>
              </w:rPr>
            </w:pPr>
            <w:r>
              <w:rPr>
                <w:rFonts w:hint="eastAsia" w:hAnsi="宋体"/>
                <w:sz w:val="22"/>
                <w:szCs w:val="22"/>
              </w:rPr>
              <w:t>4、设计方案及效果图符合室内实际尺寸，设计方案不详细，效果图纸外观样式、色调搭配不一致，区域规划布局不合理，实用性不强，空间利用率不高、不符合消防使用需要为差，得1分。</w:t>
            </w:r>
          </w:p>
        </w:tc>
      </w:tr>
      <w:tr w14:paraId="43401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9" w:hRule="atLeast"/>
          <w:jc w:val="center"/>
        </w:trPr>
        <w:tc>
          <w:tcPr>
            <w:tcW w:w="2612" w:type="pct"/>
            <w:gridSpan w:val="4"/>
            <w:shd w:val="clear" w:color="auto" w:fill="FFFFFF" w:themeFill="background1"/>
            <w:vAlign w:val="center"/>
          </w:tcPr>
          <w:p w14:paraId="744DEA15">
            <w:pPr>
              <w:spacing w:line="360" w:lineRule="exact"/>
              <w:jc w:val="center"/>
              <w:rPr>
                <w:rFonts w:hint="eastAsia" w:hAnsi="宋体"/>
                <w:sz w:val="22"/>
                <w:szCs w:val="22"/>
              </w:rPr>
            </w:pPr>
            <w:r>
              <w:rPr>
                <w:rFonts w:hint="eastAsia" w:hAnsi="宋体"/>
                <w:sz w:val="22"/>
                <w:szCs w:val="22"/>
              </w:rPr>
              <w:t>商务部分</w:t>
            </w:r>
          </w:p>
        </w:tc>
        <w:tc>
          <w:tcPr>
            <w:tcW w:w="2387" w:type="pct"/>
            <w:shd w:val="clear" w:color="auto" w:fill="FFFFFF" w:themeFill="background1"/>
            <w:vAlign w:val="center"/>
          </w:tcPr>
          <w:p w14:paraId="6C1A2D13">
            <w:pPr>
              <w:spacing w:line="360" w:lineRule="exact"/>
              <w:jc w:val="center"/>
              <w:rPr>
                <w:rFonts w:hint="eastAsia" w:hAnsi="宋体"/>
                <w:sz w:val="22"/>
                <w:szCs w:val="22"/>
              </w:rPr>
            </w:pPr>
            <w:r>
              <w:rPr>
                <w:rFonts w:hint="eastAsia" w:hAnsi="宋体"/>
                <w:sz w:val="22"/>
                <w:szCs w:val="22"/>
              </w:rPr>
              <w:t>25</w:t>
            </w:r>
          </w:p>
        </w:tc>
      </w:tr>
      <w:tr w14:paraId="1BA47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80" w:hRule="atLeast"/>
          <w:jc w:val="center"/>
        </w:trPr>
        <w:tc>
          <w:tcPr>
            <w:tcW w:w="436" w:type="pct"/>
            <w:shd w:val="clear" w:color="auto" w:fill="FFFFFF" w:themeFill="background1"/>
            <w:vAlign w:val="center"/>
          </w:tcPr>
          <w:p w14:paraId="0DF4E868">
            <w:pPr>
              <w:spacing w:line="360" w:lineRule="exact"/>
              <w:jc w:val="center"/>
              <w:rPr>
                <w:rFonts w:hint="eastAsia" w:hAnsi="宋体"/>
                <w:sz w:val="22"/>
                <w:szCs w:val="22"/>
              </w:rPr>
            </w:pPr>
            <w:r>
              <w:rPr>
                <w:rFonts w:hint="eastAsia" w:hAnsi="宋体"/>
                <w:sz w:val="22"/>
                <w:szCs w:val="22"/>
              </w:rPr>
              <w:t>序号</w:t>
            </w:r>
          </w:p>
        </w:tc>
        <w:tc>
          <w:tcPr>
            <w:tcW w:w="1000" w:type="pct"/>
            <w:shd w:val="clear" w:color="auto" w:fill="FFFFFF" w:themeFill="background1"/>
            <w:vAlign w:val="center"/>
          </w:tcPr>
          <w:p w14:paraId="0784A2B8">
            <w:pPr>
              <w:spacing w:line="360" w:lineRule="exact"/>
              <w:jc w:val="center"/>
              <w:rPr>
                <w:rFonts w:hint="eastAsia" w:hAnsi="宋体"/>
                <w:sz w:val="22"/>
                <w:szCs w:val="22"/>
              </w:rPr>
            </w:pPr>
            <w:r>
              <w:rPr>
                <w:rFonts w:hint="eastAsia" w:hAnsi="宋体"/>
                <w:sz w:val="22"/>
                <w:szCs w:val="22"/>
              </w:rPr>
              <w:t>评分因素</w:t>
            </w:r>
          </w:p>
        </w:tc>
        <w:tc>
          <w:tcPr>
            <w:tcW w:w="482" w:type="pct"/>
            <w:shd w:val="clear" w:color="auto" w:fill="FFFFFF" w:themeFill="background1"/>
            <w:vAlign w:val="center"/>
          </w:tcPr>
          <w:p w14:paraId="06632485">
            <w:pPr>
              <w:spacing w:line="360" w:lineRule="exact"/>
              <w:jc w:val="center"/>
              <w:rPr>
                <w:rFonts w:hint="eastAsia" w:hAnsi="宋体"/>
                <w:sz w:val="22"/>
                <w:szCs w:val="22"/>
              </w:rPr>
            </w:pPr>
            <w:r>
              <w:rPr>
                <w:rFonts w:hint="eastAsia" w:hAnsi="宋体"/>
                <w:sz w:val="22"/>
                <w:szCs w:val="22"/>
              </w:rPr>
              <w:t>分值</w:t>
            </w:r>
          </w:p>
        </w:tc>
        <w:tc>
          <w:tcPr>
            <w:tcW w:w="693" w:type="pct"/>
            <w:shd w:val="clear" w:color="auto" w:fill="FFFFFF" w:themeFill="background1"/>
            <w:vAlign w:val="center"/>
          </w:tcPr>
          <w:p w14:paraId="247CB438">
            <w:pPr>
              <w:spacing w:line="360" w:lineRule="exact"/>
              <w:jc w:val="center"/>
              <w:rPr>
                <w:rFonts w:hint="eastAsia" w:hAnsi="宋体"/>
                <w:sz w:val="22"/>
                <w:szCs w:val="22"/>
              </w:rPr>
            </w:pPr>
            <w:r>
              <w:rPr>
                <w:rFonts w:hint="eastAsia" w:hAnsi="宋体"/>
                <w:sz w:val="22"/>
                <w:szCs w:val="22"/>
              </w:rPr>
              <w:t>评分方式</w:t>
            </w:r>
          </w:p>
        </w:tc>
        <w:tc>
          <w:tcPr>
            <w:tcW w:w="2387" w:type="pct"/>
            <w:shd w:val="clear" w:color="auto" w:fill="FFFFFF" w:themeFill="background1"/>
            <w:vAlign w:val="center"/>
          </w:tcPr>
          <w:p w14:paraId="5F1AA122">
            <w:pPr>
              <w:spacing w:line="360" w:lineRule="exact"/>
              <w:ind w:firstLine="440" w:firstLineChars="200"/>
              <w:jc w:val="center"/>
              <w:rPr>
                <w:rFonts w:hint="eastAsia" w:hAnsi="宋体"/>
                <w:sz w:val="22"/>
                <w:szCs w:val="22"/>
              </w:rPr>
            </w:pPr>
            <w:r>
              <w:rPr>
                <w:rFonts w:hint="eastAsia" w:hAnsi="宋体"/>
                <w:sz w:val="22"/>
                <w:szCs w:val="22"/>
              </w:rPr>
              <w:t>评分准则</w:t>
            </w:r>
          </w:p>
        </w:tc>
      </w:tr>
      <w:tr w14:paraId="1F3BF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6" w:type="pct"/>
            <w:shd w:val="clear" w:color="auto" w:fill="FFFFFF" w:themeFill="background1"/>
            <w:vAlign w:val="center"/>
          </w:tcPr>
          <w:p w14:paraId="0FB1CC4F">
            <w:pPr>
              <w:spacing w:line="360" w:lineRule="exact"/>
              <w:jc w:val="center"/>
              <w:rPr>
                <w:rFonts w:hint="eastAsia" w:hAnsi="宋体"/>
                <w:sz w:val="22"/>
                <w:szCs w:val="22"/>
              </w:rPr>
            </w:pPr>
            <w:r>
              <w:rPr>
                <w:rFonts w:hint="eastAsia" w:hAnsi="宋体"/>
                <w:sz w:val="22"/>
                <w:szCs w:val="22"/>
              </w:rPr>
              <w:t>1</w:t>
            </w:r>
          </w:p>
        </w:tc>
        <w:tc>
          <w:tcPr>
            <w:tcW w:w="1000" w:type="pct"/>
            <w:shd w:val="clear" w:color="auto" w:fill="FFFFFF" w:themeFill="background1"/>
            <w:vAlign w:val="center"/>
          </w:tcPr>
          <w:p w14:paraId="32F7BBAE">
            <w:pPr>
              <w:spacing w:line="360" w:lineRule="exact"/>
              <w:jc w:val="center"/>
              <w:rPr>
                <w:rFonts w:hint="eastAsia" w:hAnsi="宋体"/>
                <w:sz w:val="22"/>
                <w:szCs w:val="22"/>
              </w:rPr>
            </w:pPr>
            <w:r>
              <w:rPr>
                <w:rFonts w:hint="eastAsia" w:hAnsi="宋体"/>
                <w:sz w:val="22"/>
                <w:szCs w:val="22"/>
              </w:rPr>
              <w:t>售后服务保障措施</w:t>
            </w:r>
          </w:p>
        </w:tc>
        <w:tc>
          <w:tcPr>
            <w:tcW w:w="482" w:type="pct"/>
            <w:shd w:val="clear" w:color="auto" w:fill="FFFFFF" w:themeFill="background1"/>
            <w:vAlign w:val="center"/>
          </w:tcPr>
          <w:p w14:paraId="64E7D8E7">
            <w:pPr>
              <w:spacing w:line="360" w:lineRule="exact"/>
              <w:jc w:val="center"/>
              <w:rPr>
                <w:rFonts w:hint="eastAsia" w:hAnsi="宋体"/>
                <w:sz w:val="22"/>
                <w:szCs w:val="22"/>
              </w:rPr>
            </w:pPr>
            <w:r>
              <w:rPr>
                <w:rFonts w:hint="eastAsia" w:hAnsi="宋体"/>
                <w:sz w:val="22"/>
                <w:szCs w:val="22"/>
              </w:rPr>
              <w:t>9</w:t>
            </w:r>
          </w:p>
        </w:tc>
        <w:tc>
          <w:tcPr>
            <w:tcW w:w="693" w:type="pct"/>
            <w:shd w:val="clear" w:color="auto" w:fill="FFFFFF" w:themeFill="background1"/>
            <w:vAlign w:val="center"/>
          </w:tcPr>
          <w:p w14:paraId="2D78F5D4">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vAlign w:val="center"/>
          </w:tcPr>
          <w:p w14:paraId="147B8CAD">
            <w:pPr>
              <w:spacing w:line="360" w:lineRule="exact"/>
              <w:jc w:val="left"/>
              <w:rPr>
                <w:rFonts w:hint="eastAsia" w:hAnsi="宋体"/>
                <w:sz w:val="22"/>
                <w:szCs w:val="22"/>
              </w:rPr>
            </w:pPr>
            <w:r>
              <w:rPr>
                <w:rFonts w:hint="eastAsia" w:hAnsi="宋体"/>
                <w:sz w:val="22"/>
                <w:szCs w:val="22"/>
              </w:rPr>
              <w:t>根据投标人提供的售后服务内容中（售后服务计划、售后服务标准、应急服务响应时间、故障解决能力）</w:t>
            </w:r>
          </w:p>
          <w:p w14:paraId="62D08756">
            <w:pPr>
              <w:spacing w:line="360" w:lineRule="exact"/>
              <w:jc w:val="left"/>
              <w:rPr>
                <w:rFonts w:hint="eastAsia" w:hAnsi="宋体"/>
                <w:sz w:val="22"/>
                <w:szCs w:val="22"/>
              </w:rPr>
            </w:pPr>
            <w:r>
              <w:rPr>
                <w:rFonts w:hint="eastAsia" w:hAnsi="宋体"/>
                <w:sz w:val="22"/>
                <w:szCs w:val="22"/>
              </w:rPr>
              <w:t>以上每满足一项得0.5分，最高得2分。</w:t>
            </w:r>
          </w:p>
          <w:p w14:paraId="74E4DACF">
            <w:pPr>
              <w:spacing w:line="360" w:lineRule="exact"/>
              <w:jc w:val="left"/>
              <w:rPr>
                <w:rFonts w:hint="eastAsia" w:hAnsi="宋体"/>
                <w:sz w:val="22"/>
                <w:szCs w:val="22"/>
              </w:rPr>
            </w:pPr>
            <w:r>
              <w:rPr>
                <w:rFonts w:hint="eastAsia" w:hAnsi="宋体"/>
                <w:sz w:val="22"/>
                <w:szCs w:val="22"/>
              </w:rPr>
              <w:t>在此基础上，专家根据各投标文件的具体响应内容按照量化的评审因素指标进行</w:t>
            </w:r>
            <w:r>
              <w:rPr>
                <w:rFonts w:hint="eastAsia"/>
              </w:rPr>
              <w:t>评审</w:t>
            </w:r>
            <w:r>
              <w:rPr>
                <w:rFonts w:hint="eastAsia" w:hAnsi="宋体"/>
                <w:sz w:val="22"/>
                <w:szCs w:val="22"/>
              </w:rPr>
              <w:t>：</w:t>
            </w:r>
          </w:p>
          <w:p w14:paraId="0AAB3EF9">
            <w:pPr>
              <w:spacing w:line="360" w:lineRule="exact"/>
              <w:jc w:val="left"/>
              <w:rPr>
                <w:rFonts w:hint="eastAsia" w:hAnsi="宋体"/>
                <w:sz w:val="22"/>
                <w:szCs w:val="22"/>
              </w:rPr>
            </w:pPr>
            <w:r>
              <w:rPr>
                <w:rFonts w:hint="eastAsia" w:hAnsi="宋体"/>
                <w:sz w:val="22"/>
                <w:szCs w:val="22"/>
              </w:rPr>
              <w:t>（1）措施科学合理，切实可行，优得7分；</w:t>
            </w:r>
          </w:p>
          <w:p w14:paraId="669B8F07">
            <w:pPr>
              <w:spacing w:line="360" w:lineRule="exact"/>
              <w:jc w:val="left"/>
              <w:rPr>
                <w:rFonts w:hint="eastAsia" w:hAnsi="宋体"/>
                <w:sz w:val="22"/>
                <w:szCs w:val="22"/>
              </w:rPr>
            </w:pPr>
            <w:r>
              <w:rPr>
                <w:rFonts w:hint="eastAsia" w:hAnsi="宋体"/>
                <w:sz w:val="22"/>
                <w:szCs w:val="22"/>
              </w:rPr>
              <w:t>（2）措施完整，有一定可行性，良得4分；</w:t>
            </w:r>
          </w:p>
          <w:p w14:paraId="78CADEB3">
            <w:pPr>
              <w:spacing w:line="360" w:lineRule="exact"/>
              <w:jc w:val="left"/>
              <w:rPr>
                <w:rFonts w:hint="eastAsia" w:hAnsi="宋体"/>
                <w:sz w:val="22"/>
                <w:szCs w:val="22"/>
              </w:rPr>
            </w:pPr>
            <w:r>
              <w:rPr>
                <w:rFonts w:hint="eastAsia" w:hAnsi="宋体"/>
                <w:sz w:val="22"/>
                <w:szCs w:val="22"/>
              </w:rPr>
              <w:t>（3）措施较完整，可行性一般，中得1分；</w:t>
            </w:r>
          </w:p>
          <w:p w14:paraId="19CE6D18">
            <w:pPr>
              <w:spacing w:line="360" w:lineRule="exact"/>
              <w:jc w:val="left"/>
              <w:rPr>
                <w:rFonts w:hint="eastAsia" w:hAnsi="宋体"/>
                <w:sz w:val="22"/>
                <w:szCs w:val="22"/>
              </w:rPr>
            </w:pPr>
            <w:r>
              <w:rPr>
                <w:rFonts w:hint="eastAsia" w:hAnsi="宋体"/>
                <w:sz w:val="22"/>
                <w:szCs w:val="22"/>
              </w:rPr>
              <w:t>（4）投标文件中未体现以上内容或提供不清晰导致专家无法判断的不得分。</w:t>
            </w:r>
          </w:p>
        </w:tc>
      </w:tr>
      <w:tr w14:paraId="3AF2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436" w:type="pct"/>
            <w:shd w:val="clear" w:color="auto" w:fill="FFFFFF" w:themeFill="background1"/>
            <w:vAlign w:val="center"/>
          </w:tcPr>
          <w:p w14:paraId="59EB28C8">
            <w:pPr>
              <w:spacing w:line="360" w:lineRule="exact"/>
              <w:jc w:val="center"/>
              <w:rPr>
                <w:rFonts w:hint="eastAsia" w:hAnsi="宋体"/>
                <w:sz w:val="22"/>
                <w:szCs w:val="22"/>
              </w:rPr>
            </w:pPr>
            <w:r>
              <w:rPr>
                <w:rFonts w:hint="eastAsia" w:hAnsi="宋体"/>
                <w:sz w:val="22"/>
                <w:szCs w:val="22"/>
              </w:rPr>
              <w:t>2</w:t>
            </w:r>
          </w:p>
        </w:tc>
        <w:tc>
          <w:tcPr>
            <w:tcW w:w="1000" w:type="pct"/>
            <w:shd w:val="clear" w:color="auto" w:fill="FFFFFF" w:themeFill="background1"/>
            <w:vAlign w:val="center"/>
          </w:tcPr>
          <w:p w14:paraId="2D885ACC">
            <w:pPr>
              <w:spacing w:line="360" w:lineRule="exact"/>
              <w:jc w:val="center"/>
              <w:rPr>
                <w:rFonts w:hint="eastAsia" w:hAnsi="宋体"/>
                <w:sz w:val="22"/>
                <w:szCs w:val="22"/>
              </w:rPr>
            </w:pPr>
            <w:r>
              <w:rPr>
                <w:rFonts w:hint="eastAsia" w:hAnsi="宋体"/>
                <w:sz w:val="22"/>
                <w:szCs w:val="22"/>
              </w:rPr>
              <w:t>同类项目业绩</w:t>
            </w:r>
          </w:p>
        </w:tc>
        <w:tc>
          <w:tcPr>
            <w:tcW w:w="482" w:type="pct"/>
            <w:shd w:val="clear" w:color="auto" w:fill="FFFFFF" w:themeFill="background1"/>
            <w:vAlign w:val="center"/>
          </w:tcPr>
          <w:p w14:paraId="63100B4A">
            <w:pPr>
              <w:spacing w:line="360" w:lineRule="exact"/>
              <w:jc w:val="center"/>
              <w:rPr>
                <w:rFonts w:hint="eastAsia" w:hAnsi="宋体"/>
                <w:sz w:val="22"/>
                <w:szCs w:val="22"/>
              </w:rPr>
            </w:pPr>
            <w:r>
              <w:rPr>
                <w:rFonts w:hint="eastAsia" w:hAnsi="宋体"/>
                <w:sz w:val="22"/>
                <w:szCs w:val="22"/>
              </w:rPr>
              <w:t>3</w:t>
            </w:r>
          </w:p>
        </w:tc>
        <w:tc>
          <w:tcPr>
            <w:tcW w:w="693" w:type="pct"/>
            <w:shd w:val="clear" w:color="auto" w:fill="FFFFFF" w:themeFill="background1"/>
            <w:vAlign w:val="center"/>
          </w:tcPr>
          <w:p w14:paraId="798E0526">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tcPr>
          <w:p w14:paraId="586878E4">
            <w:pPr>
              <w:spacing w:line="360" w:lineRule="exact"/>
              <w:jc w:val="left"/>
              <w:rPr>
                <w:rFonts w:hint="eastAsia" w:hAnsi="宋体"/>
                <w:sz w:val="22"/>
                <w:szCs w:val="22"/>
              </w:rPr>
            </w:pPr>
            <w:r>
              <w:rPr>
                <w:rFonts w:hint="eastAsia" w:hAnsi="宋体"/>
                <w:sz w:val="22"/>
                <w:szCs w:val="22"/>
              </w:rPr>
              <w:t>2021年1月1日至本项目投标截止之日具有家私中标项目经验,每提供1个有效业绩得1分，最高得3分，未提供的不得分。（提供合同关键页或中标通知书复印件加盖公章，原件备查。未提供或提供的不符合要求或提供不清晰导致专家无法判断的均不得分）</w:t>
            </w:r>
          </w:p>
        </w:tc>
      </w:tr>
      <w:tr w14:paraId="18AF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436" w:type="pct"/>
            <w:shd w:val="clear" w:color="auto" w:fill="FFFFFF" w:themeFill="background1"/>
            <w:vAlign w:val="center"/>
          </w:tcPr>
          <w:p w14:paraId="09F80C35">
            <w:pPr>
              <w:spacing w:line="360" w:lineRule="exact"/>
              <w:jc w:val="center"/>
              <w:rPr>
                <w:rFonts w:hint="eastAsia" w:hAnsi="宋体"/>
                <w:sz w:val="22"/>
                <w:szCs w:val="22"/>
              </w:rPr>
            </w:pPr>
            <w:r>
              <w:rPr>
                <w:rFonts w:hint="eastAsia" w:hAnsi="宋体"/>
                <w:sz w:val="22"/>
                <w:szCs w:val="22"/>
              </w:rPr>
              <w:t>3</w:t>
            </w:r>
          </w:p>
        </w:tc>
        <w:tc>
          <w:tcPr>
            <w:tcW w:w="1000" w:type="pct"/>
            <w:shd w:val="clear" w:color="auto" w:fill="FFFFFF" w:themeFill="background1"/>
            <w:vAlign w:val="center"/>
          </w:tcPr>
          <w:p w14:paraId="0BF90F45">
            <w:pPr>
              <w:spacing w:line="360" w:lineRule="exact"/>
              <w:jc w:val="center"/>
              <w:rPr>
                <w:rFonts w:hint="eastAsia" w:hAnsi="宋体"/>
                <w:sz w:val="22"/>
                <w:szCs w:val="22"/>
              </w:rPr>
            </w:pPr>
            <w:r>
              <w:rPr>
                <w:rFonts w:hint="eastAsia" w:hAnsi="宋体"/>
                <w:sz w:val="22"/>
                <w:szCs w:val="22"/>
              </w:rPr>
              <w:t>履约评价情况</w:t>
            </w:r>
          </w:p>
        </w:tc>
        <w:tc>
          <w:tcPr>
            <w:tcW w:w="482" w:type="pct"/>
            <w:shd w:val="clear" w:color="auto" w:fill="FFFFFF" w:themeFill="background1"/>
            <w:vAlign w:val="center"/>
          </w:tcPr>
          <w:p w14:paraId="6CCB7E84">
            <w:pPr>
              <w:spacing w:line="360" w:lineRule="exact"/>
              <w:jc w:val="center"/>
              <w:rPr>
                <w:rFonts w:hint="eastAsia" w:hAnsi="宋体"/>
                <w:sz w:val="22"/>
                <w:szCs w:val="22"/>
              </w:rPr>
            </w:pPr>
            <w:r>
              <w:rPr>
                <w:rFonts w:hint="eastAsia" w:hAnsi="宋体"/>
                <w:sz w:val="22"/>
                <w:szCs w:val="22"/>
              </w:rPr>
              <w:t>3</w:t>
            </w:r>
          </w:p>
        </w:tc>
        <w:tc>
          <w:tcPr>
            <w:tcW w:w="693" w:type="pct"/>
            <w:shd w:val="clear" w:color="auto" w:fill="FFFFFF" w:themeFill="background1"/>
            <w:vAlign w:val="center"/>
          </w:tcPr>
          <w:p w14:paraId="55C16D7C">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tcPr>
          <w:p w14:paraId="78921EA9">
            <w:pPr>
              <w:spacing w:line="360" w:lineRule="exact"/>
              <w:jc w:val="left"/>
              <w:rPr>
                <w:rFonts w:hint="eastAsia" w:hAnsi="宋体"/>
                <w:sz w:val="22"/>
                <w:szCs w:val="22"/>
              </w:rPr>
            </w:pPr>
            <w:r>
              <w:rPr>
                <w:rFonts w:hint="eastAsia" w:hAnsi="宋体"/>
                <w:sz w:val="22"/>
                <w:szCs w:val="22"/>
              </w:rPr>
              <w:t>2021年1月1日至本项目投标截止之日具有上述同类项目经验并经用户单位考核评价为优或满意的每提供1项得1分，满分3分。（须提供以上项目合同关键页及盖有用户单位公章的履约评价扫描件，原件备查。不提供或提供的不符合要求或提供不清晰导致专家无法判断的均不得分）。</w:t>
            </w:r>
          </w:p>
        </w:tc>
      </w:tr>
      <w:tr w14:paraId="4E43B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436" w:type="pct"/>
            <w:shd w:val="clear" w:color="auto" w:fill="FFFFFF" w:themeFill="background1"/>
            <w:vAlign w:val="center"/>
          </w:tcPr>
          <w:p w14:paraId="154A1405">
            <w:pPr>
              <w:spacing w:line="360" w:lineRule="exact"/>
              <w:jc w:val="center"/>
              <w:rPr>
                <w:rFonts w:hint="eastAsia" w:hAnsi="宋体"/>
                <w:sz w:val="22"/>
                <w:szCs w:val="22"/>
              </w:rPr>
            </w:pPr>
            <w:r>
              <w:rPr>
                <w:rFonts w:hint="eastAsia" w:hAnsi="宋体"/>
                <w:sz w:val="22"/>
                <w:szCs w:val="22"/>
              </w:rPr>
              <w:t>4</w:t>
            </w:r>
          </w:p>
        </w:tc>
        <w:tc>
          <w:tcPr>
            <w:tcW w:w="1000" w:type="pct"/>
            <w:shd w:val="clear" w:color="auto" w:fill="FFFFFF" w:themeFill="background1"/>
            <w:vAlign w:val="center"/>
          </w:tcPr>
          <w:p w14:paraId="55EEB86A">
            <w:pPr>
              <w:spacing w:line="360" w:lineRule="exact"/>
              <w:jc w:val="center"/>
              <w:rPr>
                <w:rFonts w:hint="eastAsia" w:hAnsi="宋体"/>
                <w:sz w:val="22"/>
                <w:szCs w:val="22"/>
              </w:rPr>
            </w:pPr>
            <w:r>
              <w:rPr>
                <w:rFonts w:hint="eastAsia"/>
              </w:rPr>
              <w:t>生产设备水平</w:t>
            </w:r>
          </w:p>
        </w:tc>
        <w:tc>
          <w:tcPr>
            <w:tcW w:w="876" w:type="dxa"/>
            <w:shd w:val="clear" w:color="auto" w:fill="FFFFFF" w:themeFill="background1"/>
            <w:vAlign w:val="center"/>
          </w:tcPr>
          <w:p w14:paraId="4225A7FA">
            <w:pPr>
              <w:spacing w:line="360" w:lineRule="exact"/>
              <w:jc w:val="center"/>
              <w:rPr>
                <w:rFonts w:hint="eastAsia" w:hAnsi="宋体"/>
                <w:sz w:val="22"/>
                <w:szCs w:val="22"/>
              </w:rPr>
            </w:pPr>
            <w:r>
              <w:rPr>
                <w:rFonts w:hint="eastAsia" w:hAnsi="宋体"/>
                <w:sz w:val="22"/>
                <w:szCs w:val="22"/>
              </w:rPr>
              <w:t>5</w:t>
            </w:r>
          </w:p>
        </w:tc>
        <w:tc>
          <w:tcPr>
            <w:tcW w:w="1261" w:type="dxa"/>
            <w:shd w:val="clear" w:color="auto" w:fill="FFFFFF" w:themeFill="background1"/>
            <w:vAlign w:val="center"/>
          </w:tcPr>
          <w:p w14:paraId="39AA0A1F">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tcPr>
          <w:p w14:paraId="4B531B1B">
            <w:pPr>
              <w:spacing w:line="360" w:lineRule="exact"/>
              <w:jc w:val="left"/>
              <w:rPr>
                <w:rFonts w:hint="eastAsia" w:hAnsi="宋体"/>
                <w:sz w:val="22"/>
                <w:szCs w:val="22"/>
              </w:rPr>
            </w:pPr>
            <w:r>
              <w:rPr>
                <w:rFonts w:hint="eastAsia"/>
              </w:rPr>
              <w:t>投标人提供重型电脑锯、CNC数控加工中心、全自动斜封边机、全自动直线封边机、四排钻床等生产设备生产运营的设备图片，每一项得1分，最高得5分，未提供不得分。投标人需提供合同或发票佐证。</w:t>
            </w:r>
          </w:p>
        </w:tc>
      </w:tr>
      <w:tr w14:paraId="7112E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2" w:hRule="atLeast"/>
          <w:jc w:val="center"/>
        </w:trPr>
        <w:tc>
          <w:tcPr>
            <w:tcW w:w="436" w:type="pct"/>
            <w:shd w:val="clear" w:color="auto" w:fill="FFFFFF" w:themeFill="background1"/>
            <w:vAlign w:val="center"/>
          </w:tcPr>
          <w:p w14:paraId="17EEA50A">
            <w:pPr>
              <w:spacing w:line="360" w:lineRule="exact"/>
              <w:jc w:val="center"/>
              <w:rPr>
                <w:rFonts w:hint="eastAsia" w:hAnsi="宋体"/>
                <w:sz w:val="22"/>
                <w:szCs w:val="22"/>
              </w:rPr>
            </w:pPr>
            <w:r>
              <w:rPr>
                <w:rFonts w:hint="eastAsia" w:hAnsi="宋体"/>
                <w:sz w:val="22"/>
                <w:szCs w:val="22"/>
              </w:rPr>
              <w:t>5</w:t>
            </w:r>
          </w:p>
        </w:tc>
        <w:tc>
          <w:tcPr>
            <w:tcW w:w="1000" w:type="pct"/>
            <w:shd w:val="clear" w:color="auto" w:fill="FFFFFF" w:themeFill="background1"/>
            <w:vAlign w:val="center"/>
          </w:tcPr>
          <w:p w14:paraId="393E20E3">
            <w:pPr>
              <w:spacing w:line="360" w:lineRule="exact"/>
              <w:jc w:val="center"/>
              <w:rPr>
                <w:rFonts w:hint="eastAsia" w:hAnsi="宋体"/>
                <w:sz w:val="22"/>
                <w:szCs w:val="22"/>
              </w:rPr>
            </w:pPr>
            <w:r>
              <w:rPr>
                <w:rFonts w:hint="eastAsia" w:hAnsi="宋体"/>
                <w:sz w:val="22"/>
                <w:szCs w:val="22"/>
              </w:rPr>
              <w:t>诚信情况</w:t>
            </w:r>
          </w:p>
        </w:tc>
        <w:tc>
          <w:tcPr>
            <w:tcW w:w="482" w:type="pct"/>
            <w:shd w:val="clear" w:color="auto" w:fill="FFFFFF" w:themeFill="background1"/>
            <w:vAlign w:val="center"/>
          </w:tcPr>
          <w:p w14:paraId="1F807D68">
            <w:pPr>
              <w:spacing w:line="360" w:lineRule="exact"/>
              <w:jc w:val="center"/>
              <w:rPr>
                <w:rFonts w:hint="eastAsia" w:hAnsi="宋体"/>
                <w:sz w:val="22"/>
                <w:szCs w:val="22"/>
              </w:rPr>
            </w:pPr>
            <w:r>
              <w:rPr>
                <w:rFonts w:hint="eastAsia" w:hAnsi="宋体"/>
                <w:sz w:val="22"/>
                <w:szCs w:val="22"/>
              </w:rPr>
              <w:t>5</w:t>
            </w:r>
          </w:p>
        </w:tc>
        <w:tc>
          <w:tcPr>
            <w:tcW w:w="693" w:type="pct"/>
            <w:shd w:val="clear" w:color="auto" w:fill="FFFFFF" w:themeFill="background1"/>
            <w:vAlign w:val="center"/>
          </w:tcPr>
          <w:p w14:paraId="1F57C990">
            <w:pPr>
              <w:spacing w:line="360" w:lineRule="exact"/>
              <w:jc w:val="center"/>
              <w:rPr>
                <w:rFonts w:hint="eastAsia" w:hAnsi="宋体"/>
                <w:sz w:val="22"/>
                <w:szCs w:val="22"/>
              </w:rPr>
            </w:pPr>
            <w:r>
              <w:rPr>
                <w:rFonts w:hint="eastAsia" w:hAnsi="宋体"/>
                <w:sz w:val="22"/>
                <w:szCs w:val="22"/>
              </w:rPr>
              <w:t>专家评分</w:t>
            </w:r>
          </w:p>
        </w:tc>
        <w:tc>
          <w:tcPr>
            <w:tcW w:w="2387" w:type="pct"/>
            <w:shd w:val="clear" w:color="auto" w:fill="FFFFFF" w:themeFill="background1"/>
          </w:tcPr>
          <w:p w14:paraId="05DC576F">
            <w:pPr>
              <w:spacing w:line="360" w:lineRule="exact"/>
              <w:jc w:val="left"/>
              <w:rPr>
                <w:rFonts w:hint="eastAsia" w:hAnsi="宋体"/>
                <w:sz w:val="22"/>
                <w:szCs w:val="22"/>
              </w:rPr>
            </w:pPr>
            <w:r>
              <w:rPr>
                <w:rFonts w:hint="eastAsia" w:hAnsi="宋体"/>
                <w:sz w:val="22"/>
                <w:szCs w:val="22"/>
              </w:rPr>
              <w:t>投标人在参与政府采购活动中存在诚信相关问题且在主管部门相关处理措施实施期限内的，本项不得分，否则得满分。投标人无需提供任何证明材料，由工作人员向评审委员会提供相关信息。</w:t>
            </w:r>
          </w:p>
        </w:tc>
      </w:tr>
    </w:tbl>
    <w:p w14:paraId="7C42B5F2">
      <w:pPr>
        <w:tabs>
          <w:tab w:val="clear" w:pos="426"/>
        </w:tabs>
        <w:spacing w:line="240" w:lineRule="auto"/>
      </w:pPr>
    </w:p>
    <w:p w14:paraId="264B086A">
      <w:pPr>
        <w:tabs>
          <w:tab w:val="clear" w:pos="426"/>
        </w:tabs>
        <w:spacing w:line="240" w:lineRule="auto"/>
      </w:pPr>
      <w:r>
        <w:rPr>
          <w:rFonts w:hint="eastAsia"/>
        </w:rPr>
        <w:t>备注：</w:t>
      </w:r>
    </w:p>
    <w:p w14:paraId="278E9BF5">
      <w:pPr>
        <w:tabs>
          <w:tab w:val="clear" w:pos="426"/>
        </w:tabs>
        <w:spacing w:line="240" w:lineRule="auto"/>
        <w:ind w:firstLine="420" w:firstLineChars="200"/>
      </w:pPr>
      <w:r>
        <w:rPr>
          <w:rFonts w:hint="eastAsia"/>
        </w:rPr>
        <w:t>1.价格、技术、商务部分累加分为100分。</w:t>
      </w:r>
    </w:p>
    <w:p w14:paraId="2501CA7E">
      <w:pPr>
        <w:tabs>
          <w:tab w:val="clear" w:pos="426"/>
        </w:tabs>
        <w:spacing w:line="240" w:lineRule="auto"/>
        <w:ind w:firstLine="420" w:firstLineChars="200"/>
        <w:rPr>
          <w:bCs/>
        </w:rPr>
      </w:pPr>
      <w:r>
        <w:rPr>
          <w:rFonts w:hint="eastAsia"/>
        </w:rPr>
        <w:t>2.各投标人得分精确到小数点后两位。</w:t>
      </w:r>
    </w:p>
    <w:bookmarkEnd w:id="3"/>
    <w:p w14:paraId="50C1F7FF">
      <w:pPr>
        <w:shd w:val="clear" w:color="auto" w:fill="auto"/>
        <w:tabs>
          <w:tab w:val="clear" w:pos="426"/>
        </w:tabs>
        <w:adjustRightInd/>
        <w:snapToGrid/>
        <w:spacing w:line="240" w:lineRule="auto"/>
        <w:jc w:val="left"/>
        <w:rPr>
          <w:bCs/>
        </w:rPr>
      </w:pPr>
      <w:r>
        <w:rPr>
          <w:bCs/>
        </w:rPr>
        <w:br w:type="page"/>
      </w:r>
    </w:p>
    <w:p w14:paraId="3C53E2A1">
      <w:pPr>
        <w:pStyle w:val="81"/>
        <w:tabs>
          <w:tab w:val="clear" w:pos="426"/>
        </w:tabs>
      </w:pPr>
    </w:p>
    <w:p w14:paraId="792A1107">
      <w:pPr>
        <w:pStyle w:val="81"/>
        <w:tabs>
          <w:tab w:val="clear" w:pos="426"/>
        </w:tabs>
      </w:pPr>
      <w:bookmarkStart w:id="5" w:name="_Toc8367"/>
      <w:r>
        <w:rPr>
          <w:rFonts w:hint="eastAsia"/>
        </w:rPr>
        <w:t>第一册专用条款</w:t>
      </w:r>
      <w:bookmarkEnd w:id="4"/>
      <w:bookmarkEnd w:id="5"/>
    </w:p>
    <w:p w14:paraId="5DDC31E0">
      <w:pPr>
        <w:pStyle w:val="62"/>
        <w:tabs>
          <w:tab w:val="clear" w:pos="426"/>
        </w:tabs>
      </w:pPr>
      <w:bookmarkStart w:id="6" w:name="_Toc265483798"/>
      <w:bookmarkStart w:id="7" w:name="_Toc432592813"/>
    </w:p>
    <w:p w14:paraId="637253C9">
      <w:pPr>
        <w:pStyle w:val="62"/>
        <w:tabs>
          <w:tab w:val="clear" w:pos="426"/>
        </w:tabs>
      </w:pPr>
      <w:bookmarkStart w:id="8" w:name="_Toc7637"/>
      <w:r>
        <w:rPr>
          <w:rFonts w:hint="eastAsia"/>
        </w:rPr>
        <w:t>第一章招标公告</w:t>
      </w:r>
      <w:bookmarkEnd w:id="6"/>
      <w:bookmarkEnd w:id="7"/>
      <w:bookmarkEnd w:id="8"/>
    </w:p>
    <w:p w14:paraId="34053810">
      <w:pPr>
        <w:kinsoku w:val="0"/>
        <w:autoSpaceDE w:val="0"/>
        <w:autoSpaceDN w:val="0"/>
        <w:spacing w:line="360" w:lineRule="exact"/>
        <w:ind w:firstLine="440" w:firstLineChars="200"/>
        <w:textAlignment w:val="baseline"/>
        <w:rPr>
          <w:rFonts w:hint="eastAsia" w:hAnsi="宋体"/>
          <w:sz w:val="22"/>
          <w:szCs w:val="22"/>
        </w:rPr>
      </w:pPr>
      <w:bookmarkStart w:id="9" w:name="_Toc432592814"/>
      <w:r>
        <w:rPr>
          <w:rFonts w:hint="eastAsia" w:hAnsi="宋体"/>
          <w:sz w:val="22"/>
          <w:szCs w:val="22"/>
        </w:rPr>
        <w:t>项目概况：广东省深圳市消防救援支队大亚湾特勤大队2024年备勤楼家具采购项目的潜在投标人应在深圳市罗湖区太宁路2号百仕达大厦27B获取招标文件，并于202</w:t>
      </w:r>
      <w:r>
        <w:rPr>
          <w:rFonts w:hint="eastAsia" w:hAnsi="宋体"/>
          <w:sz w:val="22"/>
          <w:szCs w:val="22"/>
          <w:lang w:val="en-US" w:eastAsia="zh-CN"/>
        </w:rPr>
        <w:t>5</w:t>
      </w:r>
      <w:r>
        <w:rPr>
          <w:rFonts w:hint="eastAsia" w:hAnsi="宋体"/>
          <w:sz w:val="22"/>
          <w:szCs w:val="22"/>
        </w:rPr>
        <w:t>年</w:t>
      </w:r>
      <w:r>
        <w:rPr>
          <w:rFonts w:hint="eastAsia" w:hAnsi="宋体"/>
          <w:sz w:val="22"/>
          <w:szCs w:val="22"/>
          <w:lang w:val="en-US" w:eastAsia="zh-CN"/>
        </w:rPr>
        <w:t>1</w:t>
      </w:r>
      <w:r>
        <w:rPr>
          <w:rFonts w:hint="eastAsia" w:hAnsi="宋体"/>
          <w:sz w:val="22"/>
          <w:szCs w:val="22"/>
        </w:rPr>
        <w:t>月</w:t>
      </w:r>
      <w:r>
        <w:rPr>
          <w:rFonts w:hint="eastAsia" w:hAnsi="宋体"/>
          <w:sz w:val="22"/>
          <w:szCs w:val="22"/>
          <w:lang w:val="en-US" w:eastAsia="zh-CN"/>
        </w:rPr>
        <w:t>3</w:t>
      </w:r>
      <w:bookmarkStart w:id="208" w:name="_GoBack"/>
      <w:bookmarkEnd w:id="208"/>
      <w:r>
        <w:rPr>
          <w:rFonts w:hint="eastAsia" w:hAnsi="宋体"/>
          <w:sz w:val="22"/>
          <w:szCs w:val="22"/>
        </w:rPr>
        <w:t>日14点30分（北京时间）前递交投标文件。</w:t>
      </w:r>
    </w:p>
    <w:p w14:paraId="474482D2">
      <w:pPr>
        <w:kinsoku w:val="0"/>
        <w:autoSpaceDE w:val="0"/>
        <w:autoSpaceDN w:val="0"/>
        <w:spacing w:line="360" w:lineRule="exact"/>
        <w:ind w:firstLine="442" w:firstLineChars="200"/>
        <w:textAlignment w:val="baseline"/>
        <w:outlineLvl w:val="1"/>
        <w:rPr>
          <w:rFonts w:hint="eastAsia" w:hAnsi="宋体"/>
          <w:b/>
          <w:bCs/>
          <w:sz w:val="22"/>
          <w:szCs w:val="22"/>
        </w:rPr>
      </w:pPr>
    </w:p>
    <w:p w14:paraId="2A5B974B">
      <w:pPr>
        <w:kinsoku w:val="0"/>
        <w:autoSpaceDE w:val="0"/>
        <w:autoSpaceDN w:val="0"/>
        <w:spacing w:line="360" w:lineRule="exact"/>
        <w:ind w:firstLine="442" w:firstLineChars="200"/>
        <w:textAlignment w:val="baseline"/>
        <w:outlineLvl w:val="1"/>
        <w:rPr>
          <w:rFonts w:hint="eastAsia" w:hAnsi="宋体"/>
          <w:b/>
          <w:bCs/>
          <w:sz w:val="22"/>
          <w:szCs w:val="22"/>
        </w:rPr>
      </w:pPr>
      <w:bookmarkStart w:id="10" w:name="_Toc4439"/>
      <w:r>
        <w:rPr>
          <w:rFonts w:hint="eastAsia" w:hAnsi="宋体"/>
          <w:b/>
          <w:bCs/>
          <w:sz w:val="22"/>
          <w:szCs w:val="22"/>
        </w:rPr>
        <w:t>一、项目基本情况</w:t>
      </w:r>
      <w:bookmarkEnd w:id="10"/>
    </w:p>
    <w:p w14:paraId="16C7EC65">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1</w:t>
      </w:r>
      <w:r>
        <w:rPr>
          <w:rFonts w:hint="eastAsia" w:hAnsi="宋体"/>
          <w:snapToGrid w:val="0"/>
          <w:sz w:val="22"/>
          <w:szCs w:val="22"/>
        </w:rPr>
        <w:t>.</w:t>
      </w:r>
      <w:r>
        <w:rPr>
          <w:rFonts w:hint="eastAsia" w:hAnsi="宋体"/>
          <w:sz w:val="22"/>
          <w:szCs w:val="22"/>
        </w:rPr>
        <w:t xml:space="preserve">项目编号：3324-DH2430H2479 </w:t>
      </w:r>
    </w:p>
    <w:p w14:paraId="0EC4917F">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2</w:t>
      </w:r>
      <w:r>
        <w:rPr>
          <w:rFonts w:hint="eastAsia" w:hAnsi="宋体"/>
          <w:snapToGrid w:val="0"/>
          <w:sz w:val="22"/>
          <w:szCs w:val="22"/>
        </w:rPr>
        <w:t>.</w:t>
      </w:r>
      <w:r>
        <w:rPr>
          <w:rFonts w:hint="eastAsia" w:hAnsi="宋体"/>
          <w:sz w:val="22"/>
          <w:szCs w:val="22"/>
        </w:rPr>
        <w:t xml:space="preserve">项目名称：广东省深圳市消防救援支队大亚湾特勤大队2024年备勤楼家具采购项目 </w:t>
      </w:r>
    </w:p>
    <w:p w14:paraId="260E6E75">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3</w:t>
      </w:r>
      <w:r>
        <w:rPr>
          <w:rFonts w:hint="eastAsia" w:hAnsi="宋体"/>
          <w:snapToGrid w:val="0"/>
          <w:sz w:val="22"/>
          <w:szCs w:val="22"/>
        </w:rPr>
        <w:t>.</w:t>
      </w:r>
      <w:r>
        <w:rPr>
          <w:rFonts w:hint="eastAsia" w:hAnsi="宋体"/>
          <w:sz w:val="22"/>
          <w:szCs w:val="22"/>
        </w:rPr>
        <w:t>预算金额：人民币1,393,516.01元</w:t>
      </w:r>
    </w:p>
    <w:p w14:paraId="12B0569F">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4</w:t>
      </w:r>
      <w:r>
        <w:rPr>
          <w:rFonts w:hint="eastAsia" w:hAnsi="宋体"/>
          <w:snapToGrid w:val="0"/>
          <w:sz w:val="22"/>
          <w:szCs w:val="22"/>
        </w:rPr>
        <w:t>.</w:t>
      </w:r>
      <w:r>
        <w:rPr>
          <w:rFonts w:hint="eastAsia" w:hAnsi="宋体"/>
          <w:sz w:val="22"/>
          <w:szCs w:val="22"/>
        </w:rPr>
        <w:t>最高限价：人民币1,393,516.01元</w:t>
      </w:r>
    </w:p>
    <w:p w14:paraId="11F7DC9E">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5</w:t>
      </w:r>
      <w:r>
        <w:rPr>
          <w:rFonts w:hint="eastAsia" w:hAnsi="宋体"/>
          <w:snapToGrid w:val="0"/>
          <w:sz w:val="22"/>
          <w:szCs w:val="22"/>
        </w:rPr>
        <w:t>.</w:t>
      </w:r>
      <w:r>
        <w:rPr>
          <w:rFonts w:hint="eastAsia" w:hAnsi="宋体"/>
          <w:sz w:val="22"/>
          <w:szCs w:val="22"/>
        </w:rPr>
        <w:t>采购需求：</w:t>
      </w:r>
    </w:p>
    <w:tbl>
      <w:tblPr>
        <w:tblStyle w:val="8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00"/>
        <w:gridCol w:w="944"/>
        <w:gridCol w:w="834"/>
        <w:gridCol w:w="1639"/>
        <w:gridCol w:w="1469"/>
      </w:tblGrid>
      <w:tr w14:paraId="568E5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200" w:type="dxa"/>
            <w:vAlign w:val="center"/>
          </w:tcPr>
          <w:p w14:paraId="6CD75E7B">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标的名称</w:t>
            </w:r>
          </w:p>
        </w:tc>
        <w:tc>
          <w:tcPr>
            <w:tcW w:w="944" w:type="dxa"/>
            <w:vAlign w:val="center"/>
          </w:tcPr>
          <w:p w14:paraId="1D5080A8">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数量</w:t>
            </w:r>
          </w:p>
        </w:tc>
        <w:tc>
          <w:tcPr>
            <w:tcW w:w="834" w:type="dxa"/>
            <w:vAlign w:val="center"/>
          </w:tcPr>
          <w:p w14:paraId="34647D21">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单位</w:t>
            </w:r>
          </w:p>
        </w:tc>
        <w:tc>
          <w:tcPr>
            <w:tcW w:w="1639" w:type="dxa"/>
            <w:vAlign w:val="center"/>
          </w:tcPr>
          <w:p w14:paraId="0E213B80">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简要技术需求</w:t>
            </w:r>
          </w:p>
        </w:tc>
        <w:tc>
          <w:tcPr>
            <w:tcW w:w="1469" w:type="dxa"/>
            <w:vAlign w:val="center"/>
          </w:tcPr>
          <w:p w14:paraId="2BF44F2E">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备注</w:t>
            </w:r>
          </w:p>
        </w:tc>
      </w:tr>
      <w:tr w14:paraId="577F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0" w:type="dxa"/>
            <w:vAlign w:val="center"/>
          </w:tcPr>
          <w:p w14:paraId="2E5CC5CA">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广东省深圳市消防救援支队大亚湾特勤大队2024年备勤楼家具采购项目</w:t>
            </w:r>
          </w:p>
        </w:tc>
        <w:tc>
          <w:tcPr>
            <w:tcW w:w="944" w:type="dxa"/>
            <w:vAlign w:val="center"/>
          </w:tcPr>
          <w:p w14:paraId="381C9B9E">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1</w:t>
            </w:r>
          </w:p>
        </w:tc>
        <w:tc>
          <w:tcPr>
            <w:tcW w:w="834" w:type="dxa"/>
            <w:vAlign w:val="center"/>
          </w:tcPr>
          <w:p w14:paraId="3C8ACFF2">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批</w:t>
            </w:r>
          </w:p>
        </w:tc>
        <w:tc>
          <w:tcPr>
            <w:tcW w:w="1639" w:type="dxa"/>
            <w:vAlign w:val="center"/>
          </w:tcPr>
          <w:p w14:paraId="34583EB2">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详见招标文件</w:t>
            </w:r>
          </w:p>
        </w:tc>
        <w:tc>
          <w:tcPr>
            <w:tcW w:w="1469" w:type="dxa"/>
            <w:vAlign w:val="center"/>
          </w:tcPr>
          <w:p w14:paraId="386A0CF4">
            <w:pPr>
              <w:widowControl/>
              <w:kinsoku w:val="0"/>
              <w:autoSpaceDE w:val="0"/>
              <w:autoSpaceDN w:val="0"/>
              <w:spacing w:line="360" w:lineRule="exact"/>
              <w:jc w:val="center"/>
              <w:textAlignment w:val="baseline"/>
              <w:rPr>
                <w:rFonts w:hint="eastAsia" w:hAnsi="宋体"/>
                <w:sz w:val="22"/>
                <w:szCs w:val="22"/>
              </w:rPr>
            </w:pPr>
            <w:r>
              <w:rPr>
                <w:rFonts w:hint="eastAsia" w:hAnsi="宋体"/>
                <w:sz w:val="22"/>
                <w:szCs w:val="22"/>
              </w:rPr>
              <w:t>不接受进口</w:t>
            </w:r>
          </w:p>
        </w:tc>
      </w:tr>
    </w:tbl>
    <w:p w14:paraId="5B391680">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6</w:t>
      </w:r>
      <w:r>
        <w:rPr>
          <w:rFonts w:hint="eastAsia" w:hAnsi="宋体"/>
          <w:snapToGrid w:val="0"/>
          <w:sz w:val="22"/>
          <w:szCs w:val="22"/>
        </w:rPr>
        <w:t>.</w:t>
      </w:r>
      <w:r>
        <w:rPr>
          <w:rFonts w:hint="eastAsia" w:hAnsi="宋体"/>
          <w:sz w:val="22"/>
          <w:szCs w:val="22"/>
        </w:rPr>
        <w:t>合同履行期限：签订合同后25天（日历日）内。</w:t>
      </w:r>
    </w:p>
    <w:p w14:paraId="38212356">
      <w:pPr>
        <w:kinsoku w:val="0"/>
        <w:autoSpaceDE w:val="0"/>
        <w:autoSpaceDN w:val="0"/>
        <w:spacing w:line="360" w:lineRule="exact"/>
        <w:ind w:firstLine="440" w:firstLineChars="200"/>
        <w:textAlignment w:val="baseline"/>
        <w:rPr>
          <w:rFonts w:hint="eastAsia" w:hAnsi="宋体"/>
          <w:sz w:val="22"/>
          <w:szCs w:val="22"/>
        </w:rPr>
      </w:pPr>
      <w:r>
        <w:rPr>
          <w:rFonts w:hAnsi="宋体"/>
          <w:snapToGrid w:val="0"/>
          <w:sz w:val="22"/>
          <w:szCs w:val="22"/>
        </w:rPr>
        <w:t>7</w:t>
      </w:r>
      <w:r>
        <w:rPr>
          <w:rFonts w:hint="eastAsia" w:hAnsi="宋体"/>
          <w:snapToGrid w:val="0"/>
          <w:sz w:val="22"/>
          <w:szCs w:val="22"/>
        </w:rPr>
        <w:t>.</w:t>
      </w:r>
      <w:r>
        <w:rPr>
          <w:rFonts w:hint="eastAsia" w:hAnsi="宋体"/>
          <w:sz w:val="22"/>
          <w:szCs w:val="22"/>
        </w:rPr>
        <w:t>本项目不接受联合体投标。</w:t>
      </w:r>
    </w:p>
    <w:p w14:paraId="6A55773A">
      <w:pPr>
        <w:kinsoku w:val="0"/>
        <w:autoSpaceDE w:val="0"/>
        <w:autoSpaceDN w:val="0"/>
        <w:spacing w:line="360" w:lineRule="exact"/>
        <w:ind w:firstLine="442" w:firstLineChars="200"/>
        <w:textAlignment w:val="baseline"/>
        <w:outlineLvl w:val="1"/>
        <w:rPr>
          <w:rFonts w:hint="eastAsia" w:hAnsi="宋体"/>
          <w:b/>
          <w:sz w:val="22"/>
          <w:szCs w:val="22"/>
        </w:rPr>
      </w:pPr>
    </w:p>
    <w:p w14:paraId="6BCBD5DE">
      <w:pPr>
        <w:kinsoku w:val="0"/>
        <w:autoSpaceDE w:val="0"/>
        <w:autoSpaceDN w:val="0"/>
        <w:spacing w:line="360" w:lineRule="exact"/>
        <w:ind w:firstLine="442" w:firstLineChars="200"/>
        <w:textAlignment w:val="baseline"/>
        <w:outlineLvl w:val="1"/>
        <w:rPr>
          <w:rFonts w:hint="eastAsia" w:hAnsi="宋体"/>
          <w:b/>
          <w:sz w:val="22"/>
          <w:szCs w:val="22"/>
        </w:rPr>
      </w:pPr>
      <w:bookmarkStart w:id="11" w:name="_Toc29284"/>
      <w:r>
        <w:rPr>
          <w:rFonts w:hint="eastAsia" w:hAnsi="宋体"/>
          <w:b/>
          <w:sz w:val="22"/>
          <w:szCs w:val="22"/>
        </w:rPr>
        <w:t>二、申请人资格要求</w:t>
      </w:r>
      <w:bookmarkEnd w:id="11"/>
    </w:p>
    <w:p w14:paraId="05D891C6">
      <w:pPr>
        <w:kinsoku w:val="0"/>
        <w:autoSpaceDE w:val="0"/>
        <w:autoSpaceDN w:val="0"/>
        <w:spacing w:line="360" w:lineRule="exact"/>
        <w:ind w:firstLine="440" w:firstLineChars="200"/>
        <w:textAlignment w:val="baseline"/>
        <w:rPr>
          <w:rFonts w:hint="eastAsia" w:hAnsi="宋体"/>
          <w:sz w:val="22"/>
          <w:szCs w:val="22"/>
        </w:rPr>
      </w:pPr>
      <w:r>
        <w:rPr>
          <w:rFonts w:hint="eastAsia" w:hAnsi="宋体"/>
          <w:snapToGrid w:val="0"/>
          <w:sz w:val="22"/>
          <w:szCs w:val="22"/>
        </w:rPr>
        <w:t>1.</w:t>
      </w:r>
      <w:r>
        <w:rPr>
          <w:rFonts w:hint="eastAsia" w:hAnsi="宋体"/>
          <w:sz w:val="22"/>
          <w:szCs w:val="22"/>
          <w:shd w:val="clear" w:color="auto" w:fill="FFFFFF"/>
        </w:rPr>
        <w:t>满足《中华人民共和国政府采购法》第二十二条规定；</w:t>
      </w:r>
    </w:p>
    <w:p w14:paraId="605D109A">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2.落实政府采购政策需满足的资格要求：本项目落实《政府采购促进中小企业发展管理办法》财库〔2020〕46号的规定，为专门面向中小企业采购的项目。投标人需提供所投产品的制造商为中型或小型或微型企业的《中小企业声明函、残疾人福利性单位声明函及监狱企业声明函》，符合政府采购政策的监狱企业、残疾人福利性单位，视同小型、微型企业，采购标的对应的中小企业划分标准所属行业：工业。</w:t>
      </w:r>
    </w:p>
    <w:p w14:paraId="6D52BC35">
      <w:pPr>
        <w:kinsoku w:val="0"/>
        <w:autoSpaceDE w:val="0"/>
        <w:autoSpaceDN w:val="0"/>
        <w:spacing w:line="360" w:lineRule="exact"/>
        <w:ind w:firstLine="440" w:firstLineChars="200"/>
        <w:jc w:val="left"/>
        <w:textAlignment w:val="baseline"/>
        <w:rPr>
          <w:rFonts w:hint="eastAsia" w:hAnsi="宋体"/>
          <w:sz w:val="22"/>
          <w:szCs w:val="22"/>
        </w:rPr>
      </w:pPr>
      <w:r>
        <w:rPr>
          <w:rFonts w:hint="eastAsia" w:hAnsi="宋体"/>
          <w:snapToGrid w:val="0"/>
          <w:sz w:val="22"/>
          <w:szCs w:val="22"/>
        </w:rPr>
        <w:t>3．</w:t>
      </w:r>
      <w:r>
        <w:rPr>
          <w:rFonts w:hint="eastAsia" w:hAnsi="宋体"/>
          <w:sz w:val="22"/>
          <w:szCs w:val="22"/>
          <w:shd w:val="clear" w:color="auto" w:fill="FFFFFF"/>
        </w:rPr>
        <w:t>本项目的特定资格要求：</w:t>
      </w:r>
    </w:p>
    <w:p w14:paraId="1A0B3C69">
      <w:pPr>
        <w:pStyle w:val="78"/>
        <w:kinsoku w:val="0"/>
        <w:autoSpaceDE w:val="0"/>
        <w:autoSpaceDN w:val="0"/>
        <w:spacing w:line="360" w:lineRule="exact"/>
        <w:ind w:firstLine="440" w:firstLineChars="200"/>
        <w:jc w:val="left"/>
        <w:textAlignment w:val="baseline"/>
        <w:rPr>
          <w:rFonts w:hint="eastAsia" w:hAnsi="宋体"/>
          <w:sz w:val="22"/>
          <w:szCs w:val="22"/>
        </w:rPr>
      </w:pPr>
      <w:r>
        <w:rPr>
          <w:rFonts w:hint="eastAsia" w:hAnsi="宋体"/>
          <w:snapToGrid w:val="0"/>
          <w:sz w:val="22"/>
          <w:szCs w:val="22"/>
        </w:rPr>
        <w:t>(1)</w:t>
      </w:r>
      <w:r>
        <w:rPr>
          <w:rFonts w:hint="eastAsia" w:hAnsi="宋体"/>
          <w:sz w:val="22"/>
          <w:szCs w:val="22"/>
          <w:shd w:val="clear" w:color="auto" w:fill="FFFFFF"/>
        </w:rPr>
        <w:t>投标人必须是具有独立法人资格或为具有独立承担民事责任能力的其它组织（提供营业执照或事业单位法人证书或其他证明材料复印件加盖公章，原件备查）；</w:t>
      </w:r>
    </w:p>
    <w:p w14:paraId="3C194510">
      <w:pPr>
        <w:kinsoku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（2）参与本项目政府采购活动时不存在被有关部门禁止参与政府采购活动且在有效期内的情况（由供应商在《政府采购投标及履约承诺函》中作出声明，加盖公章）；</w:t>
      </w:r>
    </w:p>
    <w:p w14:paraId="307B4424">
      <w:pPr>
        <w:kinsoku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（3）具备《中华人民共和国政府采购法》第二十二条第一款的条件（由供应商在《政府采购投标及履约承诺函》中作出声明，加盖公章）；</w:t>
      </w:r>
    </w:p>
    <w:p w14:paraId="03F1DDF1">
      <w:pPr>
        <w:kinsoku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4）未被列入失信被执行人、重大税收违法失信主体、政府采购严重违法失信行为记录名单（由供应商在《政府采购投标及履约承诺函》中作出声明，加盖公章）；【注：采购代理机构将通过“信用中国”中“信用服务”栏的“重大税收违法失信主体”“失信被执行人”、“中国政府采购网”中的“政府采购严重违法失信行为记录名单”、“深圳信用网”以及“深圳市政府采购监管网”查询供应商的信用信息，相关信息以开标当日的查询结果为准。信用信息查询记录将作为项目档案材料一并保存。】</w:t>
      </w:r>
    </w:p>
    <w:p w14:paraId="70DC1740">
      <w:pPr>
        <w:kinsoku w:val="0"/>
        <w:wordWrap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5）单位法定代表人（负责人）为同一人或者存在直接控股、管理关系的不同供应商，不得同时参加本项目投标（由供应商在《政府采购投标及履约承诺函》中作出声明，加盖公章）【注：采购代理机构将通过国家企业信用信息公示系统(https://www.gsxt.gov.cn/index.html）、机关赋码和事业单位登记管理网（http://gjsy.gov.cn/sydwfrxxcx/)、全国社会组织信用信息公示平台（https://xxgs.chinanpo.mca.gov.cn/gsxt/newList 等网站查询供应商信息，相关信息以截标当日的查询结果为准】；</w:t>
      </w:r>
    </w:p>
    <w:p w14:paraId="4674F500">
      <w:pPr>
        <w:kinsoku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6）不同单位的法定代表人（负责人）、主要经营负责人、项目投标授权代表人、项目负责人、主要技术人员不得为同一人或同一单位或在同一单位缴纳社会保险。（由供应商在《政府采购投标及履约承诺函》中作出声明，并提供人员情况表及人员开标前一个月的社保缴纳情况，加盖公章）；</w:t>
      </w:r>
    </w:p>
    <w:p w14:paraId="0FE7D97E">
      <w:pPr>
        <w:kinsoku w:val="0"/>
        <w:autoSpaceDE w:val="0"/>
        <w:autoSpaceDN w:val="0"/>
        <w:spacing w:line="360" w:lineRule="exact"/>
        <w:ind w:firstLine="440" w:firstLineChars="200"/>
        <w:jc w:val="left"/>
        <w:textAlignment w:val="baseline"/>
        <w:rPr>
          <w:rFonts w:hint="eastAsia" w:hAnsi="宋体"/>
          <w:snapToGrid w:val="0"/>
          <w:sz w:val="22"/>
          <w:szCs w:val="22"/>
        </w:rPr>
      </w:pPr>
      <w:r>
        <w:rPr>
          <w:rFonts w:hint="eastAsia" w:hAnsi="宋体"/>
          <w:snapToGrid w:val="0"/>
          <w:sz w:val="22"/>
          <w:szCs w:val="22"/>
        </w:rPr>
        <w:t>（7）为本项目提供整体设计、规范编制或者项目管理、监理、检测等服务的供应商，不得参加本项目投标。（由供应商在《政府采购投标及履约承诺函》中作出声明，加盖公章）；</w:t>
      </w:r>
    </w:p>
    <w:p w14:paraId="4C8F7E1B">
      <w:pPr>
        <w:kinsoku w:val="0"/>
        <w:autoSpaceDE w:val="0"/>
        <w:autoSpaceDN w:val="0"/>
        <w:spacing w:line="360" w:lineRule="exact"/>
        <w:ind w:firstLine="440" w:firstLineChars="200"/>
        <w:jc w:val="left"/>
        <w:textAlignment w:val="baseline"/>
        <w:rPr>
          <w:rFonts w:hint="eastAsia" w:hAnsi="宋体"/>
          <w:sz w:val="22"/>
          <w:szCs w:val="22"/>
        </w:rPr>
      </w:pPr>
      <w:r>
        <w:rPr>
          <w:rFonts w:hint="eastAsia" w:hAnsi="宋体"/>
          <w:snapToGrid w:val="0"/>
          <w:sz w:val="22"/>
          <w:szCs w:val="22"/>
        </w:rPr>
        <w:t>（8）本项目不接受联合体投标，不接受投标人选用进口产品参与投标，不允许转包分包（由供应商在《政府采购投标及履约承诺函》中作出声明，加盖公章）。</w:t>
      </w:r>
    </w:p>
    <w:p w14:paraId="37E5A8A7">
      <w:pPr>
        <w:kinsoku w:val="0"/>
        <w:autoSpaceDE w:val="0"/>
        <w:autoSpaceDN w:val="0"/>
        <w:spacing w:line="360" w:lineRule="exact"/>
        <w:ind w:firstLine="442" w:firstLineChars="200"/>
        <w:textAlignment w:val="baseline"/>
        <w:outlineLvl w:val="1"/>
        <w:rPr>
          <w:rFonts w:hint="eastAsia" w:hAnsi="宋体"/>
          <w:b/>
          <w:sz w:val="22"/>
          <w:szCs w:val="22"/>
        </w:rPr>
      </w:pPr>
    </w:p>
    <w:p w14:paraId="0083D627">
      <w:pPr>
        <w:kinsoku w:val="0"/>
        <w:autoSpaceDE w:val="0"/>
        <w:autoSpaceDN w:val="0"/>
        <w:spacing w:line="360" w:lineRule="exact"/>
        <w:ind w:firstLine="442" w:firstLineChars="200"/>
        <w:textAlignment w:val="baseline"/>
        <w:outlineLvl w:val="1"/>
        <w:rPr>
          <w:rFonts w:hint="eastAsia" w:hAnsi="宋体"/>
          <w:b/>
          <w:sz w:val="22"/>
          <w:szCs w:val="22"/>
        </w:rPr>
      </w:pPr>
      <w:bookmarkStart w:id="12" w:name="_Toc26421"/>
      <w:r>
        <w:rPr>
          <w:rFonts w:hint="eastAsia" w:hAnsi="宋体"/>
          <w:b/>
          <w:sz w:val="22"/>
          <w:szCs w:val="22"/>
        </w:rPr>
        <w:t>三、获取招标文件</w:t>
      </w:r>
      <w:bookmarkEnd w:id="12"/>
    </w:p>
    <w:p w14:paraId="5CBB5495">
      <w:pPr>
        <w:kinsoku w:val="0"/>
        <w:autoSpaceDE w:val="0"/>
        <w:autoSpaceDN w:val="0"/>
        <w:spacing w:line="360" w:lineRule="exact"/>
        <w:ind w:firstLine="440" w:firstLineChars="200"/>
        <w:textAlignment w:val="baseline"/>
        <w:rPr>
          <w:rFonts w:hint="eastAsia" w:hAnsi="宋体"/>
          <w:sz w:val="22"/>
          <w:szCs w:val="22"/>
        </w:rPr>
      </w:pPr>
      <w:r>
        <w:rPr>
          <w:rFonts w:hint="eastAsia" w:hAnsi="宋体"/>
          <w:snapToGrid w:val="0"/>
          <w:sz w:val="22"/>
          <w:szCs w:val="22"/>
        </w:rPr>
        <w:t>1.</w:t>
      </w:r>
      <w:r>
        <w:rPr>
          <w:rFonts w:hint="eastAsia" w:hAnsi="宋体"/>
          <w:sz w:val="22"/>
          <w:szCs w:val="22"/>
        </w:rPr>
        <w:t>时间：2024年12月1</w:t>
      </w:r>
      <w:r>
        <w:rPr>
          <w:rFonts w:hint="eastAsia" w:hAnsi="宋体"/>
          <w:sz w:val="22"/>
          <w:szCs w:val="22"/>
          <w:lang w:val="en-US" w:eastAsia="zh-CN"/>
        </w:rPr>
        <w:t>1</w:t>
      </w:r>
      <w:r>
        <w:rPr>
          <w:rFonts w:hint="eastAsia" w:hAnsi="宋体"/>
          <w:sz w:val="22"/>
          <w:szCs w:val="22"/>
        </w:rPr>
        <w:t>日至2024年12月23日，每天上午9:00至12:00，下午14:30至17:30（北京时间，法定节假日除外）</w:t>
      </w:r>
    </w:p>
    <w:p w14:paraId="19A8BDBC">
      <w:pPr>
        <w:kinsoku w:val="0"/>
        <w:autoSpaceDE w:val="0"/>
        <w:autoSpaceDN w:val="0"/>
        <w:spacing w:line="360" w:lineRule="exact"/>
        <w:ind w:firstLine="440" w:firstLineChars="200"/>
        <w:textAlignment w:val="baseline"/>
        <w:rPr>
          <w:rFonts w:hint="eastAsia" w:hAnsi="宋体"/>
          <w:sz w:val="22"/>
          <w:szCs w:val="22"/>
        </w:rPr>
      </w:pPr>
      <w:r>
        <w:rPr>
          <w:rFonts w:hint="eastAsia" w:hAnsi="宋体"/>
          <w:snapToGrid w:val="0"/>
          <w:sz w:val="22"/>
          <w:szCs w:val="22"/>
        </w:rPr>
        <w:t>2.</w:t>
      </w:r>
      <w:r>
        <w:rPr>
          <w:rFonts w:hint="eastAsia" w:hAnsi="宋体"/>
          <w:sz w:val="22"/>
          <w:szCs w:val="22"/>
        </w:rPr>
        <w:t>地点：深圳市罗湖区太宁路2号百仕达大厦27B</w:t>
      </w:r>
    </w:p>
    <w:p w14:paraId="79839FEC">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3.方式：现场投标报名或网上投标报名（报名资料均需加盖单位公章）</w:t>
      </w:r>
    </w:p>
    <w:p w14:paraId="499B1DA4">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1）现场投标报名：提供以下资料：1）营业执照（或事业法人登记证等证明文件）复印件；2）法定代表人证明书及授权委托书，附上法定代表人身份证复印件及授权代表身份证复印件；3）《洽购文件登记表》；4）资格要求中其他资质证明文件。注：以上资料均需加盖公章。</w:t>
      </w:r>
    </w:p>
    <w:p w14:paraId="5ECCEEA0">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（2）网上投标报名：发送报名资料至我司邮箱进行报名登记及获取招标文件，邮箱地址：dh@szdhit.com。报名邮件需附以下资料: 1）营业执照（或事业法人登记证等证明文件）复印件；2）法定代表人证明书及授权委托书，附上法定代表人身份证复印件及授权代表身份证复印件；3）《洽购文件登记表》；4）资格要求中其他资质证明文件；5）购买标书费用银行转账凭证。注：以上资料均需加盖公章。报名时间以邮件收到时间为准，工作人员将在第二个工作日与报名资料完整的投标人联系。</w:t>
      </w:r>
    </w:p>
    <w:p w14:paraId="76EB45FD">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（3）供应商可到采购代理机构网站（www.szdhit.com）下载中心免费下载《洽购文件登记表》及《法定代表人证明书及授权委托书》。</w:t>
      </w:r>
    </w:p>
    <w:p w14:paraId="3AE90142">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（4）标书发售联系人及联系方式：葛小姐，0755-86959378转8001</w:t>
      </w:r>
    </w:p>
    <w:p w14:paraId="17E20EAE">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4.售价：500.00元（售后不退）</w:t>
      </w:r>
    </w:p>
    <w:p w14:paraId="5659EA8C">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（1）开户行名称及账号</w:t>
      </w:r>
    </w:p>
    <w:p w14:paraId="5287E5AF">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开户行：中国农业银行股份有限公司深圳东湖支行</w:t>
      </w:r>
    </w:p>
    <w:p w14:paraId="428348D6">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账户名称：深圳市东海国际招标有限公司</w:t>
      </w:r>
    </w:p>
    <w:p w14:paraId="418E008D">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账号：4100 1800 0400 2656 1</w:t>
      </w:r>
    </w:p>
    <w:p w14:paraId="7FB7EDA5">
      <w:pPr>
        <w:kinsoku w:val="0"/>
        <w:autoSpaceDE w:val="0"/>
        <w:autoSpaceDN w:val="0"/>
        <w:spacing w:line="360" w:lineRule="exact"/>
        <w:ind w:firstLine="440" w:firstLineChars="200"/>
        <w:textAlignment w:val="baseline"/>
        <w:rPr>
          <w:rFonts w:hint="eastAsia" w:hAnsi="宋体"/>
          <w:sz w:val="22"/>
          <w:szCs w:val="22"/>
        </w:rPr>
      </w:pPr>
      <w:r>
        <w:rPr>
          <w:rFonts w:hint="eastAsia" w:hAnsi="宋体"/>
          <w:snapToGrid w:val="0"/>
          <w:sz w:val="22"/>
          <w:szCs w:val="22"/>
        </w:rPr>
        <w:t>付款时请备注公司名称+付款原因（购买招标文件或中标服务费付款）</w:t>
      </w:r>
    </w:p>
    <w:p w14:paraId="4E24DDA2">
      <w:pPr>
        <w:kinsoku w:val="0"/>
        <w:autoSpaceDE w:val="0"/>
        <w:autoSpaceDN w:val="0"/>
        <w:spacing w:line="360" w:lineRule="exact"/>
        <w:ind w:firstLine="442" w:firstLineChars="200"/>
        <w:textAlignment w:val="baseline"/>
        <w:outlineLvl w:val="1"/>
        <w:rPr>
          <w:rFonts w:hint="eastAsia" w:hAnsi="宋体"/>
          <w:b/>
          <w:sz w:val="22"/>
          <w:szCs w:val="22"/>
        </w:rPr>
      </w:pPr>
    </w:p>
    <w:p w14:paraId="77577214">
      <w:pPr>
        <w:kinsoku w:val="0"/>
        <w:autoSpaceDE w:val="0"/>
        <w:autoSpaceDN w:val="0"/>
        <w:spacing w:line="360" w:lineRule="exact"/>
        <w:ind w:firstLine="442" w:firstLineChars="200"/>
        <w:textAlignment w:val="baseline"/>
        <w:outlineLvl w:val="1"/>
        <w:rPr>
          <w:rFonts w:hint="eastAsia" w:hAnsi="宋体"/>
          <w:b/>
          <w:sz w:val="22"/>
          <w:szCs w:val="22"/>
        </w:rPr>
      </w:pPr>
      <w:bookmarkStart w:id="13" w:name="_Toc8396"/>
      <w:r>
        <w:rPr>
          <w:rFonts w:hint="eastAsia" w:hAnsi="宋体"/>
          <w:b/>
          <w:sz w:val="22"/>
          <w:szCs w:val="22"/>
        </w:rPr>
        <w:t>四、提交投标文件截止时间、开标时间和地点</w:t>
      </w:r>
      <w:bookmarkEnd w:id="13"/>
    </w:p>
    <w:p w14:paraId="70C06E7C">
      <w:pPr>
        <w:numPr>
          <w:ilvl w:val="0"/>
          <w:numId w:val="32"/>
        </w:numPr>
        <w:kinsoku w:val="0"/>
        <w:autoSpaceDE w:val="0"/>
        <w:autoSpaceDN w:val="0"/>
        <w:spacing w:line="360" w:lineRule="exact"/>
        <w:ind w:firstLine="440" w:firstLineChars="200"/>
        <w:textAlignment w:val="baseline"/>
        <w:rPr>
          <w:rFonts w:hint="eastAsia" w:hAnsi="宋体"/>
          <w:bCs/>
          <w:sz w:val="22"/>
          <w:szCs w:val="22"/>
        </w:rPr>
      </w:pPr>
      <w:r>
        <w:rPr>
          <w:rFonts w:hint="eastAsia" w:hAnsi="宋体"/>
          <w:bCs/>
          <w:sz w:val="22"/>
          <w:szCs w:val="22"/>
        </w:rPr>
        <w:t>提交投标文件截止时间：202</w:t>
      </w:r>
      <w:r>
        <w:rPr>
          <w:rFonts w:hint="eastAsia" w:hAnsi="宋体"/>
          <w:bCs/>
          <w:sz w:val="22"/>
          <w:szCs w:val="22"/>
          <w:lang w:val="en-US" w:eastAsia="zh-CN"/>
        </w:rPr>
        <w:t>5</w:t>
      </w:r>
      <w:r>
        <w:rPr>
          <w:rFonts w:hint="eastAsia" w:hAnsi="宋体"/>
          <w:bCs/>
          <w:sz w:val="22"/>
          <w:szCs w:val="22"/>
        </w:rPr>
        <w:t>年</w:t>
      </w:r>
      <w:r>
        <w:rPr>
          <w:rFonts w:hint="eastAsia" w:hAnsi="宋体"/>
          <w:bCs/>
          <w:sz w:val="22"/>
          <w:szCs w:val="22"/>
          <w:lang w:val="en-US" w:eastAsia="zh-CN"/>
        </w:rPr>
        <w:t>1</w:t>
      </w:r>
      <w:r>
        <w:rPr>
          <w:rFonts w:hint="eastAsia" w:hAnsi="宋体"/>
          <w:bCs/>
          <w:sz w:val="22"/>
          <w:szCs w:val="22"/>
        </w:rPr>
        <w:t>月</w:t>
      </w:r>
      <w:r>
        <w:rPr>
          <w:rFonts w:hint="eastAsia" w:hAnsi="宋体"/>
          <w:bCs/>
          <w:sz w:val="22"/>
          <w:szCs w:val="22"/>
          <w:lang w:val="en-US" w:eastAsia="zh-CN"/>
        </w:rPr>
        <w:t>3</w:t>
      </w:r>
      <w:r>
        <w:rPr>
          <w:rFonts w:hint="eastAsia" w:hAnsi="宋体"/>
          <w:bCs/>
          <w:sz w:val="22"/>
          <w:szCs w:val="22"/>
        </w:rPr>
        <w:t>日14点30分（北京时间）</w:t>
      </w:r>
    </w:p>
    <w:p w14:paraId="215B89C1">
      <w:pPr>
        <w:numPr>
          <w:ilvl w:val="0"/>
          <w:numId w:val="32"/>
        </w:numPr>
        <w:kinsoku w:val="0"/>
        <w:autoSpaceDE w:val="0"/>
        <w:autoSpaceDN w:val="0"/>
        <w:spacing w:line="360" w:lineRule="exact"/>
        <w:ind w:firstLine="440" w:firstLineChars="200"/>
        <w:textAlignment w:val="baseline"/>
        <w:rPr>
          <w:rFonts w:hint="eastAsia" w:hAnsi="宋体"/>
          <w:bCs/>
          <w:sz w:val="22"/>
          <w:szCs w:val="22"/>
        </w:rPr>
      </w:pPr>
      <w:r>
        <w:rPr>
          <w:rFonts w:hint="eastAsia" w:hAnsi="宋体"/>
          <w:bCs/>
          <w:sz w:val="22"/>
          <w:szCs w:val="22"/>
        </w:rPr>
        <w:t>开标时间：202</w:t>
      </w:r>
      <w:r>
        <w:rPr>
          <w:rFonts w:hint="eastAsia" w:hAnsi="宋体"/>
          <w:bCs/>
          <w:sz w:val="22"/>
          <w:szCs w:val="22"/>
          <w:lang w:val="en-US" w:eastAsia="zh-CN"/>
        </w:rPr>
        <w:t>5</w:t>
      </w:r>
      <w:r>
        <w:rPr>
          <w:rFonts w:hint="eastAsia" w:hAnsi="宋体"/>
          <w:bCs/>
          <w:sz w:val="22"/>
          <w:szCs w:val="22"/>
        </w:rPr>
        <w:t>年</w:t>
      </w:r>
      <w:r>
        <w:rPr>
          <w:rFonts w:hint="eastAsia" w:hAnsi="宋体"/>
          <w:bCs/>
          <w:sz w:val="22"/>
          <w:szCs w:val="22"/>
          <w:lang w:val="en-US" w:eastAsia="zh-CN"/>
        </w:rPr>
        <w:t>1</w:t>
      </w:r>
      <w:r>
        <w:rPr>
          <w:rFonts w:hint="eastAsia" w:hAnsi="宋体"/>
          <w:bCs/>
          <w:sz w:val="22"/>
          <w:szCs w:val="22"/>
        </w:rPr>
        <w:t>月</w:t>
      </w:r>
      <w:r>
        <w:rPr>
          <w:rFonts w:hint="eastAsia" w:hAnsi="宋体"/>
          <w:bCs/>
          <w:sz w:val="22"/>
          <w:szCs w:val="22"/>
          <w:lang w:val="en-US" w:eastAsia="zh-CN"/>
        </w:rPr>
        <w:t>3</w:t>
      </w:r>
      <w:r>
        <w:rPr>
          <w:rFonts w:hint="eastAsia" w:hAnsi="宋体"/>
          <w:bCs/>
          <w:sz w:val="22"/>
          <w:szCs w:val="22"/>
        </w:rPr>
        <w:t>日14点30分（北京时间）</w:t>
      </w:r>
    </w:p>
    <w:p w14:paraId="4FC06A95">
      <w:pPr>
        <w:numPr>
          <w:ilvl w:val="0"/>
          <w:numId w:val="32"/>
        </w:numPr>
        <w:kinsoku w:val="0"/>
        <w:autoSpaceDE w:val="0"/>
        <w:autoSpaceDN w:val="0"/>
        <w:spacing w:line="360" w:lineRule="exact"/>
        <w:ind w:firstLine="440" w:firstLineChars="200"/>
        <w:textAlignment w:val="baseline"/>
        <w:rPr>
          <w:rFonts w:hint="eastAsia" w:hAnsi="宋体"/>
          <w:bCs/>
          <w:sz w:val="22"/>
          <w:szCs w:val="22"/>
          <w:u w:val="single"/>
        </w:rPr>
      </w:pPr>
      <w:r>
        <w:rPr>
          <w:rFonts w:hint="eastAsia" w:hAnsi="宋体"/>
          <w:bCs/>
          <w:sz w:val="22"/>
          <w:szCs w:val="22"/>
        </w:rPr>
        <w:t>地点：深圳市罗湖区太宁路2号百仕达大厦27B深圳市东海国际招标有限公司开标室</w:t>
      </w:r>
    </w:p>
    <w:p w14:paraId="23C5BC2F">
      <w:pPr>
        <w:kinsoku w:val="0"/>
        <w:autoSpaceDE w:val="0"/>
        <w:autoSpaceDN w:val="0"/>
        <w:spacing w:line="360" w:lineRule="exact"/>
        <w:ind w:firstLine="442" w:firstLineChars="200"/>
        <w:textAlignment w:val="baseline"/>
        <w:outlineLvl w:val="1"/>
        <w:rPr>
          <w:rFonts w:hint="eastAsia" w:hAnsi="宋体"/>
          <w:b/>
          <w:sz w:val="22"/>
          <w:szCs w:val="22"/>
        </w:rPr>
      </w:pPr>
    </w:p>
    <w:p w14:paraId="73D119AF">
      <w:pPr>
        <w:kinsoku w:val="0"/>
        <w:autoSpaceDE w:val="0"/>
        <w:autoSpaceDN w:val="0"/>
        <w:spacing w:line="360" w:lineRule="exact"/>
        <w:ind w:firstLine="442" w:firstLineChars="200"/>
        <w:textAlignment w:val="baseline"/>
        <w:outlineLvl w:val="1"/>
        <w:rPr>
          <w:rFonts w:hint="eastAsia" w:hAnsi="宋体"/>
          <w:b/>
          <w:sz w:val="22"/>
          <w:szCs w:val="22"/>
        </w:rPr>
      </w:pPr>
      <w:bookmarkStart w:id="14" w:name="_Toc19479"/>
      <w:r>
        <w:rPr>
          <w:rFonts w:hint="eastAsia" w:hAnsi="宋体"/>
          <w:b/>
          <w:sz w:val="22"/>
          <w:szCs w:val="22"/>
        </w:rPr>
        <w:t>五、公告期限</w:t>
      </w:r>
      <w:bookmarkEnd w:id="14"/>
    </w:p>
    <w:p w14:paraId="37D33AC6">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自本公告发布之日起5个工作日。</w:t>
      </w:r>
    </w:p>
    <w:p w14:paraId="3D827C7F">
      <w:pPr>
        <w:kinsoku w:val="0"/>
        <w:autoSpaceDE w:val="0"/>
        <w:autoSpaceDN w:val="0"/>
        <w:spacing w:line="360" w:lineRule="exact"/>
        <w:ind w:firstLine="442" w:firstLineChars="200"/>
        <w:textAlignment w:val="baseline"/>
        <w:outlineLvl w:val="1"/>
        <w:rPr>
          <w:rFonts w:hint="eastAsia" w:hAnsi="宋体"/>
          <w:b/>
          <w:sz w:val="22"/>
          <w:szCs w:val="22"/>
        </w:rPr>
      </w:pPr>
    </w:p>
    <w:p w14:paraId="51EEE150">
      <w:pPr>
        <w:kinsoku w:val="0"/>
        <w:autoSpaceDE w:val="0"/>
        <w:autoSpaceDN w:val="0"/>
        <w:spacing w:line="360" w:lineRule="exact"/>
        <w:ind w:firstLine="442" w:firstLineChars="200"/>
        <w:textAlignment w:val="baseline"/>
        <w:outlineLvl w:val="1"/>
        <w:rPr>
          <w:rFonts w:hint="eastAsia" w:hAnsi="宋体"/>
          <w:b/>
          <w:sz w:val="22"/>
          <w:szCs w:val="22"/>
        </w:rPr>
      </w:pPr>
      <w:bookmarkStart w:id="15" w:name="_Toc8562"/>
      <w:r>
        <w:rPr>
          <w:rFonts w:hint="eastAsia" w:hAnsi="宋体"/>
          <w:b/>
          <w:sz w:val="22"/>
          <w:szCs w:val="22"/>
        </w:rPr>
        <w:t>六、其他补充事宜</w:t>
      </w:r>
      <w:bookmarkEnd w:id="15"/>
    </w:p>
    <w:p w14:paraId="54469759">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1.公示网站：</w:t>
      </w:r>
    </w:p>
    <w:p w14:paraId="332910A4">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中国政府采购网：www.ccgp.gov.cn</w:t>
      </w:r>
    </w:p>
    <w:p w14:paraId="49703F37">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 xml:space="preserve">深圳市东海国际招标有限公司网：www.szdhit.com </w:t>
      </w:r>
    </w:p>
    <w:p w14:paraId="72360070">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2.其他事项：</w:t>
      </w:r>
    </w:p>
    <w:p w14:paraId="1CBBB244">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本项目投标人可通过“顺丰速运”的邮寄方式（不接受其他邮寄方式或顺丰同城、闪送、美团跑腿等同城服务递交），按照规定的提交投标文件截止时间前将投标文件邮寄至我司，送达时间以我司工作人员签收时间为准。快递箱封面需用A4纸清晰标注项目名称、项目编号和投标人名称，投标人自行承担因寄错地址、逾期送达、未按照招标文件要求密封或者邮寄过程中出现包装密封破损等可能导致投标无效情形的责任与后果。投标人未参加开标会的，视同认可开标结果。</w:t>
      </w:r>
    </w:p>
    <w:p w14:paraId="67B28BA1">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邮寄地址：深圳市罗湖区太宁路2号百仕达大厦27B深圳市东海国际招标有限公司，收件人：葛小姐，联系电话：0755-86959378转8001。</w:t>
      </w:r>
    </w:p>
    <w:p w14:paraId="47A390C8">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3.消防救援队伍政府采购项目投诉受理单位：</w:t>
      </w:r>
    </w:p>
    <w:p w14:paraId="68F614B5">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联系人：财政部政府采购监督裁决处</w:t>
      </w:r>
    </w:p>
    <w:p w14:paraId="43854B9B">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电　话：010-68513070、010-68519967</w:t>
      </w:r>
    </w:p>
    <w:p w14:paraId="6BB249B4">
      <w:pPr>
        <w:kinsoku w:val="0"/>
        <w:autoSpaceDE w:val="0"/>
        <w:autoSpaceDN w:val="0"/>
        <w:spacing w:line="360" w:lineRule="exact"/>
        <w:ind w:firstLine="440" w:firstLineChars="200"/>
        <w:textAlignment w:val="baseline"/>
        <w:outlineLvl w:val="1"/>
        <w:rPr>
          <w:rFonts w:hint="eastAsia" w:hAnsi="宋体"/>
          <w:b/>
          <w:sz w:val="22"/>
          <w:szCs w:val="22"/>
        </w:rPr>
      </w:pPr>
      <w:bookmarkStart w:id="16" w:name="_Toc15708"/>
      <w:r>
        <w:rPr>
          <w:rFonts w:hint="eastAsia" w:hAnsi="宋体"/>
          <w:snapToGrid w:val="0"/>
          <w:sz w:val="22"/>
          <w:szCs w:val="22"/>
        </w:rPr>
        <w:t>地　址：北京市西城区月坛北小街13号中船宾馆北楼四层8401室、8403室</w:t>
      </w:r>
      <w:bookmarkEnd w:id="16"/>
    </w:p>
    <w:p w14:paraId="31C27AC6">
      <w:pPr>
        <w:kinsoku w:val="0"/>
        <w:autoSpaceDE w:val="0"/>
        <w:autoSpaceDN w:val="0"/>
        <w:spacing w:line="360" w:lineRule="exact"/>
        <w:ind w:firstLine="442" w:firstLineChars="200"/>
        <w:textAlignment w:val="baseline"/>
        <w:outlineLvl w:val="1"/>
        <w:rPr>
          <w:rFonts w:hint="eastAsia" w:hAnsi="宋体"/>
          <w:b/>
          <w:sz w:val="22"/>
          <w:szCs w:val="22"/>
        </w:rPr>
      </w:pPr>
    </w:p>
    <w:p w14:paraId="0CECC57D">
      <w:pPr>
        <w:kinsoku w:val="0"/>
        <w:autoSpaceDE w:val="0"/>
        <w:autoSpaceDN w:val="0"/>
        <w:spacing w:line="360" w:lineRule="exact"/>
        <w:ind w:firstLine="442" w:firstLineChars="200"/>
        <w:textAlignment w:val="baseline"/>
        <w:outlineLvl w:val="1"/>
        <w:rPr>
          <w:rFonts w:hint="eastAsia" w:hAnsi="宋体"/>
          <w:b/>
          <w:sz w:val="22"/>
          <w:szCs w:val="22"/>
        </w:rPr>
      </w:pPr>
      <w:bookmarkStart w:id="17" w:name="_Toc28830"/>
      <w:r>
        <w:rPr>
          <w:rFonts w:hint="eastAsia" w:hAnsi="宋体"/>
          <w:b/>
          <w:sz w:val="22"/>
          <w:szCs w:val="22"/>
        </w:rPr>
        <w:t>七、对本次招标提出询问，请按以下方式联系</w:t>
      </w:r>
      <w:bookmarkEnd w:id="17"/>
    </w:p>
    <w:p w14:paraId="726111CA">
      <w:pPr>
        <w:kinsoku w:val="0"/>
        <w:autoSpaceDE w:val="0"/>
        <w:autoSpaceDN w:val="0"/>
        <w:spacing w:line="360" w:lineRule="exact"/>
        <w:ind w:firstLine="440" w:firstLineChars="200"/>
        <w:textAlignment w:val="baseline"/>
        <w:rPr>
          <w:rFonts w:hint="eastAsia" w:hAnsi="宋体"/>
          <w:sz w:val="22"/>
          <w:szCs w:val="22"/>
        </w:rPr>
      </w:pPr>
      <w:r>
        <w:rPr>
          <w:rFonts w:hint="eastAsia" w:hAnsi="宋体"/>
          <w:snapToGrid w:val="0"/>
          <w:sz w:val="22"/>
          <w:szCs w:val="22"/>
        </w:rPr>
        <w:t>1.</w:t>
      </w:r>
      <w:r>
        <w:rPr>
          <w:rFonts w:hint="eastAsia" w:hAnsi="宋体"/>
          <w:sz w:val="22"/>
          <w:szCs w:val="22"/>
        </w:rPr>
        <w:t>采购人信息</w:t>
      </w:r>
    </w:p>
    <w:p w14:paraId="10F47A3B">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名　称：深圳市消防救援支队大亚湾特勤大队</w:t>
      </w:r>
    </w:p>
    <w:p w14:paraId="0E01E90D">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地　址：广东省深圳市大鹏新区葵鹏路38号</w:t>
      </w:r>
    </w:p>
    <w:p w14:paraId="7A56535D">
      <w:pPr>
        <w:kinsoku w:val="0"/>
        <w:autoSpaceDE w:val="0"/>
        <w:autoSpaceDN w:val="0"/>
        <w:spacing w:line="360" w:lineRule="exact"/>
        <w:ind w:firstLine="440" w:firstLineChars="200"/>
        <w:textAlignment w:val="baseline"/>
        <w:rPr>
          <w:rFonts w:hint="eastAsia" w:hAnsi="宋体"/>
          <w:sz w:val="22"/>
          <w:szCs w:val="22"/>
        </w:rPr>
      </w:pPr>
      <w:r>
        <w:rPr>
          <w:rFonts w:hint="eastAsia" w:hAnsi="宋体"/>
          <w:sz w:val="22"/>
          <w:szCs w:val="22"/>
        </w:rPr>
        <w:t>联系方式：曹工13560278324</w:t>
      </w:r>
    </w:p>
    <w:p w14:paraId="5CC9071A">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2.采购代理机构信息</w:t>
      </w:r>
    </w:p>
    <w:p w14:paraId="27225513">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名　称：深圳市东海国际招标有限公司</w:t>
      </w:r>
    </w:p>
    <w:p w14:paraId="6B269191">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地　址：深圳市罗湖区太宁路2号百仕达大厦27B</w:t>
      </w:r>
    </w:p>
    <w:p w14:paraId="41AB5572">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联系方式：0755-86959378</w:t>
      </w:r>
    </w:p>
    <w:p w14:paraId="64F9D44C">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3.项目联系方式</w:t>
      </w:r>
    </w:p>
    <w:p w14:paraId="5F52584D">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项目联系人：吴先生、佟先生、袁小姐</w:t>
      </w:r>
    </w:p>
    <w:p w14:paraId="75126300">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电　话：0755-86959378或86959778转8002/8024</w:t>
      </w:r>
    </w:p>
    <w:p w14:paraId="5D6CFFD1">
      <w:pPr>
        <w:kinsoku w:val="0"/>
        <w:autoSpaceDE w:val="0"/>
        <w:autoSpaceDN w:val="0"/>
        <w:spacing w:line="360" w:lineRule="exact"/>
        <w:ind w:firstLine="440" w:firstLineChars="200"/>
        <w:textAlignment w:val="baseline"/>
        <w:rPr>
          <w:rFonts w:hint="eastAsia" w:hAnsi="宋体"/>
          <w:snapToGrid w:val="0"/>
          <w:sz w:val="22"/>
          <w:szCs w:val="22"/>
        </w:rPr>
      </w:pPr>
      <w:r>
        <w:rPr>
          <w:rFonts w:hint="eastAsia" w:hAnsi="宋体"/>
          <w:snapToGrid w:val="0"/>
          <w:sz w:val="22"/>
          <w:szCs w:val="22"/>
        </w:rPr>
        <w:t>4.采购代理监督电话：邹先生13510343601</w:t>
      </w:r>
    </w:p>
    <w:p w14:paraId="399EE8D7">
      <w:pPr>
        <w:kinsoku w:val="0"/>
        <w:autoSpaceDE w:val="0"/>
        <w:autoSpaceDN w:val="0"/>
        <w:spacing w:line="360" w:lineRule="exact"/>
        <w:ind w:firstLine="440" w:firstLineChars="200"/>
        <w:textAlignment w:val="baseline"/>
        <w:rPr>
          <w:rFonts w:hint="eastAsia" w:hAnsi="宋体"/>
          <w:snapToGrid w:val="0"/>
          <w:sz w:val="22"/>
          <w:szCs w:val="22"/>
        </w:rPr>
      </w:pPr>
    </w:p>
    <w:p w14:paraId="205759DF">
      <w:pPr>
        <w:pStyle w:val="7"/>
        <w:kinsoku w:val="0"/>
        <w:autoSpaceDE w:val="0"/>
        <w:autoSpaceDN w:val="0"/>
        <w:spacing w:line="360" w:lineRule="exact"/>
        <w:ind w:firstLine="440" w:firstLineChars="200"/>
        <w:textAlignment w:val="baseline"/>
        <w:rPr>
          <w:rFonts w:hint="eastAsia" w:ascii="宋体" w:hAnsi="宋体" w:cs="宋体"/>
          <w:sz w:val="22"/>
          <w:szCs w:val="22"/>
        </w:rPr>
      </w:pPr>
    </w:p>
    <w:p w14:paraId="521F8AB7">
      <w:pPr>
        <w:kinsoku w:val="0"/>
        <w:autoSpaceDE w:val="0"/>
        <w:autoSpaceDN w:val="0"/>
        <w:spacing w:line="360" w:lineRule="exact"/>
        <w:ind w:firstLine="440" w:firstLineChars="200"/>
        <w:jc w:val="right"/>
        <w:textAlignment w:val="baseline"/>
        <w:rPr>
          <w:rFonts w:hint="eastAsia" w:hAnsi="宋体"/>
          <w:sz w:val="22"/>
          <w:szCs w:val="22"/>
        </w:rPr>
      </w:pPr>
      <w:r>
        <w:rPr>
          <w:rFonts w:hint="eastAsia" w:hAnsi="宋体"/>
          <w:sz w:val="22"/>
          <w:szCs w:val="22"/>
        </w:rPr>
        <w:t>深圳市东海国际招标有限公司</w:t>
      </w:r>
    </w:p>
    <w:p w14:paraId="1F196BFE">
      <w:pPr>
        <w:pStyle w:val="587"/>
        <w:kinsoku w:val="0"/>
        <w:autoSpaceDE w:val="0"/>
        <w:autoSpaceDN w:val="0"/>
        <w:spacing w:line="360" w:lineRule="exact"/>
        <w:ind w:left="0" w:firstLine="440" w:firstLineChars="200"/>
        <w:jc w:val="right"/>
        <w:textAlignment w:val="baseline"/>
        <w:outlineLvl w:val="9"/>
        <w:rPr>
          <w:rFonts w:hint="eastAsia" w:ascii="宋体" w:hAnsi="宋体" w:eastAsia="宋体" w:cs="宋体"/>
          <w:color w:val="FF0000"/>
          <w:sz w:val="22"/>
          <w:szCs w:val="22"/>
        </w:rPr>
      </w:pPr>
      <w:r>
        <w:rPr>
          <w:rFonts w:hint="eastAsia" w:ascii="宋体" w:hAnsi="宋体" w:eastAsia="宋体" w:cs="宋体"/>
          <w:b w:val="0"/>
          <w:bCs w:val="0"/>
          <w:sz w:val="22"/>
          <w:szCs w:val="22"/>
        </w:rPr>
        <w:t>2024年12月1</w:t>
      </w:r>
      <w:r>
        <w:rPr>
          <w:rFonts w:hint="eastAsia" w:ascii="宋体" w:hAnsi="宋体" w:eastAsia="宋体" w:cs="宋体"/>
          <w:b w:val="0"/>
          <w:bCs w:val="0"/>
          <w:sz w:val="22"/>
          <w:szCs w:val="22"/>
          <w:lang w:val="en-US" w:eastAsia="zh-CN"/>
        </w:rPr>
        <w:t>1</w:t>
      </w:r>
      <w:r>
        <w:rPr>
          <w:rFonts w:hint="eastAsia" w:ascii="宋体" w:hAnsi="宋体" w:eastAsia="宋体" w:cs="宋体"/>
          <w:b w:val="0"/>
          <w:bCs w:val="0"/>
          <w:sz w:val="22"/>
          <w:szCs w:val="22"/>
        </w:rPr>
        <w:t>日</w:t>
      </w:r>
    </w:p>
    <w:p w14:paraId="2D50BD20">
      <w:r>
        <w:rPr>
          <w:rFonts w:hint="eastAsia"/>
        </w:rPr>
        <w:br w:type="page"/>
      </w:r>
    </w:p>
    <w:p w14:paraId="0D7443E7"/>
    <w:p w14:paraId="405DAF23">
      <w:pPr>
        <w:pStyle w:val="62"/>
        <w:tabs>
          <w:tab w:val="clear" w:pos="426"/>
        </w:tabs>
      </w:pPr>
      <w:bookmarkStart w:id="18" w:name="_Toc28932"/>
      <w:r>
        <w:rPr>
          <w:rFonts w:hint="eastAsia"/>
        </w:rPr>
        <w:t>第二章</w:t>
      </w:r>
      <w:bookmarkEnd w:id="9"/>
      <w:r>
        <w:rPr>
          <w:rFonts w:hint="eastAsia"/>
        </w:rPr>
        <w:t>投标须知前附表</w:t>
      </w:r>
      <w:bookmarkEnd w:id="18"/>
    </w:p>
    <w:p w14:paraId="6514B0B9"/>
    <w:p w14:paraId="65CC8F55">
      <w:pPr>
        <w:tabs>
          <w:tab w:val="clear" w:pos="426"/>
        </w:tabs>
        <w:spacing w:line="240" w:lineRule="auto"/>
        <w:ind w:right="-174" w:rightChars="-83"/>
      </w:pPr>
      <w:r>
        <w:rPr>
          <w:rFonts w:hint="eastAsia"/>
        </w:rPr>
        <w:t>说明：本表是对通用条款《投标供应商须知》条款的补充、修改和完善，如果有矛盾，应以本表为准。</w:t>
      </w:r>
    </w:p>
    <w:p w14:paraId="73A39FD2">
      <w:pPr>
        <w:pStyle w:val="7"/>
      </w:pPr>
    </w:p>
    <w:tbl>
      <w:tblPr>
        <w:tblStyle w:val="85"/>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889"/>
        <w:gridCol w:w="6931"/>
      </w:tblGrid>
      <w:tr w14:paraId="39DF5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737235D">
            <w:pPr>
              <w:tabs>
                <w:tab w:val="clear" w:pos="426"/>
              </w:tabs>
              <w:adjustRightInd/>
              <w:snapToGrid/>
              <w:spacing w:line="320" w:lineRule="exact"/>
              <w:jc w:val="center"/>
            </w:pPr>
            <w:r>
              <w:rPr>
                <w:rFonts w:hint="eastAsia"/>
              </w:rPr>
              <w:t>序号</w:t>
            </w:r>
          </w:p>
        </w:tc>
        <w:tc>
          <w:tcPr>
            <w:tcW w:w="1889" w:type="dxa"/>
            <w:tcBorders>
              <w:tl2br w:val="nil"/>
              <w:tr2bl w:val="nil"/>
            </w:tcBorders>
            <w:vAlign w:val="center"/>
          </w:tcPr>
          <w:p w14:paraId="49548C2A">
            <w:pPr>
              <w:tabs>
                <w:tab w:val="clear" w:pos="426"/>
              </w:tabs>
              <w:adjustRightInd/>
              <w:snapToGrid/>
              <w:spacing w:line="320" w:lineRule="exact"/>
              <w:jc w:val="center"/>
            </w:pPr>
            <w:r>
              <w:rPr>
                <w:rFonts w:hint="eastAsia"/>
              </w:rPr>
              <w:t>内容</w:t>
            </w:r>
          </w:p>
        </w:tc>
        <w:tc>
          <w:tcPr>
            <w:tcW w:w="6931" w:type="dxa"/>
            <w:tcBorders>
              <w:tl2br w:val="nil"/>
              <w:tr2bl w:val="nil"/>
            </w:tcBorders>
            <w:vAlign w:val="center"/>
          </w:tcPr>
          <w:p w14:paraId="4B91F7E1">
            <w:pPr>
              <w:tabs>
                <w:tab w:val="clear" w:pos="426"/>
              </w:tabs>
              <w:adjustRightInd/>
              <w:snapToGrid/>
              <w:spacing w:line="320" w:lineRule="exact"/>
              <w:jc w:val="center"/>
            </w:pPr>
            <w:r>
              <w:rPr>
                <w:rFonts w:hint="eastAsia"/>
              </w:rPr>
              <w:t>规定</w:t>
            </w:r>
          </w:p>
        </w:tc>
      </w:tr>
      <w:tr w14:paraId="5B31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4918FDF3">
            <w:pPr>
              <w:tabs>
                <w:tab w:val="clear" w:pos="426"/>
              </w:tabs>
              <w:adjustRightInd/>
              <w:snapToGrid/>
              <w:spacing w:line="320" w:lineRule="exact"/>
              <w:jc w:val="center"/>
            </w:pPr>
            <w:r>
              <w:t>1</w:t>
            </w:r>
          </w:p>
        </w:tc>
        <w:tc>
          <w:tcPr>
            <w:tcW w:w="1889" w:type="dxa"/>
            <w:tcBorders>
              <w:tl2br w:val="nil"/>
              <w:tr2bl w:val="nil"/>
            </w:tcBorders>
            <w:vAlign w:val="center"/>
          </w:tcPr>
          <w:p w14:paraId="5ED34026">
            <w:pPr>
              <w:tabs>
                <w:tab w:val="clear" w:pos="426"/>
              </w:tabs>
              <w:adjustRightInd/>
              <w:snapToGrid/>
              <w:spacing w:line="320" w:lineRule="exact"/>
            </w:pPr>
            <w:r>
              <w:rPr>
                <w:rFonts w:hint="eastAsia"/>
              </w:rPr>
              <w:t>联合体投标</w:t>
            </w:r>
          </w:p>
        </w:tc>
        <w:tc>
          <w:tcPr>
            <w:tcW w:w="6931" w:type="dxa"/>
            <w:tcBorders>
              <w:tl2br w:val="nil"/>
              <w:tr2bl w:val="nil"/>
            </w:tcBorders>
            <w:vAlign w:val="center"/>
          </w:tcPr>
          <w:p w14:paraId="6950C8B8">
            <w:pPr>
              <w:tabs>
                <w:tab w:val="clear" w:pos="426"/>
              </w:tabs>
              <w:adjustRightInd/>
              <w:snapToGrid/>
              <w:spacing w:line="320" w:lineRule="exact"/>
            </w:pPr>
            <w:r>
              <w:rPr>
                <w:rFonts w:hint="eastAsia"/>
              </w:rPr>
              <w:t>■不接受（招标文件中相关联合体规定均不适用）□接受</w:t>
            </w:r>
          </w:p>
        </w:tc>
      </w:tr>
      <w:tr w14:paraId="3C85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08FE20B1">
            <w:pPr>
              <w:tabs>
                <w:tab w:val="clear" w:pos="426"/>
              </w:tabs>
              <w:adjustRightInd/>
              <w:snapToGrid/>
              <w:spacing w:line="320" w:lineRule="exact"/>
              <w:jc w:val="center"/>
            </w:pPr>
            <w:r>
              <w:t>2</w:t>
            </w:r>
          </w:p>
        </w:tc>
        <w:tc>
          <w:tcPr>
            <w:tcW w:w="1889" w:type="dxa"/>
            <w:tcBorders>
              <w:tl2br w:val="nil"/>
              <w:tr2bl w:val="nil"/>
            </w:tcBorders>
            <w:vAlign w:val="center"/>
          </w:tcPr>
          <w:p w14:paraId="1838E5EB">
            <w:pPr>
              <w:tabs>
                <w:tab w:val="clear" w:pos="426"/>
              </w:tabs>
              <w:adjustRightInd/>
              <w:snapToGrid/>
              <w:spacing w:line="320" w:lineRule="exact"/>
            </w:pPr>
            <w:r>
              <w:rPr>
                <w:rFonts w:hint="eastAsia"/>
              </w:rPr>
              <w:t>踏勘现场</w:t>
            </w:r>
          </w:p>
        </w:tc>
        <w:tc>
          <w:tcPr>
            <w:tcW w:w="6931" w:type="dxa"/>
            <w:tcBorders>
              <w:tl2br w:val="nil"/>
              <w:tr2bl w:val="nil"/>
            </w:tcBorders>
            <w:vAlign w:val="center"/>
          </w:tcPr>
          <w:p w14:paraId="59D92403">
            <w:pPr>
              <w:tabs>
                <w:tab w:val="clear" w:pos="426"/>
              </w:tabs>
              <w:adjustRightInd/>
              <w:snapToGrid/>
              <w:spacing w:line="320" w:lineRule="exact"/>
            </w:pPr>
            <w:r>
              <w:rPr>
                <w:rFonts w:hint="eastAsia"/>
              </w:rPr>
              <w:t>■不组织。</w:t>
            </w:r>
          </w:p>
          <w:p w14:paraId="7A477767">
            <w:pPr>
              <w:tabs>
                <w:tab w:val="clear" w:pos="426"/>
              </w:tabs>
              <w:adjustRightInd/>
              <w:snapToGrid/>
              <w:spacing w:line="320" w:lineRule="exact"/>
            </w:pPr>
            <w:r>
              <w:rPr>
                <w:rFonts w:hint="eastAsia"/>
              </w:rPr>
              <w:t>□组织。踏勘时间：</w:t>
            </w:r>
            <w:r>
              <w:rPr>
                <w:u w:val="single"/>
              </w:rPr>
              <w:t>______</w:t>
            </w:r>
            <w:r>
              <w:rPr>
                <w:rFonts w:hint="eastAsia"/>
                <w:u w:val="single"/>
              </w:rPr>
              <w:t>年</w:t>
            </w:r>
            <w:r>
              <w:rPr>
                <w:u w:val="single"/>
              </w:rPr>
              <w:t>____</w:t>
            </w:r>
            <w:r>
              <w:rPr>
                <w:rFonts w:hint="eastAsia"/>
                <w:u w:val="single"/>
              </w:rPr>
              <w:t>月</w:t>
            </w:r>
            <w:r>
              <w:rPr>
                <w:u w:val="single"/>
              </w:rPr>
              <w:t>___</w:t>
            </w:r>
            <w:r>
              <w:rPr>
                <w:rFonts w:hint="eastAsia"/>
                <w:u w:val="single"/>
              </w:rPr>
              <w:t>日</w:t>
            </w:r>
            <w:r>
              <w:rPr>
                <w:u w:val="single"/>
              </w:rPr>
              <w:t>____</w:t>
            </w:r>
            <w:r>
              <w:rPr>
                <w:rFonts w:hint="eastAsia"/>
                <w:u w:val="single"/>
              </w:rPr>
              <w:t>时</w:t>
            </w:r>
            <w:r>
              <w:rPr>
                <w:u w:val="single"/>
              </w:rPr>
              <w:t>____</w:t>
            </w:r>
            <w:r>
              <w:rPr>
                <w:rFonts w:hint="eastAsia"/>
                <w:u w:val="single"/>
              </w:rPr>
              <w:t>分</w:t>
            </w:r>
          </w:p>
          <w:p w14:paraId="22BCB556">
            <w:pPr>
              <w:tabs>
                <w:tab w:val="clear" w:pos="426"/>
              </w:tabs>
              <w:adjustRightInd/>
              <w:snapToGrid/>
              <w:spacing w:line="320" w:lineRule="exact"/>
            </w:pPr>
            <w:r>
              <w:rPr>
                <w:rFonts w:hint="eastAsia"/>
              </w:rPr>
              <w:t>集合地点：</w:t>
            </w:r>
          </w:p>
        </w:tc>
      </w:tr>
      <w:tr w14:paraId="68C5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6E9CCD1">
            <w:pPr>
              <w:tabs>
                <w:tab w:val="clear" w:pos="426"/>
              </w:tabs>
              <w:adjustRightInd/>
              <w:snapToGrid/>
              <w:spacing w:line="320" w:lineRule="exact"/>
              <w:jc w:val="center"/>
            </w:pPr>
            <w:r>
              <w:t>3</w:t>
            </w:r>
          </w:p>
        </w:tc>
        <w:tc>
          <w:tcPr>
            <w:tcW w:w="1889" w:type="dxa"/>
            <w:tcBorders>
              <w:tl2br w:val="nil"/>
              <w:tr2bl w:val="nil"/>
            </w:tcBorders>
            <w:vAlign w:val="center"/>
          </w:tcPr>
          <w:p w14:paraId="3263697C">
            <w:pPr>
              <w:tabs>
                <w:tab w:val="clear" w:pos="426"/>
              </w:tabs>
              <w:adjustRightInd/>
              <w:snapToGrid/>
              <w:spacing w:line="320" w:lineRule="exact"/>
            </w:pPr>
            <w:r>
              <w:rPr>
                <w:rFonts w:hint="eastAsia"/>
              </w:rPr>
              <w:t>投标供应商提出疑问截止时间</w:t>
            </w:r>
          </w:p>
        </w:tc>
        <w:tc>
          <w:tcPr>
            <w:tcW w:w="6931" w:type="dxa"/>
            <w:tcBorders>
              <w:tl2br w:val="nil"/>
              <w:tr2bl w:val="nil"/>
            </w:tcBorders>
            <w:vAlign w:val="center"/>
          </w:tcPr>
          <w:p w14:paraId="2AD281AE">
            <w:pPr>
              <w:tabs>
                <w:tab w:val="clear" w:pos="426"/>
              </w:tabs>
              <w:adjustRightInd/>
              <w:snapToGrid/>
              <w:spacing w:line="320" w:lineRule="exact"/>
            </w:pPr>
            <w:r>
              <w:rPr>
                <w:rFonts w:hint="eastAsia"/>
              </w:rPr>
              <w:t>在获取采购文件或者采购文件公告期限届满之日起</w:t>
            </w:r>
            <w:r>
              <w:t>7</w:t>
            </w:r>
            <w:r>
              <w:rPr>
                <w:rFonts w:hint="eastAsia"/>
              </w:rPr>
              <w:t>个工作日内对采购文件提出质疑。</w:t>
            </w:r>
          </w:p>
        </w:tc>
      </w:tr>
      <w:tr w14:paraId="15220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04DFBDAD">
            <w:pPr>
              <w:tabs>
                <w:tab w:val="clear" w:pos="426"/>
              </w:tabs>
              <w:adjustRightInd/>
              <w:snapToGrid/>
              <w:spacing w:line="320" w:lineRule="exact"/>
              <w:jc w:val="center"/>
            </w:pPr>
            <w:r>
              <w:t>4</w:t>
            </w:r>
          </w:p>
        </w:tc>
        <w:tc>
          <w:tcPr>
            <w:tcW w:w="1889" w:type="dxa"/>
            <w:tcBorders>
              <w:tl2br w:val="nil"/>
              <w:tr2bl w:val="nil"/>
            </w:tcBorders>
            <w:vAlign w:val="center"/>
          </w:tcPr>
          <w:p w14:paraId="167C55C4">
            <w:pPr>
              <w:tabs>
                <w:tab w:val="clear" w:pos="426"/>
              </w:tabs>
              <w:adjustRightInd/>
              <w:snapToGrid/>
              <w:spacing w:line="320" w:lineRule="exact"/>
            </w:pPr>
            <w:r>
              <w:rPr>
                <w:rFonts w:hint="eastAsia"/>
              </w:rPr>
              <w:t>澄清或修补、答疑的期限</w:t>
            </w:r>
          </w:p>
        </w:tc>
        <w:tc>
          <w:tcPr>
            <w:tcW w:w="6931" w:type="dxa"/>
            <w:tcBorders>
              <w:tl2br w:val="nil"/>
              <w:tr2bl w:val="nil"/>
            </w:tcBorders>
            <w:vAlign w:val="center"/>
          </w:tcPr>
          <w:p w14:paraId="3AF2F15B">
            <w:pPr>
              <w:tabs>
                <w:tab w:val="clear" w:pos="426"/>
              </w:tabs>
              <w:adjustRightInd/>
              <w:snapToGrid/>
              <w:spacing w:line="320" w:lineRule="exact"/>
            </w:pPr>
            <w:r>
              <w:rPr>
                <w:rFonts w:hint="eastAsia"/>
              </w:rPr>
              <w:t>截标之日（当日不计）</w:t>
            </w:r>
            <w:r>
              <w:t>15</w:t>
            </w:r>
            <w:r>
              <w:rPr>
                <w:rFonts w:hint="eastAsia"/>
              </w:rPr>
              <w:t>日前</w:t>
            </w:r>
            <w:r>
              <w:rPr>
                <w:u w:val="single"/>
              </w:rPr>
              <w:t>17</w:t>
            </w:r>
            <w:r>
              <w:rPr>
                <w:rFonts w:hint="eastAsia"/>
                <w:u w:val="single"/>
              </w:rPr>
              <w:t>：</w:t>
            </w:r>
            <w:r>
              <w:rPr>
                <w:u w:val="single"/>
              </w:rPr>
              <w:t>30</w:t>
            </w:r>
            <w:r>
              <w:rPr>
                <w:rFonts w:hint="eastAsia"/>
              </w:rPr>
              <w:t>点前</w:t>
            </w:r>
          </w:p>
        </w:tc>
      </w:tr>
      <w:tr w14:paraId="2D6C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6C883E1">
            <w:pPr>
              <w:tabs>
                <w:tab w:val="clear" w:pos="426"/>
              </w:tabs>
              <w:adjustRightInd/>
              <w:snapToGrid/>
              <w:spacing w:line="320" w:lineRule="exact"/>
              <w:jc w:val="center"/>
            </w:pPr>
            <w:r>
              <w:t>5</w:t>
            </w:r>
          </w:p>
        </w:tc>
        <w:tc>
          <w:tcPr>
            <w:tcW w:w="1889" w:type="dxa"/>
            <w:tcBorders>
              <w:tl2br w:val="nil"/>
              <w:tr2bl w:val="nil"/>
            </w:tcBorders>
            <w:vAlign w:val="center"/>
          </w:tcPr>
          <w:p w14:paraId="657837B6">
            <w:pPr>
              <w:tabs>
                <w:tab w:val="clear" w:pos="426"/>
              </w:tabs>
              <w:adjustRightInd/>
              <w:snapToGrid/>
              <w:spacing w:line="320" w:lineRule="exact"/>
            </w:pPr>
            <w:r>
              <w:rPr>
                <w:rFonts w:hint="eastAsia"/>
              </w:rPr>
              <w:t>招标代理服务费</w:t>
            </w:r>
          </w:p>
        </w:tc>
        <w:tc>
          <w:tcPr>
            <w:tcW w:w="6931" w:type="dxa"/>
            <w:tcBorders>
              <w:tl2br w:val="nil"/>
              <w:tr2bl w:val="nil"/>
            </w:tcBorders>
            <w:vAlign w:val="center"/>
          </w:tcPr>
          <w:p w14:paraId="4FFE2D50">
            <w:pPr>
              <w:tabs>
                <w:tab w:val="clear" w:pos="426"/>
              </w:tabs>
              <w:adjustRightInd/>
              <w:snapToGrid/>
              <w:spacing w:line="320" w:lineRule="exact"/>
            </w:pPr>
            <w:r>
              <w:rPr>
                <w:rFonts w:hint="eastAsia"/>
              </w:rPr>
              <w:t>1.采购项目招标代理服务费由中标方在领取《中标通知书》的同时向招标代理机构缴纳。</w:t>
            </w:r>
          </w:p>
          <w:p w14:paraId="651D3AFD">
            <w:pPr>
              <w:tabs>
                <w:tab w:val="clear" w:pos="426"/>
              </w:tabs>
              <w:adjustRightInd/>
              <w:snapToGrid/>
              <w:spacing w:line="320" w:lineRule="exact"/>
              <w:rPr>
                <w:kern w:val="2"/>
              </w:rPr>
            </w:pPr>
            <w:r>
              <w:rPr>
                <w:rFonts w:hint="eastAsia"/>
              </w:rPr>
              <w:t>2.招标代理服务费依据计价格[2002]1980号、发改价格[2011]534号及相关规定*0.9收费。</w:t>
            </w:r>
          </w:p>
        </w:tc>
      </w:tr>
      <w:tr w14:paraId="79AFA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472AEC10">
            <w:pPr>
              <w:tabs>
                <w:tab w:val="clear" w:pos="426"/>
              </w:tabs>
              <w:adjustRightInd/>
              <w:snapToGrid/>
              <w:spacing w:line="320" w:lineRule="exact"/>
              <w:jc w:val="center"/>
            </w:pPr>
            <w:r>
              <w:t>6</w:t>
            </w:r>
          </w:p>
        </w:tc>
        <w:tc>
          <w:tcPr>
            <w:tcW w:w="1889" w:type="dxa"/>
            <w:tcBorders>
              <w:tl2br w:val="nil"/>
              <w:tr2bl w:val="nil"/>
            </w:tcBorders>
            <w:vAlign w:val="center"/>
          </w:tcPr>
          <w:p w14:paraId="54AF011F">
            <w:pPr>
              <w:tabs>
                <w:tab w:val="clear" w:pos="426"/>
              </w:tabs>
              <w:adjustRightInd/>
              <w:snapToGrid/>
              <w:spacing w:line="320" w:lineRule="exact"/>
            </w:pPr>
            <w:r>
              <w:rPr>
                <w:rFonts w:hint="eastAsia"/>
              </w:rPr>
              <w:t>投标担保</w:t>
            </w:r>
          </w:p>
        </w:tc>
        <w:tc>
          <w:tcPr>
            <w:tcW w:w="6931" w:type="dxa"/>
            <w:tcBorders>
              <w:tl2br w:val="nil"/>
              <w:tr2bl w:val="nil"/>
            </w:tcBorders>
            <w:vAlign w:val="center"/>
          </w:tcPr>
          <w:p w14:paraId="58CADDE6">
            <w:pPr>
              <w:tabs>
                <w:tab w:val="clear" w:pos="426"/>
              </w:tabs>
              <w:adjustRightInd/>
              <w:snapToGrid/>
              <w:spacing w:line="320" w:lineRule="exact"/>
            </w:pPr>
            <w:r>
              <w:rPr>
                <w:rFonts w:hint="eastAsia"/>
              </w:rPr>
              <w:t xml:space="preserve">■不提交 </w:t>
            </w:r>
            <w:r>
              <w:t xml:space="preserve">      </w:t>
            </w:r>
            <w:r>
              <w:rPr>
                <w:rFonts w:hint="eastAsia"/>
              </w:rPr>
              <w:t>□提交</w:t>
            </w:r>
          </w:p>
        </w:tc>
      </w:tr>
      <w:tr w14:paraId="76558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19A7CA9">
            <w:pPr>
              <w:tabs>
                <w:tab w:val="clear" w:pos="426"/>
              </w:tabs>
              <w:adjustRightInd/>
              <w:snapToGrid/>
              <w:spacing w:line="320" w:lineRule="exact"/>
              <w:jc w:val="center"/>
            </w:pPr>
            <w:r>
              <w:t>7</w:t>
            </w:r>
          </w:p>
        </w:tc>
        <w:tc>
          <w:tcPr>
            <w:tcW w:w="1889" w:type="dxa"/>
            <w:tcBorders>
              <w:tl2br w:val="nil"/>
              <w:tr2bl w:val="nil"/>
            </w:tcBorders>
            <w:vAlign w:val="center"/>
          </w:tcPr>
          <w:p w14:paraId="7EAD5D0C">
            <w:pPr>
              <w:tabs>
                <w:tab w:val="clear" w:pos="426"/>
              </w:tabs>
              <w:adjustRightInd/>
              <w:snapToGrid/>
              <w:spacing w:line="320" w:lineRule="exact"/>
            </w:pPr>
            <w:r>
              <w:rPr>
                <w:rFonts w:hint="eastAsia"/>
              </w:rPr>
              <w:t>投标有效期</w:t>
            </w:r>
          </w:p>
        </w:tc>
        <w:tc>
          <w:tcPr>
            <w:tcW w:w="6931" w:type="dxa"/>
            <w:tcBorders>
              <w:tl2br w:val="nil"/>
              <w:tr2bl w:val="nil"/>
            </w:tcBorders>
            <w:vAlign w:val="center"/>
          </w:tcPr>
          <w:p w14:paraId="5BD786A6">
            <w:pPr>
              <w:tabs>
                <w:tab w:val="clear" w:pos="426"/>
              </w:tabs>
              <w:adjustRightInd/>
              <w:snapToGrid/>
              <w:spacing w:line="320" w:lineRule="exact"/>
            </w:pPr>
            <w:r>
              <w:t>120</w:t>
            </w:r>
            <w:r>
              <w:rPr>
                <w:rFonts w:hint="eastAsia"/>
              </w:rPr>
              <w:t>日历天（从投标截止之日算起）</w:t>
            </w:r>
          </w:p>
        </w:tc>
      </w:tr>
      <w:tr w14:paraId="02B5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4937FAB2">
            <w:pPr>
              <w:tabs>
                <w:tab w:val="clear" w:pos="426"/>
              </w:tabs>
              <w:adjustRightInd/>
              <w:snapToGrid/>
              <w:spacing w:line="320" w:lineRule="exact"/>
              <w:jc w:val="center"/>
            </w:pPr>
            <w:r>
              <w:t>8</w:t>
            </w:r>
          </w:p>
        </w:tc>
        <w:tc>
          <w:tcPr>
            <w:tcW w:w="1889" w:type="dxa"/>
            <w:tcBorders>
              <w:tl2br w:val="nil"/>
              <w:tr2bl w:val="nil"/>
            </w:tcBorders>
            <w:vAlign w:val="center"/>
          </w:tcPr>
          <w:p w14:paraId="03994F37">
            <w:pPr>
              <w:tabs>
                <w:tab w:val="clear" w:pos="426"/>
              </w:tabs>
              <w:adjustRightInd/>
              <w:snapToGrid/>
              <w:spacing w:line="320" w:lineRule="exact"/>
            </w:pPr>
            <w:r>
              <w:rPr>
                <w:rFonts w:hint="eastAsia"/>
              </w:rPr>
              <w:t>替代方案</w:t>
            </w:r>
          </w:p>
        </w:tc>
        <w:tc>
          <w:tcPr>
            <w:tcW w:w="6931" w:type="dxa"/>
            <w:tcBorders>
              <w:tl2br w:val="nil"/>
              <w:tr2bl w:val="nil"/>
            </w:tcBorders>
            <w:vAlign w:val="center"/>
          </w:tcPr>
          <w:p w14:paraId="2B80AE93">
            <w:pPr>
              <w:tabs>
                <w:tab w:val="clear" w:pos="426"/>
              </w:tabs>
              <w:adjustRightInd/>
              <w:snapToGrid/>
              <w:spacing w:line="320" w:lineRule="exact"/>
            </w:pPr>
            <w:r>
              <w:rPr>
                <w:rFonts w:hint="eastAsia"/>
              </w:rPr>
              <w:t xml:space="preserve">■不允许 </w:t>
            </w:r>
            <w:r>
              <w:t xml:space="preserve">      </w:t>
            </w:r>
            <w:r>
              <w:rPr>
                <w:rFonts w:hint="eastAsia"/>
              </w:rPr>
              <w:t>□允许</w:t>
            </w:r>
          </w:p>
        </w:tc>
      </w:tr>
      <w:tr w14:paraId="4A1FE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AACE4FB">
            <w:pPr>
              <w:tabs>
                <w:tab w:val="clear" w:pos="426"/>
              </w:tabs>
              <w:adjustRightInd/>
              <w:snapToGrid/>
              <w:spacing w:line="320" w:lineRule="exact"/>
              <w:jc w:val="center"/>
            </w:pPr>
            <w:r>
              <w:t>9</w:t>
            </w:r>
          </w:p>
        </w:tc>
        <w:tc>
          <w:tcPr>
            <w:tcW w:w="1889" w:type="dxa"/>
            <w:tcBorders>
              <w:tl2br w:val="nil"/>
              <w:tr2bl w:val="nil"/>
            </w:tcBorders>
            <w:vAlign w:val="center"/>
          </w:tcPr>
          <w:p w14:paraId="75D92542">
            <w:pPr>
              <w:tabs>
                <w:tab w:val="clear" w:pos="426"/>
              </w:tabs>
              <w:adjustRightInd/>
              <w:snapToGrid/>
              <w:spacing w:line="320" w:lineRule="exact"/>
            </w:pPr>
            <w:r>
              <w:rPr>
                <w:rFonts w:hint="eastAsia"/>
              </w:rPr>
              <w:t>评定分离</w:t>
            </w:r>
          </w:p>
        </w:tc>
        <w:tc>
          <w:tcPr>
            <w:tcW w:w="6931" w:type="dxa"/>
            <w:tcBorders>
              <w:tl2br w:val="nil"/>
              <w:tr2bl w:val="nil"/>
            </w:tcBorders>
            <w:vAlign w:val="center"/>
          </w:tcPr>
          <w:p w14:paraId="26774F09">
            <w:pPr>
              <w:tabs>
                <w:tab w:val="clear" w:pos="426"/>
              </w:tabs>
              <w:adjustRightInd/>
              <w:snapToGrid/>
              <w:spacing w:line="320" w:lineRule="exact"/>
            </w:pPr>
            <w:r>
              <w:rPr>
                <w:rFonts w:hint="eastAsia"/>
              </w:rPr>
              <w:t xml:space="preserve">□是 </w:t>
            </w:r>
            <w:r>
              <w:t xml:space="preserve">          </w:t>
            </w:r>
            <w:r>
              <w:rPr>
                <w:rFonts w:hint="eastAsia"/>
              </w:rPr>
              <w:t>■否</w:t>
            </w:r>
          </w:p>
        </w:tc>
      </w:tr>
      <w:tr w14:paraId="05870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443058D4">
            <w:pPr>
              <w:tabs>
                <w:tab w:val="clear" w:pos="426"/>
              </w:tabs>
              <w:adjustRightInd/>
              <w:snapToGrid/>
              <w:spacing w:line="320" w:lineRule="exact"/>
              <w:jc w:val="center"/>
            </w:pPr>
            <w:r>
              <w:t>10</w:t>
            </w:r>
          </w:p>
        </w:tc>
        <w:tc>
          <w:tcPr>
            <w:tcW w:w="1889" w:type="dxa"/>
            <w:tcBorders>
              <w:tl2br w:val="nil"/>
              <w:tr2bl w:val="nil"/>
            </w:tcBorders>
            <w:vAlign w:val="center"/>
          </w:tcPr>
          <w:p w14:paraId="0DCC8EC4">
            <w:pPr>
              <w:tabs>
                <w:tab w:val="clear" w:pos="426"/>
              </w:tabs>
              <w:adjustRightInd/>
              <w:snapToGrid/>
              <w:spacing w:line="320" w:lineRule="exact"/>
            </w:pPr>
            <w:r>
              <w:rPr>
                <w:rFonts w:hint="eastAsia"/>
              </w:rPr>
              <w:t>评标方法</w:t>
            </w:r>
          </w:p>
        </w:tc>
        <w:tc>
          <w:tcPr>
            <w:tcW w:w="6931" w:type="dxa"/>
            <w:tcBorders>
              <w:tl2br w:val="nil"/>
              <w:tr2bl w:val="nil"/>
            </w:tcBorders>
            <w:vAlign w:val="center"/>
          </w:tcPr>
          <w:p w14:paraId="7B8DAF32">
            <w:pPr>
              <w:tabs>
                <w:tab w:val="clear" w:pos="426"/>
              </w:tabs>
              <w:adjustRightInd/>
              <w:snapToGrid/>
              <w:spacing w:line="320" w:lineRule="exact"/>
              <w:rPr>
                <w:szCs w:val="21"/>
              </w:rPr>
            </w:pPr>
            <w:r>
              <w:rPr>
                <w:rFonts w:hint="eastAsia"/>
              </w:rPr>
              <w:t>■</w:t>
            </w:r>
            <w:r>
              <w:rPr>
                <w:rFonts w:hint="eastAsia"/>
                <w:szCs w:val="21"/>
              </w:rPr>
              <w:t xml:space="preserve">综合评分法 </w:t>
            </w:r>
            <w:r>
              <w:rPr>
                <w:szCs w:val="21"/>
              </w:rPr>
              <w:t xml:space="preserve">   </w:t>
            </w:r>
            <w:r>
              <w:rPr>
                <w:rFonts w:hint="eastAsia"/>
              </w:rPr>
              <w:t>□</w:t>
            </w:r>
            <w:r>
              <w:rPr>
                <w:rFonts w:hint="eastAsia"/>
                <w:szCs w:val="21"/>
              </w:rPr>
              <w:t xml:space="preserve">定性评审法 </w:t>
            </w:r>
            <w:r>
              <w:rPr>
                <w:szCs w:val="21"/>
              </w:rPr>
              <w:t xml:space="preserve">    </w:t>
            </w:r>
            <w:r>
              <w:rPr>
                <w:rFonts w:hint="eastAsia"/>
              </w:rPr>
              <w:t>□</w:t>
            </w:r>
            <w:r>
              <w:rPr>
                <w:rFonts w:hint="eastAsia"/>
                <w:szCs w:val="21"/>
              </w:rPr>
              <w:t>最低价法</w:t>
            </w:r>
          </w:p>
        </w:tc>
      </w:tr>
      <w:tr w14:paraId="39B1F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2756700E">
            <w:pPr>
              <w:tabs>
                <w:tab w:val="clear" w:pos="426"/>
              </w:tabs>
              <w:adjustRightInd/>
              <w:snapToGrid/>
              <w:spacing w:line="320" w:lineRule="exact"/>
              <w:jc w:val="center"/>
            </w:pPr>
            <w:r>
              <w:t>11</w:t>
            </w:r>
          </w:p>
        </w:tc>
        <w:tc>
          <w:tcPr>
            <w:tcW w:w="1889" w:type="dxa"/>
            <w:tcBorders>
              <w:tl2br w:val="nil"/>
              <w:tr2bl w:val="nil"/>
            </w:tcBorders>
            <w:vAlign w:val="center"/>
          </w:tcPr>
          <w:p w14:paraId="3A159883">
            <w:pPr>
              <w:tabs>
                <w:tab w:val="clear" w:pos="426"/>
              </w:tabs>
              <w:adjustRightInd/>
              <w:snapToGrid/>
              <w:spacing w:line="320" w:lineRule="exact"/>
            </w:pPr>
            <w:r>
              <w:rPr>
                <w:rFonts w:hint="eastAsia"/>
              </w:rPr>
              <w:t>定标方法</w:t>
            </w:r>
          </w:p>
        </w:tc>
        <w:tc>
          <w:tcPr>
            <w:tcW w:w="6931" w:type="dxa"/>
            <w:tcBorders>
              <w:tl2br w:val="nil"/>
              <w:tr2bl w:val="nil"/>
            </w:tcBorders>
            <w:vAlign w:val="center"/>
          </w:tcPr>
          <w:p w14:paraId="6988A1BE">
            <w:pPr>
              <w:tabs>
                <w:tab w:val="clear" w:pos="426"/>
              </w:tabs>
              <w:adjustRightInd/>
              <w:snapToGrid/>
              <w:spacing w:line="320" w:lineRule="exact"/>
              <w:rPr>
                <w:szCs w:val="21"/>
              </w:rPr>
            </w:pPr>
            <w:r>
              <w:rPr>
                <w:rFonts w:hint="eastAsia"/>
              </w:rPr>
              <w:t>□</w:t>
            </w:r>
            <w:r>
              <w:rPr>
                <w:rFonts w:hint="eastAsia"/>
                <w:szCs w:val="21"/>
              </w:rPr>
              <w:t>自定法</w:t>
            </w:r>
          </w:p>
        </w:tc>
      </w:tr>
      <w:tr w14:paraId="192D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ACA060B">
            <w:pPr>
              <w:tabs>
                <w:tab w:val="clear" w:pos="426"/>
              </w:tabs>
              <w:adjustRightInd/>
              <w:snapToGrid/>
              <w:spacing w:line="320" w:lineRule="exact"/>
              <w:jc w:val="center"/>
            </w:pPr>
            <w:r>
              <w:t>12</w:t>
            </w:r>
          </w:p>
        </w:tc>
        <w:tc>
          <w:tcPr>
            <w:tcW w:w="1889" w:type="dxa"/>
            <w:tcBorders>
              <w:tl2br w:val="nil"/>
              <w:tr2bl w:val="nil"/>
            </w:tcBorders>
            <w:vAlign w:val="center"/>
          </w:tcPr>
          <w:p w14:paraId="3356BCE6">
            <w:pPr>
              <w:tabs>
                <w:tab w:val="clear" w:pos="426"/>
              </w:tabs>
              <w:adjustRightInd/>
              <w:snapToGrid/>
              <w:spacing w:line="320" w:lineRule="exact"/>
            </w:pPr>
            <w:r>
              <w:rPr>
                <w:rFonts w:hint="eastAsia"/>
              </w:rPr>
              <w:t>履约保证金</w:t>
            </w:r>
          </w:p>
        </w:tc>
        <w:tc>
          <w:tcPr>
            <w:tcW w:w="6931" w:type="dxa"/>
            <w:tcBorders>
              <w:tl2br w:val="nil"/>
              <w:tr2bl w:val="nil"/>
            </w:tcBorders>
            <w:vAlign w:val="center"/>
          </w:tcPr>
          <w:p w14:paraId="2199826C">
            <w:pPr>
              <w:tabs>
                <w:tab w:val="clear" w:pos="426"/>
              </w:tabs>
              <w:adjustRightInd/>
              <w:snapToGrid/>
              <w:spacing w:line="240" w:lineRule="auto"/>
            </w:pPr>
            <w:r>
              <w:rPr>
                <w:rFonts w:hint="eastAsia"/>
              </w:rPr>
              <w:t>■不提交</w:t>
            </w:r>
          </w:p>
        </w:tc>
      </w:tr>
      <w:tr w14:paraId="7000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4FAC988">
            <w:pPr>
              <w:tabs>
                <w:tab w:val="clear" w:pos="426"/>
              </w:tabs>
              <w:adjustRightInd/>
              <w:snapToGrid/>
              <w:spacing w:line="320" w:lineRule="exact"/>
              <w:jc w:val="center"/>
            </w:pPr>
            <w:r>
              <w:t>13</w:t>
            </w:r>
          </w:p>
        </w:tc>
        <w:tc>
          <w:tcPr>
            <w:tcW w:w="1889" w:type="dxa"/>
            <w:tcBorders>
              <w:tl2br w:val="nil"/>
              <w:tr2bl w:val="nil"/>
            </w:tcBorders>
            <w:vAlign w:val="center"/>
          </w:tcPr>
          <w:p w14:paraId="54126D93">
            <w:pPr>
              <w:tabs>
                <w:tab w:val="clear" w:pos="426"/>
              </w:tabs>
              <w:adjustRightInd/>
              <w:snapToGrid/>
              <w:spacing w:line="320" w:lineRule="exact"/>
            </w:pPr>
            <w:r>
              <w:rPr>
                <w:rFonts w:hint="eastAsia"/>
              </w:rPr>
              <w:t>投标文件份数</w:t>
            </w:r>
          </w:p>
        </w:tc>
        <w:tc>
          <w:tcPr>
            <w:tcW w:w="6931" w:type="dxa"/>
            <w:tcBorders>
              <w:tl2br w:val="nil"/>
              <w:tr2bl w:val="nil"/>
            </w:tcBorders>
            <w:vAlign w:val="center"/>
          </w:tcPr>
          <w:p w14:paraId="62029451">
            <w:pPr>
              <w:tabs>
                <w:tab w:val="clear" w:pos="426"/>
              </w:tabs>
              <w:adjustRightInd/>
              <w:snapToGrid/>
              <w:spacing w:line="320" w:lineRule="exact"/>
            </w:pPr>
            <w:r>
              <w:rPr>
                <w:rFonts w:hint="eastAsia"/>
              </w:rPr>
              <w:t>（</w:t>
            </w:r>
            <w:r>
              <w:t>1</w:t>
            </w:r>
            <w:r>
              <w:rPr>
                <w:rFonts w:hint="eastAsia"/>
              </w:rPr>
              <w:t>）开标信封一份；</w:t>
            </w:r>
          </w:p>
          <w:p w14:paraId="1800C131">
            <w:pPr>
              <w:tabs>
                <w:tab w:val="clear" w:pos="426"/>
              </w:tabs>
              <w:adjustRightInd/>
              <w:snapToGrid/>
              <w:spacing w:line="320" w:lineRule="exact"/>
            </w:pPr>
            <w:r>
              <w:rPr>
                <w:rFonts w:hint="eastAsia"/>
              </w:rPr>
              <w:t>（</w:t>
            </w:r>
            <w:r>
              <w:t>2</w:t>
            </w:r>
            <w:r>
              <w:rPr>
                <w:rFonts w:hint="eastAsia"/>
              </w:rPr>
              <w:t>）纸质投标文件</w:t>
            </w:r>
            <w:r>
              <w:rPr>
                <w:rFonts w:hint="eastAsia"/>
                <w:u w:val="single"/>
              </w:rPr>
              <w:t>一</w:t>
            </w:r>
            <w:r>
              <w:rPr>
                <w:rFonts w:hint="eastAsia"/>
              </w:rPr>
              <w:t>正本，</w:t>
            </w:r>
            <w:r>
              <w:rPr>
                <w:rFonts w:hint="eastAsia"/>
                <w:u w:val="single"/>
              </w:rPr>
              <w:t>五</w:t>
            </w:r>
            <w:r>
              <w:rPr>
                <w:rFonts w:hint="eastAsia"/>
              </w:rPr>
              <w:t>副本，建议胶装，统一密封在一个外密封包里。</w:t>
            </w:r>
          </w:p>
        </w:tc>
      </w:tr>
      <w:tr w14:paraId="7BCE8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50" w:type="dxa"/>
            <w:tcBorders>
              <w:tl2br w:val="nil"/>
              <w:tr2bl w:val="nil"/>
            </w:tcBorders>
            <w:vAlign w:val="center"/>
          </w:tcPr>
          <w:p w14:paraId="5491155F">
            <w:pPr>
              <w:tabs>
                <w:tab w:val="clear" w:pos="426"/>
              </w:tabs>
              <w:adjustRightInd/>
              <w:snapToGrid/>
              <w:spacing w:line="320" w:lineRule="exact"/>
              <w:jc w:val="center"/>
            </w:pPr>
            <w:r>
              <w:t>14</w:t>
            </w:r>
          </w:p>
        </w:tc>
        <w:tc>
          <w:tcPr>
            <w:tcW w:w="1889" w:type="dxa"/>
            <w:tcBorders>
              <w:tl2br w:val="nil"/>
              <w:tr2bl w:val="nil"/>
            </w:tcBorders>
            <w:vAlign w:val="center"/>
          </w:tcPr>
          <w:p w14:paraId="5CEDD1B9">
            <w:pPr>
              <w:tabs>
                <w:tab w:val="clear" w:pos="426"/>
              </w:tabs>
              <w:adjustRightInd/>
              <w:snapToGrid/>
              <w:spacing w:line="320" w:lineRule="exact"/>
            </w:pPr>
            <w:r>
              <w:rPr>
                <w:rFonts w:hint="eastAsia"/>
              </w:rPr>
              <w:t>投标文件电子版</w:t>
            </w:r>
          </w:p>
        </w:tc>
        <w:tc>
          <w:tcPr>
            <w:tcW w:w="6931" w:type="dxa"/>
            <w:tcBorders>
              <w:tl2br w:val="nil"/>
              <w:tr2bl w:val="nil"/>
            </w:tcBorders>
            <w:vAlign w:val="center"/>
          </w:tcPr>
          <w:p w14:paraId="2A939BD9">
            <w:pPr>
              <w:tabs>
                <w:tab w:val="clear" w:pos="426"/>
              </w:tabs>
              <w:adjustRightInd/>
              <w:snapToGrid/>
              <w:spacing w:line="320" w:lineRule="exact"/>
            </w:pPr>
            <w:r>
              <w:rPr>
                <w:rFonts w:hint="eastAsia"/>
              </w:rPr>
              <w:t>U盘一个（</w:t>
            </w:r>
            <w:r>
              <w:t>WORD</w:t>
            </w:r>
            <w:r>
              <w:rPr>
                <w:rFonts w:hint="eastAsia"/>
              </w:rPr>
              <w:t>及投标文件正本盖章后的彩色扫描件，</w:t>
            </w:r>
            <w:r>
              <w:t>PDF</w:t>
            </w:r>
            <w:r>
              <w:rPr>
                <w:rFonts w:hint="eastAsia"/>
              </w:rPr>
              <w:t>格式）</w:t>
            </w:r>
          </w:p>
        </w:tc>
      </w:tr>
      <w:tr w14:paraId="1A4D4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3E2C67BB">
            <w:pPr>
              <w:tabs>
                <w:tab w:val="clear" w:pos="426"/>
              </w:tabs>
              <w:adjustRightInd/>
              <w:snapToGrid/>
              <w:spacing w:line="320" w:lineRule="exact"/>
              <w:jc w:val="center"/>
            </w:pPr>
            <w:r>
              <w:t>15</w:t>
            </w:r>
          </w:p>
        </w:tc>
        <w:tc>
          <w:tcPr>
            <w:tcW w:w="1889" w:type="dxa"/>
            <w:tcBorders>
              <w:tl2br w:val="nil"/>
              <w:tr2bl w:val="nil"/>
            </w:tcBorders>
            <w:vAlign w:val="center"/>
          </w:tcPr>
          <w:p w14:paraId="48945710">
            <w:pPr>
              <w:tabs>
                <w:tab w:val="clear" w:pos="426"/>
              </w:tabs>
              <w:adjustRightInd/>
              <w:snapToGrid/>
              <w:spacing w:line="320" w:lineRule="exact"/>
            </w:pPr>
            <w:r>
              <w:rPr>
                <w:rFonts w:hint="eastAsia"/>
              </w:rPr>
              <w:t>财政预算金额</w:t>
            </w:r>
          </w:p>
        </w:tc>
        <w:tc>
          <w:tcPr>
            <w:tcW w:w="6931" w:type="dxa"/>
            <w:tcBorders>
              <w:tl2br w:val="nil"/>
              <w:tr2bl w:val="nil"/>
            </w:tcBorders>
            <w:vAlign w:val="center"/>
          </w:tcPr>
          <w:p w14:paraId="7DDCCA63">
            <w:pPr>
              <w:tabs>
                <w:tab w:val="clear" w:pos="426"/>
              </w:tabs>
              <w:adjustRightInd/>
              <w:snapToGrid/>
              <w:spacing w:line="240" w:lineRule="auto"/>
            </w:pPr>
            <w:r>
              <w:rPr>
                <w:rFonts w:hint="eastAsia"/>
              </w:rPr>
              <w:t>¥</w:t>
            </w:r>
            <w:r>
              <w:rPr>
                <w:rFonts w:hint="eastAsia"/>
                <w:szCs w:val="21"/>
              </w:rPr>
              <w:t>1,393,516.01（人民币壹佰叁拾玖万叁仟伍佰壹拾陆元零壹分）。</w:t>
            </w:r>
          </w:p>
        </w:tc>
      </w:tr>
      <w:tr w14:paraId="3C849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2192C2CC">
            <w:pPr>
              <w:tabs>
                <w:tab w:val="clear" w:pos="426"/>
              </w:tabs>
              <w:adjustRightInd/>
              <w:snapToGrid/>
              <w:spacing w:line="320" w:lineRule="exact"/>
              <w:jc w:val="center"/>
            </w:pPr>
            <w:r>
              <w:rPr>
                <w:rFonts w:hint="eastAsia"/>
              </w:rPr>
              <w:t>1</w:t>
            </w:r>
            <w:r>
              <w:t>6</w:t>
            </w:r>
          </w:p>
        </w:tc>
        <w:tc>
          <w:tcPr>
            <w:tcW w:w="1889" w:type="dxa"/>
            <w:tcBorders>
              <w:tl2br w:val="nil"/>
              <w:tr2bl w:val="nil"/>
            </w:tcBorders>
            <w:vAlign w:val="center"/>
          </w:tcPr>
          <w:p w14:paraId="1647DCBC">
            <w:pPr>
              <w:tabs>
                <w:tab w:val="clear" w:pos="426"/>
              </w:tabs>
              <w:adjustRightInd/>
              <w:snapToGrid/>
              <w:spacing w:line="320" w:lineRule="exact"/>
            </w:pPr>
            <w:r>
              <w:rPr>
                <w:rFonts w:hint="eastAsia"/>
              </w:rPr>
              <w:t>财政预算限额</w:t>
            </w:r>
          </w:p>
        </w:tc>
        <w:tc>
          <w:tcPr>
            <w:tcW w:w="6931" w:type="dxa"/>
            <w:tcBorders>
              <w:tl2br w:val="nil"/>
              <w:tr2bl w:val="nil"/>
            </w:tcBorders>
            <w:vAlign w:val="center"/>
          </w:tcPr>
          <w:p w14:paraId="5DEBDCDB">
            <w:pPr>
              <w:tabs>
                <w:tab w:val="clear" w:pos="426"/>
              </w:tabs>
              <w:adjustRightInd/>
              <w:snapToGrid/>
              <w:spacing w:line="240" w:lineRule="auto"/>
            </w:pPr>
            <w:r>
              <w:rPr>
                <w:rFonts w:hint="eastAsia"/>
              </w:rPr>
              <w:t>¥1,393,516.01</w:t>
            </w:r>
            <w:r>
              <w:rPr>
                <w:rFonts w:hint="eastAsia"/>
                <w:szCs w:val="21"/>
              </w:rPr>
              <w:t>（人民币壹佰叁拾玖万叁仟伍佰壹拾陆元零壹分）；不符合报价要求的投标文件将做无效处理</w:t>
            </w:r>
            <w:r>
              <w:rPr>
                <w:rFonts w:hint="eastAsia"/>
              </w:rPr>
              <w:t>。</w:t>
            </w:r>
          </w:p>
        </w:tc>
      </w:tr>
    </w:tbl>
    <w:p w14:paraId="46D90868">
      <w:pPr>
        <w:pStyle w:val="62"/>
        <w:tabs>
          <w:tab w:val="left" w:pos="3445"/>
          <w:tab w:val="clear" w:pos="426"/>
        </w:tabs>
      </w:pPr>
      <w:r>
        <w:br w:type="page"/>
      </w:r>
      <w:bookmarkStart w:id="19" w:name="_Toc21445"/>
      <w:bookmarkStart w:id="20" w:name="_Toc432592816"/>
      <w:bookmarkStart w:id="21" w:name="_Toc398220525"/>
      <w:r>
        <w:rPr>
          <w:rFonts w:hint="eastAsia"/>
        </w:rPr>
        <w:t>第三章项目需求</w:t>
      </w:r>
      <w:bookmarkEnd w:id="19"/>
    </w:p>
    <w:p w14:paraId="0F2454B4">
      <w:pPr>
        <w:pStyle w:val="4"/>
        <w:numPr>
          <w:ilvl w:val="0"/>
          <w:numId w:val="0"/>
        </w:numPr>
        <w:jc w:val="center"/>
        <w:rPr>
          <w:sz w:val="24"/>
        </w:rPr>
      </w:pPr>
      <w:bookmarkStart w:id="22" w:name="_Toc145666462"/>
      <w:bookmarkStart w:id="23" w:name="_Toc152759230"/>
      <w:bookmarkStart w:id="24" w:name="_Toc120892142"/>
      <w:bookmarkStart w:id="25" w:name="_Toc10329"/>
      <w:r>
        <w:rPr>
          <w:rFonts w:hint="eastAsia"/>
          <w:sz w:val="24"/>
        </w:rPr>
        <w:t>一、</w:t>
      </w:r>
      <w:bookmarkEnd w:id="22"/>
      <w:bookmarkEnd w:id="23"/>
      <w:bookmarkEnd w:id="24"/>
      <w:bookmarkStart w:id="26" w:name="_Toc152759231"/>
      <w:bookmarkStart w:id="27" w:name="_Toc120892143"/>
      <w:bookmarkStart w:id="28" w:name="_Toc145666463"/>
      <w:bookmarkStart w:id="29" w:name="_Toc518464359"/>
      <w:bookmarkStart w:id="30" w:name="_Toc528675169"/>
      <w:bookmarkStart w:id="31" w:name="_Toc528170797"/>
      <w:r>
        <w:rPr>
          <w:rFonts w:hint="eastAsia"/>
          <w:sz w:val="24"/>
        </w:rPr>
        <w:t>货物清单</w:t>
      </w:r>
      <w:bookmarkEnd w:id="25"/>
    </w:p>
    <w:bookmarkEnd w:id="26"/>
    <w:tbl>
      <w:tblPr>
        <w:tblStyle w:val="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936"/>
        <w:gridCol w:w="3125"/>
        <w:gridCol w:w="967"/>
        <w:gridCol w:w="967"/>
        <w:gridCol w:w="1255"/>
      </w:tblGrid>
      <w:tr w14:paraId="3353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noWrap/>
            <w:vAlign w:val="center"/>
          </w:tcPr>
          <w:p w14:paraId="7FD22579">
            <w:pPr>
              <w:spacing w:line="360" w:lineRule="exact"/>
              <w:jc w:val="center"/>
              <w:rPr>
                <w:rFonts w:hint="eastAsia" w:hAnsi="宋体"/>
                <w:b/>
                <w:bCs/>
                <w:sz w:val="22"/>
                <w:szCs w:val="22"/>
              </w:rPr>
            </w:pPr>
            <w:bookmarkStart w:id="32" w:name="_Toc152759232"/>
            <w:r>
              <w:rPr>
                <w:rFonts w:hint="eastAsia" w:hAnsi="宋体"/>
                <w:b/>
                <w:bCs/>
                <w:sz w:val="22"/>
                <w:szCs w:val="22"/>
              </w:rPr>
              <w:t>序号</w:t>
            </w:r>
          </w:p>
        </w:tc>
        <w:tc>
          <w:tcPr>
            <w:tcW w:w="1065" w:type="pct"/>
            <w:tcBorders>
              <w:tl2br w:val="nil"/>
              <w:tr2bl w:val="nil"/>
            </w:tcBorders>
            <w:shd w:val="clear" w:color="auto" w:fill="auto"/>
            <w:noWrap/>
            <w:vAlign w:val="center"/>
          </w:tcPr>
          <w:p w14:paraId="3BF499FA">
            <w:pPr>
              <w:spacing w:line="360" w:lineRule="exact"/>
              <w:jc w:val="center"/>
              <w:rPr>
                <w:rFonts w:hint="eastAsia" w:hAnsi="宋体"/>
                <w:b/>
                <w:bCs/>
                <w:sz w:val="22"/>
                <w:szCs w:val="22"/>
              </w:rPr>
            </w:pPr>
            <w:r>
              <w:rPr>
                <w:rFonts w:hint="eastAsia" w:hAnsi="宋体"/>
                <w:b/>
                <w:bCs/>
                <w:sz w:val="22"/>
                <w:szCs w:val="22"/>
              </w:rPr>
              <w:t>货物名称</w:t>
            </w:r>
          </w:p>
        </w:tc>
        <w:tc>
          <w:tcPr>
            <w:tcW w:w="1719" w:type="pct"/>
            <w:tcBorders>
              <w:tl2br w:val="nil"/>
              <w:tr2bl w:val="nil"/>
            </w:tcBorders>
            <w:shd w:val="clear" w:color="auto" w:fill="auto"/>
            <w:noWrap/>
            <w:vAlign w:val="center"/>
          </w:tcPr>
          <w:p w14:paraId="31C3F1F3">
            <w:pPr>
              <w:spacing w:line="360" w:lineRule="exact"/>
              <w:jc w:val="center"/>
              <w:rPr>
                <w:rFonts w:hint="eastAsia" w:hAnsi="宋体"/>
                <w:b/>
                <w:bCs/>
                <w:sz w:val="22"/>
                <w:szCs w:val="22"/>
              </w:rPr>
            </w:pPr>
            <w:r>
              <w:rPr>
                <w:rFonts w:hint="eastAsia" w:hAnsi="宋体"/>
                <w:b/>
                <w:bCs/>
                <w:sz w:val="22"/>
                <w:szCs w:val="22"/>
              </w:rPr>
              <w:t>尺寸</w:t>
            </w:r>
          </w:p>
        </w:tc>
        <w:tc>
          <w:tcPr>
            <w:tcW w:w="532" w:type="pct"/>
            <w:tcBorders>
              <w:tl2br w:val="nil"/>
              <w:tr2bl w:val="nil"/>
            </w:tcBorders>
            <w:shd w:val="clear" w:color="auto" w:fill="auto"/>
            <w:noWrap/>
            <w:vAlign w:val="center"/>
          </w:tcPr>
          <w:p w14:paraId="4525C0DB">
            <w:pPr>
              <w:spacing w:line="360" w:lineRule="exact"/>
              <w:jc w:val="center"/>
              <w:rPr>
                <w:rFonts w:hint="eastAsia" w:hAnsi="宋体"/>
                <w:b/>
                <w:bCs/>
                <w:sz w:val="22"/>
                <w:szCs w:val="22"/>
              </w:rPr>
            </w:pPr>
            <w:r>
              <w:rPr>
                <w:rFonts w:hint="eastAsia" w:hAnsi="宋体"/>
                <w:b/>
                <w:bCs/>
                <w:sz w:val="22"/>
                <w:szCs w:val="22"/>
              </w:rPr>
              <w:t>数量</w:t>
            </w:r>
          </w:p>
        </w:tc>
        <w:tc>
          <w:tcPr>
            <w:tcW w:w="532" w:type="pct"/>
            <w:tcBorders>
              <w:tl2br w:val="nil"/>
              <w:tr2bl w:val="nil"/>
            </w:tcBorders>
            <w:shd w:val="clear" w:color="auto" w:fill="auto"/>
            <w:noWrap/>
            <w:vAlign w:val="center"/>
          </w:tcPr>
          <w:p w14:paraId="546479A2">
            <w:pPr>
              <w:spacing w:line="360" w:lineRule="exact"/>
              <w:jc w:val="center"/>
              <w:rPr>
                <w:rFonts w:hint="eastAsia" w:hAnsi="宋体"/>
                <w:b/>
                <w:bCs/>
                <w:sz w:val="22"/>
                <w:szCs w:val="22"/>
              </w:rPr>
            </w:pPr>
            <w:r>
              <w:rPr>
                <w:rFonts w:hint="eastAsia" w:hAnsi="宋体"/>
                <w:b/>
                <w:bCs/>
                <w:sz w:val="22"/>
                <w:szCs w:val="22"/>
              </w:rPr>
              <w:t>单位</w:t>
            </w:r>
          </w:p>
        </w:tc>
        <w:tc>
          <w:tcPr>
            <w:tcW w:w="690" w:type="pct"/>
            <w:tcBorders>
              <w:tl2br w:val="nil"/>
              <w:tr2bl w:val="nil"/>
            </w:tcBorders>
            <w:shd w:val="clear" w:color="auto" w:fill="auto"/>
            <w:noWrap/>
            <w:vAlign w:val="center"/>
          </w:tcPr>
          <w:p w14:paraId="2D9B2128">
            <w:pPr>
              <w:spacing w:line="360" w:lineRule="exact"/>
              <w:jc w:val="center"/>
              <w:rPr>
                <w:rFonts w:hint="eastAsia" w:hAnsi="宋体"/>
                <w:sz w:val="22"/>
                <w:szCs w:val="22"/>
              </w:rPr>
            </w:pPr>
            <w:r>
              <w:rPr>
                <w:rFonts w:hint="eastAsia" w:hAnsi="宋体"/>
                <w:sz w:val="22"/>
                <w:szCs w:val="22"/>
              </w:rPr>
              <w:t>备注</w:t>
            </w:r>
          </w:p>
        </w:tc>
      </w:tr>
      <w:tr w14:paraId="7FF4D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2FC08B1F">
            <w:pPr>
              <w:spacing w:line="360" w:lineRule="exact"/>
              <w:jc w:val="center"/>
              <w:rPr>
                <w:rFonts w:hint="eastAsia" w:hAnsi="宋体"/>
                <w:sz w:val="22"/>
                <w:szCs w:val="22"/>
              </w:rPr>
            </w:pPr>
            <w:r>
              <w:rPr>
                <w:rFonts w:hint="eastAsia" w:hAnsi="宋体"/>
                <w:sz w:val="22"/>
                <w:szCs w:val="22"/>
              </w:rPr>
              <w:t>1</w:t>
            </w:r>
          </w:p>
        </w:tc>
        <w:tc>
          <w:tcPr>
            <w:tcW w:w="1065" w:type="pct"/>
            <w:tcBorders>
              <w:tl2br w:val="nil"/>
              <w:tr2bl w:val="nil"/>
            </w:tcBorders>
            <w:shd w:val="clear" w:color="auto" w:fill="auto"/>
            <w:vAlign w:val="center"/>
          </w:tcPr>
          <w:p w14:paraId="08A5DF16">
            <w:pPr>
              <w:spacing w:line="360" w:lineRule="exact"/>
              <w:jc w:val="center"/>
              <w:rPr>
                <w:rFonts w:hint="eastAsia" w:hAnsi="宋体"/>
                <w:sz w:val="22"/>
                <w:szCs w:val="22"/>
              </w:rPr>
            </w:pPr>
            <w:r>
              <w:rPr>
                <w:rFonts w:hint="eastAsia" w:hAnsi="宋体"/>
                <w:sz w:val="22"/>
                <w:szCs w:val="22"/>
              </w:rPr>
              <w:t>三位沙发</w:t>
            </w:r>
          </w:p>
        </w:tc>
        <w:tc>
          <w:tcPr>
            <w:tcW w:w="1719" w:type="pct"/>
            <w:tcBorders>
              <w:tl2br w:val="nil"/>
              <w:tr2bl w:val="nil"/>
            </w:tcBorders>
            <w:shd w:val="clear" w:color="auto" w:fill="auto"/>
            <w:vAlign w:val="center"/>
          </w:tcPr>
          <w:p w14:paraId="5E6BF2A8">
            <w:pPr>
              <w:spacing w:line="360" w:lineRule="exact"/>
              <w:jc w:val="center"/>
              <w:rPr>
                <w:rFonts w:hint="eastAsia" w:hAnsi="宋体"/>
                <w:sz w:val="22"/>
                <w:szCs w:val="22"/>
              </w:rPr>
            </w:pPr>
            <w:r>
              <w:rPr>
                <w:rFonts w:hint="eastAsia" w:hAnsi="宋体"/>
                <w:sz w:val="22"/>
                <w:szCs w:val="22"/>
              </w:rPr>
              <w:t>2110*1000*810</w:t>
            </w:r>
          </w:p>
        </w:tc>
        <w:tc>
          <w:tcPr>
            <w:tcW w:w="532" w:type="pct"/>
            <w:tcBorders>
              <w:tl2br w:val="nil"/>
              <w:tr2bl w:val="nil"/>
            </w:tcBorders>
            <w:shd w:val="clear" w:color="auto" w:fill="auto"/>
            <w:vAlign w:val="center"/>
          </w:tcPr>
          <w:p w14:paraId="6E49028D">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01F3CE2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138ED50">
            <w:pPr>
              <w:spacing w:line="360" w:lineRule="exact"/>
              <w:jc w:val="center"/>
              <w:rPr>
                <w:rFonts w:hint="eastAsia" w:hAnsi="宋体"/>
                <w:sz w:val="22"/>
                <w:szCs w:val="22"/>
              </w:rPr>
            </w:pPr>
            <w:r>
              <w:rPr>
                <w:rFonts w:hint="eastAsia" w:hAnsi="宋体"/>
                <w:sz w:val="22"/>
                <w:szCs w:val="22"/>
              </w:rPr>
              <w:t>拒绝进口</w:t>
            </w:r>
          </w:p>
        </w:tc>
      </w:tr>
      <w:tr w14:paraId="1530B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6EFE239E">
            <w:pPr>
              <w:spacing w:line="360" w:lineRule="exact"/>
              <w:jc w:val="center"/>
              <w:rPr>
                <w:rFonts w:hint="eastAsia" w:hAnsi="宋体"/>
                <w:sz w:val="22"/>
                <w:szCs w:val="22"/>
              </w:rPr>
            </w:pPr>
            <w:r>
              <w:rPr>
                <w:rFonts w:hint="eastAsia" w:hAnsi="宋体"/>
                <w:sz w:val="22"/>
                <w:szCs w:val="22"/>
              </w:rPr>
              <w:t>2</w:t>
            </w:r>
          </w:p>
        </w:tc>
        <w:tc>
          <w:tcPr>
            <w:tcW w:w="1065" w:type="pct"/>
            <w:tcBorders>
              <w:tl2br w:val="nil"/>
              <w:tr2bl w:val="nil"/>
            </w:tcBorders>
            <w:shd w:val="clear" w:color="auto" w:fill="auto"/>
            <w:vAlign w:val="center"/>
          </w:tcPr>
          <w:p w14:paraId="26A944AF">
            <w:pPr>
              <w:spacing w:line="360" w:lineRule="exact"/>
              <w:jc w:val="center"/>
              <w:rPr>
                <w:rFonts w:hint="eastAsia" w:hAnsi="宋体"/>
                <w:sz w:val="22"/>
                <w:szCs w:val="22"/>
              </w:rPr>
            </w:pPr>
            <w:r>
              <w:rPr>
                <w:rFonts w:hint="eastAsia" w:hAnsi="宋体"/>
                <w:sz w:val="22"/>
                <w:szCs w:val="22"/>
              </w:rPr>
              <w:t>单位沙发</w:t>
            </w:r>
          </w:p>
        </w:tc>
        <w:tc>
          <w:tcPr>
            <w:tcW w:w="1719" w:type="pct"/>
            <w:tcBorders>
              <w:tl2br w:val="nil"/>
              <w:tr2bl w:val="nil"/>
            </w:tcBorders>
            <w:shd w:val="clear" w:color="auto" w:fill="auto"/>
            <w:vAlign w:val="center"/>
          </w:tcPr>
          <w:p w14:paraId="46BCB0C9">
            <w:pPr>
              <w:spacing w:line="360" w:lineRule="exact"/>
              <w:jc w:val="center"/>
              <w:rPr>
                <w:rFonts w:hint="eastAsia" w:hAnsi="宋体"/>
                <w:sz w:val="22"/>
                <w:szCs w:val="22"/>
              </w:rPr>
            </w:pPr>
            <w:r>
              <w:rPr>
                <w:rFonts w:hint="eastAsia" w:hAnsi="宋体"/>
                <w:sz w:val="22"/>
                <w:szCs w:val="22"/>
              </w:rPr>
              <w:t>880*1000*810</w:t>
            </w:r>
          </w:p>
        </w:tc>
        <w:tc>
          <w:tcPr>
            <w:tcW w:w="532" w:type="pct"/>
            <w:tcBorders>
              <w:tl2br w:val="nil"/>
              <w:tr2bl w:val="nil"/>
            </w:tcBorders>
            <w:shd w:val="clear" w:color="auto" w:fill="auto"/>
            <w:vAlign w:val="center"/>
          </w:tcPr>
          <w:p w14:paraId="4FD6E63C">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024B7620">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3FF5370">
            <w:pPr>
              <w:spacing w:line="360" w:lineRule="exact"/>
              <w:jc w:val="center"/>
              <w:rPr>
                <w:rFonts w:hint="eastAsia" w:hAnsi="宋体"/>
                <w:sz w:val="22"/>
                <w:szCs w:val="22"/>
              </w:rPr>
            </w:pPr>
            <w:r>
              <w:rPr>
                <w:rFonts w:hint="eastAsia" w:hAnsi="宋体"/>
                <w:sz w:val="22"/>
                <w:szCs w:val="22"/>
              </w:rPr>
              <w:t>拒绝进口</w:t>
            </w:r>
          </w:p>
        </w:tc>
      </w:tr>
      <w:tr w14:paraId="5F4EE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7FB9366">
            <w:pPr>
              <w:spacing w:line="360" w:lineRule="exact"/>
              <w:jc w:val="center"/>
              <w:rPr>
                <w:rFonts w:hint="eastAsia" w:hAnsi="宋体"/>
                <w:sz w:val="22"/>
                <w:szCs w:val="22"/>
              </w:rPr>
            </w:pPr>
            <w:r>
              <w:rPr>
                <w:rFonts w:hint="eastAsia" w:hAnsi="宋体"/>
                <w:sz w:val="22"/>
                <w:szCs w:val="22"/>
              </w:rPr>
              <w:t>3</w:t>
            </w:r>
          </w:p>
        </w:tc>
        <w:tc>
          <w:tcPr>
            <w:tcW w:w="1065" w:type="pct"/>
            <w:tcBorders>
              <w:tl2br w:val="nil"/>
              <w:tr2bl w:val="nil"/>
            </w:tcBorders>
            <w:shd w:val="clear" w:color="auto" w:fill="auto"/>
            <w:vAlign w:val="center"/>
          </w:tcPr>
          <w:p w14:paraId="59526B3F">
            <w:pPr>
              <w:spacing w:line="360" w:lineRule="exact"/>
              <w:jc w:val="center"/>
              <w:rPr>
                <w:rFonts w:hint="eastAsia" w:hAnsi="宋体"/>
                <w:sz w:val="22"/>
                <w:szCs w:val="22"/>
              </w:rPr>
            </w:pPr>
            <w:r>
              <w:rPr>
                <w:rFonts w:hint="eastAsia" w:hAnsi="宋体"/>
                <w:sz w:val="22"/>
                <w:szCs w:val="22"/>
              </w:rPr>
              <w:t>茶几</w:t>
            </w:r>
          </w:p>
        </w:tc>
        <w:tc>
          <w:tcPr>
            <w:tcW w:w="1719" w:type="pct"/>
            <w:tcBorders>
              <w:tl2br w:val="nil"/>
              <w:tr2bl w:val="nil"/>
            </w:tcBorders>
            <w:shd w:val="clear" w:color="auto" w:fill="auto"/>
            <w:vAlign w:val="center"/>
          </w:tcPr>
          <w:p w14:paraId="49E93CC2">
            <w:pPr>
              <w:spacing w:line="360" w:lineRule="exact"/>
              <w:jc w:val="center"/>
              <w:rPr>
                <w:rFonts w:hint="eastAsia" w:hAnsi="宋体"/>
                <w:sz w:val="22"/>
                <w:szCs w:val="22"/>
              </w:rPr>
            </w:pPr>
            <w:r>
              <w:rPr>
                <w:rFonts w:hint="eastAsia" w:hAnsi="宋体"/>
                <w:sz w:val="22"/>
                <w:szCs w:val="22"/>
              </w:rPr>
              <w:t>1200*600*450</w:t>
            </w:r>
          </w:p>
        </w:tc>
        <w:tc>
          <w:tcPr>
            <w:tcW w:w="532" w:type="pct"/>
            <w:tcBorders>
              <w:tl2br w:val="nil"/>
              <w:tr2bl w:val="nil"/>
            </w:tcBorders>
            <w:shd w:val="clear" w:color="auto" w:fill="auto"/>
            <w:vAlign w:val="center"/>
          </w:tcPr>
          <w:p w14:paraId="13CCB565">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2F57B225">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259EFBC">
            <w:pPr>
              <w:spacing w:line="360" w:lineRule="exact"/>
              <w:jc w:val="center"/>
              <w:rPr>
                <w:rFonts w:hint="eastAsia" w:hAnsi="宋体"/>
                <w:sz w:val="22"/>
                <w:szCs w:val="22"/>
              </w:rPr>
            </w:pPr>
            <w:r>
              <w:rPr>
                <w:rFonts w:hint="eastAsia" w:hAnsi="宋体"/>
                <w:sz w:val="22"/>
                <w:szCs w:val="22"/>
              </w:rPr>
              <w:t>拒绝进口</w:t>
            </w:r>
          </w:p>
        </w:tc>
      </w:tr>
      <w:tr w14:paraId="1002E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0BE906F">
            <w:pPr>
              <w:spacing w:line="360" w:lineRule="exact"/>
              <w:jc w:val="center"/>
              <w:rPr>
                <w:rFonts w:hint="eastAsia" w:hAnsi="宋体"/>
                <w:sz w:val="22"/>
                <w:szCs w:val="22"/>
              </w:rPr>
            </w:pPr>
            <w:r>
              <w:rPr>
                <w:rFonts w:hint="eastAsia" w:hAnsi="宋体"/>
                <w:sz w:val="22"/>
                <w:szCs w:val="22"/>
              </w:rPr>
              <w:t>4</w:t>
            </w:r>
          </w:p>
        </w:tc>
        <w:tc>
          <w:tcPr>
            <w:tcW w:w="1065" w:type="pct"/>
            <w:tcBorders>
              <w:tl2br w:val="nil"/>
              <w:tr2bl w:val="nil"/>
            </w:tcBorders>
            <w:shd w:val="clear" w:color="auto" w:fill="auto"/>
            <w:vAlign w:val="center"/>
          </w:tcPr>
          <w:p w14:paraId="59B7E2A4">
            <w:pPr>
              <w:spacing w:line="360" w:lineRule="exact"/>
              <w:jc w:val="center"/>
              <w:rPr>
                <w:rFonts w:hint="eastAsia" w:hAnsi="宋体"/>
                <w:sz w:val="22"/>
                <w:szCs w:val="22"/>
              </w:rPr>
            </w:pPr>
            <w:r>
              <w:rPr>
                <w:rFonts w:hint="eastAsia" w:hAnsi="宋体"/>
                <w:sz w:val="22"/>
                <w:szCs w:val="22"/>
              </w:rPr>
              <w:t>咨询台</w:t>
            </w:r>
          </w:p>
        </w:tc>
        <w:tc>
          <w:tcPr>
            <w:tcW w:w="1719" w:type="pct"/>
            <w:tcBorders>
              <w:tl2br w:val="nil"/>
              <w:tr2bl w:val="nil"/>
            </w:tcBorders>
            <w:shd w:val="clear" w:color="auto" w:fill="auto"/>
            <w:vAlign w:val="center"/>
          </w:tcPr>
          <w:p w14:paraId="7E7E9234">
            <w:pPr>
              <w:spacing w:line="360" w:lineRule="exact"/>
              <w:jc w:val="center"/>
              <w:rPr>
                <w:rFonts w:hint="eastAsia" w:hAnsi="宋体"/>
                <w:sz w:val="22"/>
                <w:szCs w:val="22"/>
              </w:rPr>
            </w:pPr>
            <w:r>
              <w:rPr>
                <w:rFonts w:hint="eastAsia" w:hAnsi="宋体"/>
                <w:sz w:val="22"/>
                <w:szCs w:val="22"/>
              </w:rPr>
              <w:t>1200*600*750/1000</w:t>
            </w:r>
          </w:p>
        </w:tc>
        <w:tc>
          <w:tcPr>
            <w:tcW w:w="532" w:type="pct"/>
            <w:tcBorders>
              <w:tl2br w:val="nil"/>
              <w:tr2bl w:val="nil"/>
            </w:tcBorders>
            <w:shd w:val="clear" w:color="auto" w:fill="auto"/>
            <w:vAlign w:val="center"/>
          </w:tcPr>
          <w:p w14:paraId="58BBD2EB">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38976F4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49555A2">
            <w:pPr>
              <w:spacing w:line="360" w:lineRule="exact"/>
              <w:jc w:val="center"/>
              <w:rPr>
                <w:rFonts w:hint="eastAsia" w:hAnsi="宋体"/>
                <w:sz w:val="22"/>
                <w:szCs w:val="22"/>
              </w:rPr>
            </w:pPr>
            <w:r>
              <w:rPr>
                <w:rFonts w:hint="eastAsia" w:hAnsi="宋体"/>
                <w:sz w:val="22"/>
                <w:szCs w:val="22"/>
              </w:rPr>
              <w:t>拒绝进口</w:t>
            </w:r>
          </w:p>
        </w:tc>
      </w:tr>
      <w:tr w14:paraId="1219F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9CA29FF">
            <w:pPr>
              <w:spacing w:line="360" w:lineRule="exact"/>
              <w:jc w:val="center"/>
              <w:rPr>
                <w:rFonts w:hint="eastAsia" w:hAnsi="宋体"/>
                <w:sz w:val="22"/>
                <w:szCs w:val="22"/>
              </w:rPr>
            </w:pPr>
            <w:r>
              <w:rPr>
                <w:rFonts w:hint="eastAsia" w:hAnsi="宋体"/>
                <w:sz w:val="22"/>
                <w:szCs w:val="22"/>
              </w:rPr>
              <w:t>5</w:t>
            </w:r>
          </w:p>
        </w:tc>
        <w:tc>
          <w:tcPr>
            <w:tcW w:w="1065" w:type="pct"/>
            <w:tcBorders>
              <w:tl2br w:val="nil"/>
              <w:tr2bl w:val="nil"/>
            </w:tcBorders>
            <w:shd w:val="clear" w:color="auto" w:fill="auto"/>
            <w:vAlign w:val="center"/>
          </w:tcPr>
          <w:p w14:paraId="3BB9F6AD">
            <w:pPr>
              <w:spacing w:line="360" w:lineRule="exact"/>
              <w:jc w:val="center"/>
              <w:rPr>
                <w:rFonts w:hint="eastAsia" w:hAnsi="宋体"/>
                <w:sz w:val="22"/>
                <w:szCs w:val="22"/>
              </w:rPr>
            </w:pPr>
            <w:r>
              <w:rPr>
                <w:rFonts w:hint="eastAsia" w:hAnsi="宋体"/>
                <w:sz w:val="22"/>
                <w:szCs w:val="22"/>
              </w:rPr>
              <w:t>值班椅</w:t>
            </w:r>
          </w:p>
        </w:tc>
        <w:tc>
          <w:tcPr>
            <w:tcW w:w="1719" w:type="pct"/>
            <w:tcBorders>
              <w:tl2br w:val="nil"/>
              <w:tr2bl w:val="nil"/>
            </w:tcBorders>
            <w:shd w:val="clear" w:color="auto" w:fill="auto"/>
            <w:vAlign w:val="center"/>
          </w:tcPr>
          <w:p w14:paraId="683918EC">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717DF9E9">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08E95A3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B374333">
            <w:pPr>
              <w:spacing w:line="360" w:lineRule="exact"/>
              <w:jc w:val="center"/>
              <w:rPr>
                <w:rFonts w:hint="eastAsia" w:hAnsi="宋体"/>
                <w:sz w:val="22"/>
                <w:szCs w:val="22"/>
              </w:rPr>
            </w:pPr>
            <w:r>
              <w:rPr>
                <w:rFonts w:hint="eastAsia" w:hAnsi="宋体"/>
                <w:sz w:val="22"/>
                <w:szCs w:val="22"/>
              </w:rPr>
              <w:t>拒绝进口</w:t>
            </w:r>
          </w:p>
        </w:tc>
      </w:tr>
      <w:tr w14:paraId="5FD29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A1D23C9">
            <w:pPr>
              <w:spacing w:line="360" w:lineRule="exact"/>
              <w:jc w:val="center"/>
              <w:rPr>
                <w:rFonts w:hint="eastAsia" w:hAnsi="宋体"/>
                <w:sz w:val="22"/>
                <w:szCs w:val="22"/>
              </w:rPr>
            </w:pPr>
            <w:r>
              <w:rPr>
                <w:rFonts w:hint="eastAsia" w:hAnsi="宋体"/>
                <w:sz w:val="22"/>
                <w:szCs w:val="22"/>
              </w:rPr>
              <w:t>6</w:t>
            </w:r>
          </w:p>
        </w:tc>
        <w:tc>
          <w:tcPr>
            <w:tcW w:w="1065" w:type="pct"/>
            <w:tcBorders>
              <w:tl2br w:val="nil"/>
              <w:tr2bl w:val="nil"/>
            </w:tcBorders>
            <w:shd w:val="clear" w:color="auto" w:fill="auto"/>
            <w:vAlign w:val="center"/>
          </w:tcPr>
          <w:p w14:paraId="1AF284ED">
            <w:pPr>
              <w:spacing w:line="360" w:lineRule="exact"/>
              <w:jc w:val="center"/>
              <w:rPr>
                <w:rFonts w:hint="eastAsia" w:hAnsi="宋体"/>
                <w:sz w:val="22"/>
                <w:szCs w:val="22"/>
              </w:rPr>
            </w:pPr>
            <w:r>
              <w:rPr>
                <w:rFonts w:hint="eastAsia" w:hAnsi="宋体"/>
                <w:sz w:val="22"/>
                <w:szCs w:val="22"/>
              </w:rPr>
              <w:t>洽谈桌</w:t>
            </w:r>
          </w:p>
        </w:tc>
        <w:tc>
          <w:tcPr>
            <w:tcW w:w="1719" w:type="pct"/>
            <w:tcBorders>
              <w:tl2br w:val="nil"/>
              <w:tr2bl w:val="nil"/>
            </w:tcBorders>
            <w:shd w:val="clear" w:color="auto" w:fill="auto"/>
            <w:vAlign w:val="center"/>
          </w:tcPr>
          <w:p w14:paraId="64E246B2">
            <w:pPr>
              <w:spacing w:line="360" w:lineRule="exact"/>
              <w:jc w:val="center"/>
              <w:rPr>
                <w:rFonts w:hint="eastAsia" w:hAnsi="宋体"/>
                <w:sz w:val="22"/>
                <w:szCs w:val="22"/>
              </w:rPr>
            </w:pPr>
            <w:r>
              <w:rPr>
                <w:rFonts w:hint="eastAsia" w:hAnsi="宋体"/>
                <w:sz w:val="22"/>
                <w:szCs w:val="22"/>
              </w:rPr>
              <w:t>φ650*750H</w:t>
            </w:r>
          </w:p>
        </w:tc>
        <w:tc>
          <w:tcPr>
            <w:tcW w:w="532" w:type="pct"/>
            <w:tcBorders>
              <w:tl2br w:val="nil"/>
              <w:tr2bl w:val="nil"/>
            </w:tcBorders>
            <w:shd w:val="clear" w:color="auto" w:fill="auto"/>
            <w:vAlign w:val="center"/>
          </w:tcPr>
          <w:p w14:paraId="57BF0942">
            <w:pPr>
              <w:spacing w:line="360" w:lineRule="exact"/>
              <w:jc w:val="center"/>
              <w:rPr>
                <w:rFonts w:hint="eastAsia" w:hAnsi="宋体"/>
                <w:sz w:val="22"/>
                <w:szCs w:val="22"/>
              </w:rPr>
            </w:pPr>
            <w:r>
              <w:rPr>
                <w:rFonts w:hint="eastAsia" w:hAnsi="宋体"/>
                <w:sz w:val="22"/>
                <w:szCs w:val="22"/>
              </w:rPr>
              <w:t>10</w:t>
            </w:r>
          </w:p>
        </w:tc>
        <w:tc>
          <w:tcPr>
            <w:tcW w:w="532" w:type="pct"/>
            <w:tcBorders>
              <w:tl2br w:val="nil"/>
              <w:tr2bl w:val="nil"/>
            </w:tcBorders>
            <w:shd w:val="clear" w:color="auto" w:fill="auto"/>
            <w:vAlign w:val="center"/>
          </w:tcPr>
          <w:p w14:paraId="56D306B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8B556DF">
            <w:pPr>
              <w:spacing w:line="360" w:lineRule="exact"/>
              <w:jc w:val="center"/>
              <w:rPr>
                <w:rFonts w:hint="eastAsia" w:hAnsi="宋体"/>
                <w:sz w:val="22"/>
                <w:szCs w:val="22"/>
              </w:rPr>
            </w:pPr>
            <w:r>
              <w:rPr>
                <w:rFonts w:hint="eastAsia" w:hAnsi="宋体"/>
                <w:sz w:val="22"/>
                <w:szCs w:val="22"/>
              </w:rPr>
              <w:t>拒绝进口</w:t>
            </w:r>
          </w:p>
        </w:tc>
      </w:tr>
      <w:tr w14:paraId="6548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2C42DC4D">
            <w:pPr>
              <w:spacing w:line="360" w:lineRule="exact"/>
              <w:jc w:val="center"/>
              <w:rPr>
                <w:rFonts w:hint="eastAsia" w:hAnsi="宋体"/>
                <w:sz w:val="22"/>
                <w:szCs w:val="22"/>
              </w:rPr>
            </w:pPr>
            <w:r>
              <w:rPr>
                <w:rFonts w:hint="eastAsia" w:hAnsi="宋体"/>
                <w:sz w:val="22"/>
                <w:szCs w:val="22"/>
              </w:rPr>
              <w:t>7</w:t>
            </w:r>
          </w:p>
        </w:tc>
        <w:tc>
          <w:tcPr>
            <w:tcW w:w="1065" w:type="pct"/>
            <w:tcBorders>
              <w:tl2br w:val="nil"/>
              <w:tr2bl w:val="nil"/>
            </w:tcBorders>
            <w:shd w:val="clear" w:color="auto" w:fill="auto"/>
            <w:vAlign w:val="center"/>
          </w:tcPr>
          <w:p w14:paraId="1C0A5163">
            <w:pPr>
              <w:spacing w:line="360" w:lineRule="exact"/>
              <w:jc w:val="center"/>
              <w:rPr>
                <w:rFonts w:hint="eastAsia" w:hAnsi="宋体"/>
                <w:sz w:val="22"/>
                <w:szCs w:val="22"/>
              </w:rPr>
            </w:pPr>
            <w:r>
              <w:rPr>
                <w:rFonts w:hint="eastAsia" w:hAnsi="宋体"/>
                <w:sz w:val="22"/>
                <w:szCs w:val="22"/>
              </w:rPr>
              <w:t>洽谈椅</w:t>
            </w:r>
          </w:p>
        </w:tc>
        <w:tc>
          <w:tcPr>
            <w:tcW w:w="1719" w:type="pct"/>
            <w:tcBorders>
              <w:tl2br w:val="nil"/>
              <w:tr2bl w:val="nil"/>
            </w:tcBorders>
            <w:shd w:val="clear" w:color="auto" w:fill="auto"/>
            <w:vAlign w:val="center"/>
          </w:tcPr>
          <w:p w14:paraId="52E10D85">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1ED076E5">
            <w:pPr>
              <w:spacing w:line="360" w:lineRule="exact"/>
              <w:jc w:val="center"/>
              <w:rPr>
                <w:rFonts w:hint="eastAsia" w:hAnsi="宋体"/>
                <w:sz w:val="22"/>
                <w:szCs w:val="22"/>
              </w:rPr>
            </w:pPr>
            <w:r>
              <w:rPr>
                <w:rFonts w:hint="eastAsia" w:hAnsi="宋体"/>
                <w:sz w:val="22"/>
                <w:szCs w:val="22"/>
              </w:rPr>
              <w:t>40</w:t>
            </w:r>
          </w:p>
        </w:tc>
        <w:tc>
          <w:tcPr>
            <w:tcW w:w="532" w:type="pct"/>
            <w:tcBorders>
              <w:tl2br w:val="nil"/>
              <w:tr2bl w:val="nil"/>
            </w:tcBorders>
            <w:shd w:val="clear" w:color="auto" w:fill="auto"/>
            <w:vAlign w:val="center"/>
          </w:tcPr>
          <w:p w14:paraId="3E6DDEEC">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180DD243">
            <w:pPr>
              <w:spacing w:line="360" w:lineRule="exact"/>
              <w:jc w:val="center"/>
              <w:rPr>
                <w:rFonts w:hint="eastAsia" w:hAnsi="宋体"/>
                <w:sz w:val="22"/>
                <w:szCs w:val="22"/>
              </w:rPr>
            </w:pPr>
            <w:r>
              <w:rPr>
                <w:rFonts w:hint="eastAsia" w:hAnsi="宋体"/>
                <w:sz w:val="22"/>
                <w:szCs w:val="22"/>
              </w:rPr>
              <w:t>拒绝进口</w:t>
            </w:r>
          </w:p>
        </w:tc>
      </w:tr>
      <w:tr w14:paraId="3806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97196CE">
            <w:pPr>
              <w:spacing w:line="360" w:lineRule="exact"/>
              <w:jc w:val="center"/>
              <w:rPr>
                <w:rFonts w:hint="eastAsia" w:hAnsi="宋体"/>
                <w:sz w:val="22"/>
                <w:szCs w:val="22"/>
              </w:rPr>
            </w:pPr>
            <w:r>
              <w:rPr>
                <w:rFonts w:hint="eastAsia" w:hAnsi="宋体"/>
                <w:sz w:val="22"/>
                <w:szCs w:val="22"/>
              </w:rPr>
              <w:t>8</w:t>
            </w:r>
          </w:p>
        </w:tc>
        <w:tc>
          <w:tcPr>
            <w:tcW w:w="1065" w:type="pct"/>
            <w:tcBorders>
              <w:tl2br w:val="nil"/>
              <w:tr2bl w:val="nil"/>
            </w:tcBorders>
            <w:shd w:val="clear" w:color="auto" w:fill="auto"/>
            <w:vAlign w:val="center"/>
          </w:tcPr>
          <w:p w14:paraId="35B318DB">
            <w:pPr>
              <w:spacing w:line="360" w:lineRule="exact"/>
              <w:jc w:val="center"/>
              <w:rPr>
                <w:rFonts w:hint="eastAsia" w:hAnsi="宋体"/>
                <w:sz w:val="22"/>
                <w:szCs w:val="22"/>
              </w:rPr>
            </w:pPr>
            <w:r>
              <w:rPr>
                <w:rFonts w:hint="eastAsia" w:hAnsi="宋体"/>
                <w:sz w:val="22"/>
                <w:szCs w:val="22"/>
              </w:rPr>
              <w:t>职员椅</w:t>
            </w:r>
          </w:p>
        </w:tc>
        <w:tc>
          <w:tcPr>
            <w:tcW w:w="1719" w:type="pct"/>
            <w:tcBorders>
              <w:tl2br w:val="nil"/>
              <w:tr2bl w:val="nil"/>
            </w:tcBorders>
            <w:shd w:val="clear" w:color="auto" w:fill="auto"/>
            <w:vAlign w:val="center"/>
          </w:tcPr>
          <w:p w14:paraId="32CD4FFE">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0982933A">
            <w:pPr>
              <w:spacing w:line="360" w:lineRule="exact"/>
              <w:jc w:val="center"/>
              <w:rPr>
                <w:rFonts w:hint="eastAsia" w:hAnsi="宋体"/>
                <w:sz w:val="22"/>
                <w:szCs w:val="22"/>
              </w:rPr>
            </w:pPr>
            <w:r>
              <w:rPr>
                <w:rFonts w:hint="eastAsia" w:hAnsi="宋体"/>
                <w:sz w:val="22"/>
                <w:szCs w:val="22"/>
              </w:rPr>
              <w:t>4</w:t>
            </w:r>
          </w:p>
        </w:tc>
        <w:tc>
          <w:tcPr>
            <w:tcW w:w="532" w:type="pct"/>
            <w:tcBorders>
              <w:tl2br w:val="nil"/>
              <w:tr2bl w:val="nil"/>
            </w:tcBorders>
            <w:shd w:val="clear" w:color="auto" w:fill="auto"/>
            <w:vAlign w:val="center"/>
          </w:tcPr>
          <w:p w14:paraId="7156C44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8B4B814">
            <w:pPr>
              <w:spacing w:line="360" w:lineRule="exact"/>
              <w:jc w:val="center"/>
              <w:rPr>
                <w:rFonts w:hint="eastAsia" w:hAnsi="宋体"/>
                <w:sz w:val="22"/>
                <w:szCs w:val="22"/>
              </w:rPr>
            </w:pPr>
            <w:r>
              <w:rPr>
                <w:rFonts w:hint="eastAsia" w:hAnsi="宋体"/>
                <w:sz w:val="22"/>
                <w:szCs w:val="22"/>
              </w:rPr>
              <w:t>拒绝进口</w:t>
            </w:r>
          </w:p>
        </w:tc>
      </w:tr>
      <w:tr w14:paraId="6139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000000" w:fill="FFFFFF"/>
            <w:vAlign w:val="center"/>
          </w:tcPr>
          <w:p w14:paraId="70611189">
            <w:pPr>
              <w:spacing w:line="360" w:lineRule="exact"/>
              <w:jc w:val="center"/>
              <w:rPr>
                <w:rFonts w:hint="eastAsia" w:hAnsi="宋体"/>
                <w:sz w:val="22"/>
                <w:szCs w:val="22"/>
              </w:rPr>
            </w:pPr>
            <w:r>
              <w:rPr>
                <w:rFonts w:hint="eastAsia" w:hAnsi="宋体"/>
                <w:sz w:val="22"/>
                <w:szCs w:val="22"/>
              </w:rPr>
              <w:t>9</w:t>
            </w:r>
          </w:p>
        </w:tc>
        <w:tc>
          <w:tcPr>
            <w:tcW w:w="1065" w:type="pct"/>
            <w:tcBorders>
              <w:tl2br w:val="nil"/>
              <w:tr2bl w:val="nil"/>
            </w:tcBorders>
            <w:shd w:val="clear" w:color="000000" w:fill="FFFFFF"/>
            <w:vAlign w:val="center"/>
          </w:tcPr>
          <w:p w14:paraId="56EA9F17">
            <w:pPr>
              <w:spacing w:line="360" w:lineRule="exact"/>
              <w:jc w:val="center"/>
              <w:rPr>
                <w:rFonts w:hint="eastAsia" w:hAnsi="宋体"/>
                <w:sz w:val="22"/>
                <w:szCs w:val="22"/>
              </w:rPr>
            </w:pPr>
            <w:r>
              <w:rPr>
                <w:rFonts w:hint="eastAsia" w:hAnsi="宋体"/>
                <w:sz w:val="22"/>
                <w:szCs w:val="22"/>
              </w:rPr>
              <w:t>餐桌</w:t>
            </w:r>
          </w:p>
        </w:tc>
        <w:tc>
          <w:tcPr>
            <w:tcW w:w="1719" w:type="pct"/>
            <w:tcBorders>
              <w:tl2br w:val="nil"/>
              <w:tr2bl w:val="nil"/>
            </w:tcBorders>
            <w:shd w:val="clear" w:color="000000" w:fill="FFFFFF"/>
            <w:vAlign w:val="center"/>
          </w:tcPr>
          <w:p w14:paraId="01E62BF9">
            <w:pPr>
              <w:spacing w:line="360" w:lineRule="exact"/>
              <w:jc w:val="center"/>
              <w:rPr>
                <w:rFonts w:hint="eastAsia" w:hAnsi="宋体"/>
                <w:sz w:val="22"/>
                <w:szCs w:val="22"/>
              </w:rPr>
            </w:pPr>
            <w:r>
              <w:rPr>
                <w:rFonts w:hint="eastAsia" w:hAnsi="宋体"/>
                <w:sz w:val="22"/>
                <w:szCs w:val="22"/>
              </w:rPr>
              <w:t>1400*700*750</w:t>
            </w:r>
          </w:p>
        </w:tc>
        <w:tc>
          <w:tcPr>
            <w:tcW w:w="532" w:type="pct"/>
            <w:tcBorders>
              <w:tl2br w:val="nil"/>
              <w:tr2bl w:val="nil"/>
            </w:tcBorders>
            <w:shd w:val="clear" w:color="000000" w:fill="FFFFFF"/>
            <w:vAlign w:val="center"/>
          </w:tcPr>
          <w:p w14:paraId="7631912C">
            <w:pPr>
              <w:spacing w:line="360" w:lineRule="exact"/>
              <w:jc w:val="center"/>
              <w:rPr>
                <w:rFonts w:hint="eastAsia" w:hAnsi="宋体"/>
                <w:sz w:val="22"/>
                <w:szCs w:val="22"/>
              </w:rPr>
            </w:pPr>
            <w:r>
              <w:rPr>
                <w:rFonts w:hint="eastAsia" w:hAnsi="宋体"/>
                <w:sz w:val="22"/>
                <w:szCs w:val="22"/>
              </w:rPr>
              <w:t>30</w:t>
            </w:r>
          </w:p>
        </w:tc>
        <w:tc>
          <w:tcPr>
            <w:tcW w:w="532" w:type="pct"/>
            <w:tcBorders>
              <w:tl2br w:val="nil"/>
              <w:tr2bl w:val="nil"/>
            </w:tcBorders>
            <w:shd w:val="clear" w:color="000000" w:fill="FFFFFF"/>
            <w:vAlign w:val="center"/>
          </w:tcPr>
          <w:p w14:paraId="669B3B2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C38FC71">
            <w:pPr>
              <w:spacing w:line="360" w:lineRule="exact"/>
              <w:jc w:val="center"/>
              <w:rPr>
                <w:rFonts w:hint="eastAsia" w:hAnsi="宋体"/>
                <w:sz w:val="22"/>
                <w:szCs w:val="22"/>
              </w:rPr>
            </w:pPr>
            <w:r>
              <w:rPr>
                <w:rFonts w:hint="eastAsia" w:hAnsi="宋体"/>
                <w:sz w:val="22"/>
                <w:szCs w:val="22"/>
              </w:rPr>
              <w:t>拒绝进口</w:t>
            </w:r>
          </w:p>
        </w:tc>
      </w:tr>
      <w:tr w14:paraId="7F4B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05216F3">
            <w:pPr>
              <w:spacing w:line="360" w:lineRule="exact"/>
              <w:jc w:val="center"/>
              <w:rPr>
                <w:rFonts w:hint="eastAsia" w:hAnsi="宋体"/>
                <w:sz w:val="22"/>
                <w:szCs w:val="22"/>
              </w:rPr>
            </w:pPr>
            <w:r>
              <w:rPr>
                <w:rFonts w:hint="eastAsia" w:hAnsi="宋体"/>
                <w:sz w:val="22"/>
                <w:szCs w:val="22"/>
              </w:rPr>
              <w:t>10</w:t>
            </w:r>
          </w:p>
        </w:tc>
        <w:tc>
          <w:tcPr>
            <w:tcW w:w="1065" w:type="pct"/>
            <w:tcBorders>
              <w:tl2br w:val="nil"/>
              <w:tr2bl w:val="nil"/>
            </w:tcBorders>
            <w:shd w:val="clear" w:color="auto" w:fill="auto"/>
            <w:vAlign w:val="center"/>
          </w:tcPr>
          <w:p w14:paraId="18474D6F">
            <w:pPr>
              <w:spacing w:line="360" w:lineRule="exact"/>
              <w:jc w:val="center"/>
              <w:rPr>
                <w:rFonts w:hint="eastAsia" w:hAnsi="宋体"/>
                <w:sz w:val="22"/>
                <w:szCs w:val="22"/>
              </w:rPr>
            </w:pPr>
            <w:r>
              <w:rPr>
                <w:rFonts w:hint="eastAsia" w:hAnsi="宋体"/>
                <w:sz w:val="22"/>
                <w:szCs w:val="22"/>
              </w:rPr>
              <w:t>餐椅</w:t>
            </w:r>
          </w:p>
        </w:tc>
        <w:tc>
          <w:tcPr>
            <w:tcW w:w="1719" w:type="pct"/>
            <w:tcBorders>
              <w:tl2br w:val="nil"/>
              <w:tr2bl w:val="nil"/>
            </w:tcBorders>
            <w:shd w:val="clear" w:color="auto" w:fill="auto"/>
            <w:vAlign w:val="center"/>
          </w:tcPr>
          <w:p w14:paraId="02725732">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7787D1A8">
            <w:pPr>
              <w:spacing w:line="360" w:lineRule="exact"/>
              <w:jc w:val="center"/>
              <w:rPr>
                <w:rFonts w:hint="eastAsia" w:hAnsi="宋体"/>
                <w:sz w:val="22"/>
                <w:szCs w:val="22"/>
              </w:rPr>
            </w:pPr>
            <w:r>
              <w:rPr>
                <w:rFonts w:hint="eastAsia" w:hAnsi="宋体"/>
                <w:sz w:val="22"/>
                <w:szCs w:val="22"/>
              </w:rPr>
              <w:t>120</w:t>
            </w:r>
          </w:p>
        </w:tc>
        <w:tc>
          <w:tcPr>
            <w:tcW w:w="532" w:type="pct"/>
            <w:tcBorders>
              <w:tl2br w:val="nil"/>
              <w:tr2bl w:val="nil"/>
            </w:tcBorders>
            <w:shd w:val="clear" w:color="auto" w:fill="auto"/>
            <w:vAlign w:val="center"/>
          </w:tcPr>
          <w:p w14:paraId="30831897">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30531B51">
            <w:pPr>
              <w:spacing w:line="360" w:lineRule="exact"/>
              <w:jc w:val="center"/>
              <w:rPr>
                <w:rFonts w:hint="eastAsia" w:hAnsi="宋体"/>
                <w:sz w:val="22"/>
                <w:szCs w:val="22"/>
              </w:rPr>
            </w:pPr>
            <w:r>
              <w:rPr>
                <w:rFonts w:hint="eastAsia" w:hAnsi="宋体"/>
                <w:sz w:val="22"/>
                <w:szCs w:val="22"/>
              </w:rPr>
              <w:t>拒绝进口</w:t>
            </w:r>
          </w:p>
        </w:tc>
      </w:tr>
      <w:tr w14:paraId="4A340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A91B6BF">
            <w:pPr>
              <w:spacing w:line="360" w:lineRule="exact"/>
              <w:jc w:val="center"/>
              <w:rPr>
                <w:rFonts w:hint="eastAsia" w:hAnsi="宋体"/>
                <w:sz w:val="22"/>
                <w:szCs w:val="22"/>
              </w:rPr>
            </w:pPr>
            <w:r>
              <w:rPr>
                <w:rFonts w:hint="eastAsia" w:hAnsi="宋体"/>
                <w:sz w:val="22"/>
                <w:szCs w:val="22"/>
              </w:rPr>
              <w:t>11</w:t>
            </w:r>
          </w:p>
        </w:tc>
        <w:tc>
          <w:tcPr>
            <w:tcW w:w="1065" w:type="pct"/>
            <w:tcBorders>
              <w:tl2br w:val="nil"/>
              <w:tr2bl w:val="nil"/>
            </w:tcBorders>
            <w:shd w:val="clear" w:color="auto" w:fill="auto"/>
            <w:vAlign w:val="center"/>
          </w:tcPr>
          <w:p w14:paraId="631C89E3">
            <w:pPr>
              <w:spacing w:line="360" w:lineRule="exact"/>
              <w:jc w:val="center"/>
              <w:rPr>
                <w:rFonts w:hint="eastAsia" w:hAnsi="宋体"/>
                <w:sz w:val="22"/>
                <w:szCs w:val="22"/>
              </w:rPr>
            </w:pPr>
            <w:r>
              <w:rPr>
                <w:rFonts w:hint="eastAsia" w:hAnsi="宋体"/>
                <w:sz w:val="22"/>
                <w:szCs w:val="22"/>
              </w:rPr>
              <w:t>餐桌</w:t>
            </w:r>
          </w:p>
        </w:tc>
        <w:tc>
          <w:tcPr>
            <w:tcW w:w="1719" w:type="pct"/>
            <w:tcBorders>
              <w:tl2br w:val="nil"/>
              <w:tr2bl w:val="nil"/>
            </w:tcBorders>
            <w:shd w:val="clear" w:color="auto" w:fill="auto"/>
            <w:vAlign w:val="center"/>
          </w:tcPr>
          <w:p w14:paraId="58E2B4C3">
            <w:pPr>
              <w:spacing w:line="360" w:lineRule="exact"/>
              <w:jc w:val="center"/>
              <w:rPr>
                <w:rFonts w:hint="eastAsia" w:hAnsi="宋体"/>
                <w:sz w:val="22"/>
                <w:szCs w:val="22"/>
              </w:rPr>
            </w:pPr>
            <w:r>
              <w:rPr>
                <w:rFonts w:hint="eastAsia" w:hAnsi="宋体"/>
                <w:sz w:val="22"/>
                <w:szCs w:val="22"/>
              </w:rPr>
              <w:t>φ2200*750</w:t>
            </w:r>
          </w:p>
        </w:tc>
        <w:tc>
          <w:tcPr>
            <w:tcW w:w="532" w:type="pct"/>
            <w:tcBorders>
              <w:tl2br w:val="nil"/>
              <w:tr2bl w:val="nil"/>
            </w:tcBorders>
            <w:shd w:val="clear" w:color="auto" w:fill="auto"/>
            <w:vAlign w:val="center"/>
          </w:tcPr>
          <w:p w14:paraId="0C3D7AE1">
            <w:pPr>
              <w:spacing w:line="360" w:lineRule="exact"/>
              <w:jc w:val="center"/>
              <w:rPr>
                <w:rFonts w:hint="eastAsia" w:hAnsi="宋体"/>
                <w:sz w:val="22"/>
                <w:szCs w:val="22"/>
              </w:rPr>
            </w:pPr>
            <w:r>
              <w:rPr>
                <w:rFonts w:hint="eastAsia" w:hAnsi="宋体"/>
                <w:sz w:val="22"/>
                <w:szCs w:val="22"/>
              </w:rPr>
              <w:t>2</w:t>
            </w:r>
          </w:p>
        </w:tc>
        <w:tc>
          <w:tcPr>
            <w:tcW w:w="532" w:type="pct"/>
            <w:tcBorders>
              <w:tl2br w:val="nil"/>
              <w:tr2bl w:val="nil"/>
            </w:tcBorders>
            <w:shd w:val="clear" w:color="auto" w:fill="auto"/>
            <w:vAlign w:val="center"/>
          </w:tcPr>
          <w:p w14:paraId="2D9FBBA4">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3EE5B5E">
            <w:pPr>
              <w:spacing w:line="360" w:lineRule="exact"/>
              <w:jc w:val="center"/>
              <w:rPr>
                <w:rFonts w:hint="eastAsia" w:hAnsi="宋体"/>
                <w:sz w:val="22"/>
                <w:szCs w:val="22"/>
              </w:rPr>
            </w:pPr>
            <w:r>
              <w:rPr>
                <w:rFonts w:hint="eastAsia" w:hAnsi="宋体"/>
                <w:sz w:val="22"/>
                <w:szCs w:val="22"/>
              </w:rPr>
              <w:t>拒绝进口</w:t>
            </w:r>
          </w:p>
        </w:tc>
      </w:tr>
      <w:tr w14:paraId="260E7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931516B">
            <w:pPr>
              <w:spacing w:line="360" w:lineRule="exact"/>
              <w:jc w:val="center"/>
              <w:rPr>
                <w:rFonts w:hint="eastAsia" w:hAnsi="宋体"/>
                <w:sz w:val="22"/>
                <w:szCs w:val="22"/>
              </w:rPr>
            </w:pPr>
            <w:r>
              <w:rPr>
                <w:rFonts w:hint="eastAsia" w:hAnsi="宋体"/>
                <w:sz w:val="22"/>
                <w:szCs w:val="22"/>
              </w:rPr>
              <w:t>12</w:t>
            </w:r>
          </w:p>
        </w:tc>
        <w:tc>
          <w:tcPr>
            <w:tcW w:w="1065" w:type="pct"/>
            <w:tcBorders>
              <w:tl2br w:val="nil"/>
              <w:tr2bl w:val="nil"/>
            </w:tcBorders>
            <w:shd w:val="clear" w:color="auto" w:fill="auto"/>
            <w:vAlign w:val="center"/>
          </w:tcPr>
          <w:p w14:paraId="040D3EDB">
            <w:pPr>
              <w:spacing w:line="360" w:lineRule="exact"/>
              <w:jc w:val="center"/>
              <w:rPr>
                <w:rFonts w:hint="eastAsia" w:hAnsi="宋体"/>
                <w:sz w:val="22"/>
                <w:szCs w:val="22"/>
              </w:rPr>
            </w:pPr>
            <w:r>
              <w:rPr>
                <w:rFonts w:hint="eastAsia" w:hAnsi="宋体"/>
                <w:sz w:val="22"/>
                <w:szCs w:val="22"/>
              </w:rPr>
              <w:t>餐椅</w:t>
            </w:r>
          </w:p>
        </w:tc>
        <w:tc>
          <w:tcPr>
            <w:tcW w:w="1719" w:type="pct"/>
            <w:tcBorders>
              <w:tl2br w:val="nil"/>
              <w:tr2bl w:val="nil"/>
            </w:tcBorders>
            <w:shd w:val="clear" w:color="auto" w:fill="auto"/>
            <w:vAlign w:val="center"/>
          </w:tcPr>
          <w:p w14:paraId="0B3107E4">
            <w:pPr>
              <w:spacing w:line="360" w:lineRule="exact"/>
              <w:jc w:val="center"/>
              <w:rPr>
                <w:rFonts w:hint="eastAsia" w:hAnsi="宋体"/>
                <w:sz w:val="22"/>
                <w:szCs w:val="22"/>
              </w:rPr>
            </w:pPr>
            <w:r>
              <w:rPr>
                <w:rFonts w:hint="eastAsia" w:hAnsi="宋体"/>
                <w:sz w:val="22"/>
                <w:szCs w:val="22"/>
              </w:rPr>
              <w:t>490*490*980</w:t>
            </w:r>
          </w:p>
        </w:tc>
        <w:tc>
          <w:tcPr>
            <w:tcW w:w="532" w:type="pct"/>
            <w:tcBorders>
              <w:tl2br w:val="nil"/>
              <w:tr2bl w:val="nil"/>
            </w:tcBorders>
            <w:shd w:val="clear" w:color="auto" w:fill="auto"/>
            <w:vAlign w:val="center"/>
          </w:tcPr>
          <w:p w14:paraId="73086F5F">
            <w:pPr>
              <w:spacing w:line="360" w:lineRule="exact"/>
              <w:jc w:val="center"/>
              <w:rPr>
                <w:rFonts w:hint="eastAsia" w:hAnsi="宋体"/>
                <w:sz w:val="22"/>
                <w:szCs w:val="22"/>
              </w:rPr>
            </w:pPr>
            <w:r>
              <w:rPr>
                <w:rFonts w:hint="eastAsia" w:hAnsi="宋体"/>
                <w:sz w:val="22"/>
                <w:szCs w:val="22"/>
              </w:rPr>
              <w:t>24</w:t>
            </w:r>
          </w:p>
        </w:tc>
        <w:tc>
          <w:tcPr>
            <w:tcW w:w="532" w:type="pct"/>
            <w:tcBorders>
              <w:tl2br w:val="nil"/>
              <w:tr2bl w:val="nil"/>
            </w:tcBorders>
            <w:shd w:val="clear" w:color="auto" w:fill="auto"/>
            <w:vAlign w:val="center"/>
          </w:tcPr>
          <w:p w14:paraId="25A57C89">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8A75255">
            <w:pPr>
              <w:spacing w:line="360" w:lineRule="exact"/>
              <w:jc w:val="center"/>
              <w:rPr>
                <w:rFonts w:hint="eastAsia" w:hAnsi="宋体"/>
                <w:sz w:val="22"/>
                <w:szCs w:val="22"/>
              </w:rPr>
            </w:pPr>
            <w:r>
              <w:rPr>
                <w:rFonts w:hint="eastAsia" w:hAnsi="宋体"/>
                <w:sz w:val="22"/>
                <w:szCs w:val="22"/>
              </w:rPr>
              <w:t>拒绝进口</w:t>
            </w:r>
          </w:p>
        </w:tc>
      </w:tr>
      <w:tr w14:paraId="4EF7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47B3829">
            <w:pPr>
              <w:spacing w:line="360" w:lineRule="exact"/>
              <w:jc w:val="center"/>
              <w:rPr>
                <w:rFonts w:hint="eastAsia" w:hAnsi="宋体"/>
                <w:sz w:val="22"/>
                <w:szCs w:val="22"/>
              </w:rPr>
            </w:pPr>
            <w:r>
              <w:rPr>
                <w:rFonts w:hint="eastAsia" w:hAnsi="宋体"/>
                <w:sz w:val="22"/>
                <w:szCs w:val="22"/>
              </w:rPr>
              <w:t>13</w:t>
            </w:r>
          </w:p>
        </w:tc>
        <w:tc>
          <w:tcPr>
            <w:tcW w:w="1065" w:type="pct"/>
            <w:tcBorders>
              <w:tl2br w:val="nil"/>
              <w:tr2bl w:val="nil"/>
            </w:tcBorders>
            <w:shd w:val="clear" w:color="auto" w:fill="auto"/>
            <w:vAlign w:val="center"/>
          </w:tcPr>
          <w:p w14:paraId="562635D7">
            <w:pPr>
              <w:spacing w:line="360" w:lineRule="exact"/>
              <w:jc w:val="center"/>
              <w:rPr>
                <w:rFonts w:hint="eastAsia" w:hAnsi="宋体"/>
                <w:sz w:val="22"/>
                <w:szCs w:val="22"/>
              </w:rPr>
            </w:pPr>
            <w:r>
              <w:rPr>
                <w:rFonts w:hint="eastAsia" w:hAnsi="宋体"/>
                <w:sz w:val="22"/>
                <w:szCs w:val="22"/>
              </w:rPr>
              <w:t>三位沙发</w:t>
            </w:r>
          </w:p>
        </w:tc>
        <w:tc>
          <w:tcPr>
            <w:tcW w:w="1719" w:type="pct"/>
            <w:tcBorders>
              <w:tl2br w:val="nil"/>
              <w:tr2bl w:val="nil"/>
            </w:tcBorders>
            <w:shd w:val="clear" w:color="auto" w:fill="auto"/>
            <w:vAlign w:val="center"/>
          </w:tcPr>
          <w:p w14:paraId="12EC54BF">
            <w:pPr>
              <w:spacing w:line="360" w:lineRule="exact"/>
              <w:jc w:val="center"/>
              <w:rPr>
                <w:rFonts w:hint="eastAsia" w:hAnsi="宋体"/>
                <w:sz w:val="22"/>
                <w:szCs w:val="22"/>
              </w:rPr>
            </w:pPr>
            <w:r>
              <w:rPr>
                <w:rFonts w:hint="eastAsia" w:hAnsi="宋体"/>
                <w:sz w:val="22"/>
                <w:szCs w:val="22"/>
              </w:rPr>
              <w:t>2000*850*800</w:t>
            </w:r>
          </w:p>
        </w:tc>
        <w:tc>
          <w:tcPr>
            <w:tcW w:w="532" w:type="pct"/>
            <w:tcBorders>
              <w:tl2br w:val="nil"/>
              <w:tr2bl w:val="nil"/>
            </w:tcBorders>
            <w:shd w:val="clear" w:color="auto" w:fill="auto"/>
            <w:vAlign w:val="center"/>
          </w:tcPr>
          <w:p w14:paraId="0F7BDC7C">
            <w:pPr>
              <w:spacing w:line="360" w:lineRule="exact"/>
              <w:jc w:val="center"/>
              <w:rPr>
                <w:rFonts w:hint="eastAsia" w:hAnsi="宋体"/>
                <w:sz w:val="22"/>
                <w:szCs w:val="22"/>
              </w:rPr>
            </w:pPr>
            <w:r>
              <w:rPr>
                <w:rFonts w:hint="eastAsia" w:hAnsi="宋体"/>
                <w:sz w:val="22"/>
                <w:szCs w:val="22"/>
              </w:rPr>
              <w:t>2</w:t>
            </w:r>
          </w:p>
        </w:tc>
        <w:tc>
          <w:tcPr>
            <w:tcW w:w="532" w:type="pct"/>
            <w:tcBorders>
              <w:tl2br w:val="nil"/>
              <w:tr2bl w:val="nil"/>
            </w:tcBorders>
            <w:shd w:val="clear" w:color="auto" w:fill="auto"/>
            <w:vAlign w:val="center"/>
          </w:tcPr>
          <w:p w14:paraId="1DC64443">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A356F31">
            <w:pPr>
              <w:spacing w:line="360" w:lineRule="exact"/>
              <w:jc w:val="center"/>
              <w:rPr>
                <w:rFonts w:hint="eastAsia" w:hAnsi="宋体"/>
                <w:sz w:val="22"/>
                <w:szCs w:val="22"/>
              </w:rPr>
            </w:pPr>
            <w:r>
              <w:rPr>
                <w:rFonts w:hint="eastAsia" w:hAnsi="宋体"/>
                <w:sz w:val="22"/>
                <w:szCs w:val="22"/>
              </w:rPr>
              <w:t>拒绝进口</w:t>
            </w:r>
          </w:p>
        </w:tc>
      </w:tr>
      <w:tr w14:paraId="0C164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B20BCCD">
            <w:pPr>
              <w:spacing w:line="360" w:lineRule="exact"/>
              <w:jc w:val="center"/>
              <w:rPr>
                <w:rFonts w:hint="eastAsia" w:hAnsi="宋体"/>
                <w:sz w:val="22"/>
                <w:szCs w:val="22"/>
              </w:rPr>
            </w:pPr>
            <w:r>
              <w:rPr>
                <w:rFonts w:hint="eastAsia" w:hAnsi="宋体"/>
                <w:sz w:val="22"/>
                <w:szCs w:val="22"/>
              </w:rPr>
              <w:t>14</w:t>
            </w:r>
          </w:p>
        </w:tc>
        <w:tc>
          <w:tcPr>
            <w:tcW w:w="1065" w:type="pct"/>
            <w:tcBorders>
              <w:tl2br w:val="nil"/>
              <w:tr2bl w:val="nil"/>
            </w:tcBorders>
            <w:shd w:val="clear" w:color="auto" w:fill="auto"/>
            <w:vAlign w:val="center"/>
          </w:tcPr>
          <w:p w14:paraId="01F7C597">
            <w:pPr>
              <w:spacing w:line="360" w:lineRule="exact"/>
              <w:jc w:val="center"/>
              <w:rPr>
                <w:rFonts w:hint="eastAsia" w:hAnsi="宋体"/>
                <w:sz w:val="22"/>
                <w:szCs w:val="22"/>
              </w:rPr>
            </w:pPr>
            <w:r>
              <w:rPr>
                <w:rFonts w:hint="eastAsia" w:hAnsi="宋体"/>
                <w:sz w:val="22"/>
                <w:szCs w:val="22"/>
              </w:rPr>
              <w:t>单位沙发</w:t>
            </w:r>
          </w:p>
        </w:tc>
        <w:tc>
          <w:tcPr>
            <w:tcW w:w="1719" w:type="pct"/>
            <w:tcBorders>
              <w:tl2br w:val="nil"/>
              <w:tr2bl w:val="nil"/>
            </w:tcBorders>
            <w:shd w:val="clear" w:color="auto" w:fill="auto"/>
            <w:vAlign w:val="center"/>
          </w:tcPr>
          <w:p w14:paraId="1963DF6A">
            <w:pPr>
              <w:spacing w:line="360" w:lineRule="exact"/>
              <w:jc w:val="center"/>
              <w:rPr>
                <w:rFonts w:hint="eastAsia" w:hAnsi="宋体"/>
                <w:sz w:val="22"/>
                <w:szCs w:val="22"/>
              </w:rPr>
            </w:pPr>
            <w:r>
              <w:rPr>
                <w:rFonts w:hint="eastAsia" w:hAnsi="宋体"/>
                <w:sz w:val="22"/>
                <w:szCs w:val="22"/>
              </w:rPr>
              <w:t>920*890*750</w:t>
            </w:r>
          </w:p>
        </w:tc>
        <w:tc>
          <w:tcPr>
            <w:tcW w:w="532" w:type="pct"/>
            <w:tcBorders>
              <w:tl2br w:val="nil"/>
              <w:tr2bl w:val="nil"/>
            </w:tcBorders>
            <w:shd w:val="clear" w:color="auto" w:fill="auto"/>
            <w:vAlign w:val="center"/>
          </w:tcPr>
          <w:p w14:paraId="277EA9C6">
            <w:pPr>
              <w:spacing w:line="360" w:lineRule="exact"/>
              <w:jc w:val="center"/>
              <w:rPr>
                <w:rFonts w:hint="eastAsia" w:hAnsi="宋体"/>
                <w:sz w:val="22"/>
                <w:szCs w:val="22"/>
              </w:rPr>
            </w:pPr>
            <w:r>
              <w:rPr>
                <w:rFonts w:hint="eastAsia" w:hAnsi="宋体"/>
                <w:sz w:val="22"/>
                <w:szCs w:val="22"/>
              </w:rPr>
              <w:t>6</w:t>
            </w:r>
          </w:p>
        </w:tc>
        <w:tc>
          <w:tcPr>
            <w:tcW w:w="532" w:type="pct"/>
            <w:tcBorders>
              <w:tl2br w:val="nil"/>
              <w:tr2bl w:val="nil"/>
            </w:tcBorders>
            <w:shd w:val="clear" w:color="auto" w:fill="auto"/>
            <w:vAlign w:val="center"/>
          </w:tcPr>
          <w:p w14:paraId="4143C741">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03FD689">
            <w:pPr>
              <w:spacing w:line="360" w:lineRule="exact"/>
              <w:jc w:val="center"/>
              <w:rPr>
                <w:rFonts w:hint="eastAsia" w:hAnsi="宋体"/>
                <w:sz w:val="22"/>
                <w:szCs w:val="22"/>
              </w:rPr>
            </w:pPr>
            <w:r>
              <w:rPr>
                <w:rFonts w:hint="eastAsia" w:hAnsi="宋体"/>
                <w:sz w:val="22"/>
                <w:szCs w:val="22"/>
              </w:rPr>
              <w:t>拒绝进口</w:t>
            </w:r>
          </w:p>
        </w:tc>
      </w:tr>
      <w:tr w14:paraId="01EB5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CFD3956">
            <w:pPr>
              <w:spacing w:line="360" w:lineRule="exact"/>
              <w:jc w:val="center"/>
              <w:rPr>
                <w:rFonts w:hint="eastAsia" w:hAnsi="宋体"/>
                <w:sz w:val="22"/>
                <w:szCs w:val="22"/>
              </w:rPr>
            </w:pPr>
            <w:r>
              <w:rPr>
                <w:rFonts w:hint="eastAsia" w:hAnsi="宋体"/>
                <w:sz w:val="22"/>
                <w:szCs w:val="22"/>
              </w:rPr>
              <w:t>15</w:t>
            </w:r>
          </w:p>
        </w:tc>
        <w:tc>
          <w:tcPr>
            <w:tcW w:w="1065" w:type="pct"/>
            <w:tcBorders>
              <w:tl2br w:val="nil"/>
              <w:tr2bl w:val="nil"/>
            </w:tcBorders>
            <w:shd w:val="clear" w:color="auto" w:fill="auto"/>
            <w:vAlign w:val="center"/>
          </w:tcPr>
          <w:p w14:paraId="298D77A1">
            <w:pPr>
              <w:spacing w:line="360" w:lineRule="exact"/>
              <w:jc w:val="center"/>
              <w:rPr>
                <w:rFonts w:hint="eastAsia" w:hAnsi="宋体"/>
                <w:sz w:val="22"/>
                <w:szCs w:val="22"/>
              </w:rPr>
            </w:pPr>
            <w:r>
              <w:rPr>
                <w:rFonts w:hint="eastAsia" w:hAnsi="宋体"/>
                <w:sz w:val="22"/>
                <w:szCs w:val="22"/>
              </w:rPr>
              <w:t>茶几</w:t>
            </w:r>
          </w:p>
        </w:tc>
        <w:tc>
          <w:tcPr>
            <w:tcW w:w="1719" w:type="pct"/>
            <w:tcBorders>
              <w:tl2br w:val="nil"/>
              <w:tr2bl w:val="nil"/>
            </w:tcBorders>
            <w:shd w:val="clear" w:color="auto" w:fill="auto"/>
            <w:vAlign w:val="center"/>
          </w:tcPr>
          <w:p w14:paraId="333317BB">
            <w:pPr>
              <w:spacing w:line="360" w:lineRule="exact"/>
              <w:jc w:val="center"/>
              <w:rPr>
                <w:rFonts w:hint="eastAsia" w:hAnsi="宋体"/>
                <w:sz w:val="22"/>
                <w:szCs w:val="22"/>
              </w:rPr>
            </w:pPr>
            <w:r>
              <w:rPr>
                <w:rFonts w:hint="eastAsia" w:hAnsi="宋体"/>
                <w:sz w:val="22"/>
                <w:szCs w:val="22"/>
              </w:rPr>
              <w:t>1200*700*450</w:t>
            </w:r>
          </w:p>
        </w:tc>
        <w:tc>
          <w:tcPr>
            <w:tcW w:w="532" w:type="pct"/>
            <w:tcBorders>
              <w:tl2br w:val="nil"/>
              <w:tr2bl w:val="nil"/>
            </w:tcBorders>
            <w:shd w:val="clear" w:color="auto" w:fill="auto"/>
            <w:vAlign w:val="center"/>
          </w:tcPr>
          <w:p w14:paraId="4A223C45">
            <w:pPr>
              <w:spacing w:line="360" w:lineRule="exact"/>
              <w:jc w:val="center"/>
              <w:rPr>
                <w:rFonts w:hint="eastAsia" w:hAnsi="宋体"/>
                <w:sz w:val="22"/>
                <w:szCs w:val="22"/>
              </w:rPr>
            </w:pPr>
            <w:r>
              <w:rPr>
                <w:rFonts w:hint="eastAsia" w:hAnsi="宋体"/>
                <w:sz w:val="22"/>
                <w:szCs w:val="22"/>
              </w:rPr>
              <w:t>2</w:t>
            </w:r>
          </w:p>
        </w:tc>
        <w:tc>
          <w:tcPr>
            <w:tcW w:w="532" w:type="pct"/>
            <w:tcBorders>
              <w:tl2br w:val="nil"/>
              <w:tr2bl w:val="nil"/>
            </w:tcBorders>
            <w:shd w:val="clear" w:color="auto" w:fill="auto"/>
            <w:vAlign w:val="center"/>
          </w:tcPr>
          <w:p w14:paraId="1E6F0D04">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5532626">
            <w:pPr>
              <w:spacing w:line="360" w:lineRule="exact"/>
              <w:jc w:val="center"/>
              <w:rPr>
                <w:rFonts w:hint="eastAsia" w:hAnsi="宋体"/>
                <w:sz w:val="22"/>
                <w:szCs w:val="22"/>
              </w:rPr>
            </w:pPr>
            <w:r>
              <w:rPr>
                <w:rFonts w:hint="eastAsia" w:hAnsi="宋体"/>
                <w:sz w:val="22"/>
                <w:szCs w:val="22"/>
              </w:rPr>
              <w:t>拒绝进口</w:t>
            </w:r>
          </w:p>
        </w:tc>
      </w:tr>
      <w:tr w14:paraId="73606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C3CC7BA">
            <w:pPr>
              <w:spacing w:line="360" w:lineRule="exact"/>
              <w:jc w:val="center"/>
              <w:rPr>
                <w:rFonts w:hint="eastAsia" w:hAnsi="宋体"/>
                <w:sz w:val="22"/>
                <w:szCs w:val="22"/>
              </w:rPr>
            </w:pPr>
            <w:r>
              <w:rPr>
                <w:rFonts w:hint="eastAsia" w:hAnsi="宋体"/>
                <w:sz w:val="22"/>
                <w:szCs w:val="22"/>
              </w:rPr>
              <w:t>30</w:t>
            </w:r>
          </w:p>
        </w:tc>
        <w:tc>
          <w:tcPr>
            <w:tcW w:w="1065" w:type="pct"/>
            <w:tcBorders>
              <w:tl2br w:val="nil"/>
              <w:tr2bl w:val="nil"/>
            </w:tcBorders>
            <w:shd w:val="clear" w:color="auto" w:fill="auto"/>
            <w:vAlign w:val="center"/>
          </w:tcPr>
          <w:p w14:paraId="02C70072">
            <w:pPr>
              <w:spacing w:line="360" w:lineRule="exact"/>
              <w:jc w:val="center"/>
              <w:rPr>
                <w:rFonts w:hint="eastAsia" w:hAnsi="宋体"/>
                <w:sz w:val="22"/>
                <w:szCs w:val="22"/>
              </w:rPr>
            </w:pPr>
            <w:r>
              <w:rPr>
                <w:rFonts w:hint="eastAsia" w:hAnsi="宋体"/>
                <w:sz w:val="22"/>
                <w:szCs w:val="22"/>
              </w:rPr>
              <w:t>上下铺</w:t>
            </w:r>
          </w:p>
        </w:tc>
        <w:tc>
          <w:tcPr>
            <w:tcW w:w="1719" w:type="pct"/>
            <w:tcBorders>
              <w:tl2br w:val="nil"/>
              <w:tr2bl w:val="nil"/>
            </w:tcBorders>
            <w:shd w:val="clear" w:color="auto" w:fill="auto"/>
            <w:vAlign w:val="center"/>
          </w:tcPr>
          <w:p w14:paraId="2768BFAD">
            <w:pPr>
              <w:spacing w:line="360" w:lineRule="exact"/>
              <w:jc w:val="center"/>
              <w:rPr>
                <w:rFonts w:hint="eastAsia" w:hAnsi="宋体"/>
                <w:sz w:val="22"/>
                <w:szCs w:val="22"/>
              </w:rPr>
            </w:pPr>
            <w:r>
              <w:rPr>
                <w:rFonts w:hint="eastAsia" w:hAnsi="宋体"/>
                <w:sz w:val="22"/>
                <w:szCs w:val="22"/>
              </w:rPr>
              <w:t>2052W*400D*2093H</w:t>
            </w:r>
          </w:p>
        </w:tc>
        <w:tc>
          <w:tcPr>
            <w:tcW w:w="532" w:type="pct"/>
            <w:tcBorders>
              <w:tl2br w:val="nil"/>
              <w:tr2bl w:val="nil"/>
            </w:tcBorders>
            <w:shd w:val="clear" w:color="auto" w:fill="auto"/>
            <w:vAlign w:val="center"/>
          </w:tcPr>
          <w:p w14:paraId="788E1468">
            <w:pPr>
              <w:spacing w:line="360" w:lineRule="exact"/>
              <w:jc w:val="center"/>
              <w:rPr>
                <w:rFonts w:hint="eastAsia" w:hAnsi="宋体"/>
                <w:sz w:val="22"/>
                <w:szCs w:val="22"/>
              </w:rPr>
            </w:pPr>
            <w:r>
              <w:rPr>
                <w:rFonts w:hint="eastAsia" w:hAnsi="宋体"/>
                <w:sz w:val="22"/>
                <w:szCs w:val="22"/>
              </w:rPr>
              <w:t>34</w:t>
            </w:r>
          </w:p>
        </w:tc>
        <w:tc>
          <w:tcPr>
            <w:tcW w:w="532" w:type="pct"/>
            <w:tcBorders>
              <w:tl2br w:val="nil"/>
              <w:tr2bl w:val="nil"/>
            </w:tcBorders>
            <w:shd w:val="clear" w:color="auto" w:fill="auto"/>
            <w:vAlign w:val="center"/>
          </w:tcPr>
          <w:p w14:paraId="7DB1D25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9DF377D">
            <w:pPr>
              <w:spacing w:line="360" w:lineRule="exact"/>
              <w:jc w:val="center"/>
              <w:rPr>
                <w:rFonts w:hint="eastAsia" w:hAnsi="宋体"/>
                <w:sz w:val="22"/>
                <w:szCs w:val="22"/>
              </w:rPr>
            </w:pPr>
            <w:r>
              <w:rPr>
                <w:rFonts w:hint="eastAsia" w:hAnsi="宋体"/>
                <w:sz w:val="22"/>
                <w:szCs w:val="22"/>
              </w:rPr>
              <w:t>拒绝进口</w:t>
            </w:r>
          </w:p>
        </w:tc>
      </w:tr>
      <w:tr w14:paraId="3EA91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588B29A">
            <w:pPr>
              <w:spacing w:line="360" w:lineRule="exact"/>
              <w:jc w:val="center"/>
              <w:rPr>
                <w:rFonts w:hint="eastAsia" w:hAnsi="宋体"/>
                <w:sz w:val="22"/>
                <w:szCs w:val="22"/>
              </w:rPr>
            </w:pPr>
            <w:r>
              <w:rPr>
                <w:rFonts w:hint="eastAsia" w:hAnsi="宋体"/>
                <w:sz w:val="22"/>
                <w:szCs w:val="22"/>
              </w:rPr>
              <w:t>31</w:t>
            </w:r>
          </w:p>
        </w:tc>
        <w:tc>
          <w:tcPr>
            <w:tcW w:w="1065" w:type="pct"/>
            <w:tcBorders>
              <w:tl2br w:val="nil"/>
              <w:tr2bl w:val="nil"/>
            </w:tcBorders>
            <w:shd w:val="clear" w:color="auto" w:fill="auto"/>
            <w:vAlign w:val="center"/>
          </w:tcPr>
          <w:p w14:paraId="783893E3">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2D8E526B">
            <w:pPr>
              <w:spacing w:line="360" w:lineRule="exact"/>
              <w:jc w:val="center"/>
              <w:rPr>
                <w:rFonts w:hint="eastAsia" w:hAnsi="宋体"/>
                <w:sz w:val="22"/>
                <w:szCs w:val="22"/>
              </w:rPr>
            </w:pPr>
            <w:r>
              <w:rPr>
                <w:rFonts w:hint="eastAsia" w:hAnsi="宋体"/>
                <w:sz w:val="22"/>
                <w:szCs w:val="22"/>
              </w:rPr>
              <w:t>2000W×600D×1800H</w:t>
            </w:r>
          </w:p>
        </w:tc>
        <w:tc>
          <w:tcPr>
            <w:tcW w:w="532" w:type="pct"/>
            <w:tcBorders>
              <w:tl2br w:val="nil"/>
              <w:tr2bl w:val="nil"/>
            </w:tcBorders>
            <w:shd w:val="clear" w:color="auto" w:fill="auto"/>
            <w:vAlign w:val="center"/>
          </w:tcPr>
          <w:p w14:paraId="47FC9C87">
            <w:pPr>
              <w:spacing w:line="360" w:lineRule="exact"/>
              <w:jc w:val="center"/>
              <w:rPr>
                <w:rFonts w:hint="eastAsia" w:hAnsi="宋体"/>
                <w:sz w:val="22"/>
                <w:szCs w:val="22"/>
              </w:rPr>
            </w:pPr>
            <w:r>
              <w:rPr>
                <w:rFonts w:hint="eastAsia" w:hAnsi="宋体"/>
                <w:sz w:val="22"/>
                <w:szCs w:val="22"/>
              </w:rPr>
              <w:t>16</w:t>
            </w:r>
          </w:p>
        </w:tc>
        <w:tc>
          <w:tcPr>
            <w:tcW w:w="532" w:type="pct"/>
            <w:tcBorders>
              <w:tl2br w:val="nil"/>
              <w:tr2bl w:val="nil"/>
            </w:tcBorders>
            <w:shd w:val="clear" w:color="auto" w:fill="auto"/>
            <w:vAlign w:val="center"/>
          </w:tcPr>
          <w:p w14:paraId="410DAFB9">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451B2D64">
            <w:pPr>
              <w:spacing w:line="360" w:lineRule="exact"/>
              <w:jc w:val="center"/>
              <w:rPr>
                <w:rFonts w:hint="eastAsia" w:hAnsi="宋体"/>
                <w:sz w:val="22"/>
                <w:szCs w:val="22"/>
              </w:rPr>
            </w:pPr>
            <w:r>
              <w:rPr>
                <w:rFonts w:hint="eastAsia" w:hAnsi="宋体"/>
                <w:sz w:val="22"/>
                <w:szCs w:val="22"/>
              </w:rPr>
              <w:t>拒绝进口</w:t>
            </w:r>
          </w:p>
        </w:tc>
      </w:tr>
      <w:tr w14:paraId="5B35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924D194">
            <w:pPr>
              <w:spacing w:line="360" w:lineRule="exact"/>
              <w:jc w:val="center"/>
              <w:rPr>
                <w:rFonts w:hint="eastAsia" w:hAnsi="宋体"/>
                <w:sz w:val="22"/>
                <w:szCs w:val="22"/>
              </w:rPr>
            </w:pPr>
            <w:r>
              <w:rPr>
                <w:rFonts w:hint="eastAsia" w:hAnsi="宋体"/>
                <w:sz w:val="22"/>
                <w:szCs w:val="22"/>
              </w:rPr>
              <w:t>32</w:t>
            </w:r>
          </w:p>
        </w:tc>
        <w:tc>
          <w:tcPr>
            <w:tcW w:w="1065" w:type="pct"/>
            <w:tcBorders>
              <w:tl2br w:val="nil"/>
              <w:tr2bl w:val="nil"/>
            </w:tcBorders>
            <w:shd w:val="clear" w:color="auto" w:fill="auto"/>
            <w:vAlign w:val="center"/>
          </w:tcPr>
          <w:p w14:paraId="14890DB5">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68DFA4CE">
            <w:pPr>
              <w:spacing w:line="360" w:lineRule="exact"/>
              <w:jc w:val="center"/>
              <w:rPr>
                <w:rFonts w:hint="eastAsia" w:hAnsi="宋体"/>
                <w:sz w:val="22"/>
                <w:szCs w:val="22"/>
              </w:rPr>
            </w:pPr>
            <w:r>
              <w:rPr>
                <w:rFonts w:hint="eastAsia" w:hAnsi="宋体"/>
                <w:sz w:val="22"/>
                <w:szCs w:val="22"/>
              </w:rPr>
              <w:t>1700W×600D×1800H</w:t>
            </w:r>
          </w:p>
        </w:tc>
        <w:tc>
          <w:tcPr>
            <w:tcW w:w="532" w:type="pct"/>
            <w:tcBorders>
              <w:tl2br w:val="nil"/>
              <w:tr2bl w:val="nil"/>
            </w:tcBorders>
            <w:shd w:val="clear" w:color="auto" w:fill="auto"/>
            <w:vAlign w:val="center"/>
          </w:tcPr>
          <w:p w14:paraId="66C25AAF">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491DE25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1A80D343">
            <w:pPr>
              <w:spacing w:line="360" w:lineRule="exact"/>
              <w:jc w:val="center"/>
              <w:rPr>
                <w:rFonts w:hint="eastAsia" w:hAnsi="宋体"/>
                <w:sz w:val="22"/>
                <w:szCs w:val="22"/>
              </w:rPr>
            </w:pPr>
            <w:r>
              <w:rPr>
                <w:rFonts w:hint="eastAsia" w:hAnsi="宋体"/>
                <w:sz w:val="22"/>
                <w:szCs w:val="22"/>
              </w:rPr>
              <w:t>拒绝进口</w:t>
            </w:r>
          </w:p>
        </w:tc>
      </w:tr>
      <w:tr w14:paraId="4556F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2D6BD4F1">
            <w:pPr>
              <w:spacing w:line="360" w:lineRule="exact"/>
              <w:jc w:val="center"/>
              <w:rPr>
                <w:rFonts w:hint="eastAsia" w:hAnsi="宋体"/>
                <w:sz w:val="22"/>
                <w:szCs w:val="22"/>
              </w:rPr>
            </w:pPr>
            <w:r>
              <w:rPr>
                <w:rFonts w:hint="eastAsia" w:hAnsi="宋体"/>
                <w:sz w:val="22"/>
                <w:szCs w:val="22"/>
              </w:rPr>
              <w:t>33</w:t>
            </w:r>
          </w:p>
        </w:tc>
        <w:tc>
          <w:tcPr>
            <w:tcW w:w="1065" w:type="pct"/>
            <w:tcBorders>
              <w:tl2br w:val="nil"/>
              <w:tr2bl w:val="nil"/>
            </w:tcBorders>
            <w:shd w:val="clear" w:color="auto" w:fill="auto"/>
            <w:vAlign w:val="center"/>
          </w:tcPr>
          <w:p w14:paraId="1CD4DCAC">
            <w:pPr>
              <w:spacing w:line="360" w:lineRule="exact"/>
              <w:jc w:val="center"/>
              <w:rPr>
                <w:rFonts w:hint="eastAsia" w:hAnsi="宋体"/>
                <w:sz w:val="22"/>
                <w:szCs w:val="22"/>
              </w:rPr>
            </w:pPr>
            <w:r>
              <w:rPr>
                <w:rFonts w:hint="eastAsia" w:hAnsi="宋体"/>
                <w:sz w:val="22"/>
                <w:szCs w:val="22"/>
              </w:rPr>
              <w:t>洽谈桌</w:t>
            </w:r>
          </w:p>
        </w:tc>
        <w:tc>
          <w:tcPr>
            <w:tcW w:w="1719" w:type="pct"/>
            <w:tcBorders>
              <w:tl2br w:val="nil"/>
              <w:tr2bl w:val="nil"/>
            </w:tcBorders>
            <w:shd w:val="clear" w:color="auto" w:fill="auto"/>
            <w:vAlign w:val="center"/>
          </w:tcPr>
          <w:p w14:paraId="2D227206">
            <w:pPr>
              <w:spacing w:line="360" w:lineRule="exact"/>
              <w:jc w:val="center"/>
              <w:rPr>
                <w:rFonts w:hint="eastAsia" w:hAnsi="宋体"/>
                <w:sz w:val="22"/>
                <w:szCs w:val="22"/>
              </w:rPr>
            </w:pPr>
            <w:r>
              <w:rPr>
                <w:rFonts w:hint="eastAsia" w:hAnsi="宋体"/>
                <w:sz w:val="22"/>
                <w:szCs w:val="22"/>
              </w:rPr>
              <w:t>1200*700*750</w:t>
            </w:r>
          </w:p>
        </w:tc>
        <w:tc>
          <w:tcPr>
            <w:tcW w:w="532" w:type="pct"/>
            <w:tcBorders>
              <w:tl2br w:val="nil"/>
              <w:tr2bl w:val="nil"/>
            </w:tcBorders>
            <w:shd w:val="clear" w:color="auto" w:fill="auto"/>
            <w:vAlign w:val="center"/>
          </w:tcPr>
          <w:p w14:paraId="1D7D2B38">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65EFD16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3C41DA0D">
            <w:pPr>
              <w:spacing w:line="360" w:lineRule="exact"/>
              <w:jc w:val="center"/>
              <w:rPr>
                <w:rFonts w:hint="eastAsia" w:hAnsi="宋体"/>
                <w:sz w:val="22"/>
                <w:szCs w:val="22"/>
              </w:rPr>
            </w:pPr>
            <w:r>
              <w:rPr>
                <w:rFonts w:hint="eastAsia" w:hAnsi="宋体"/>
                <w:sz w:val="22"/>
                <w:szCs w:val="22"/>
              </w:rPr>
              <w:t>拒绝进口</w:t>
            </w:r>
          </w:p>
        </w:tc>
      </w:tr>
      <w:tr w14:paraId="4056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49915AF">
            <w:pPr>
              <w:spacing w:line="360" w:lineRule="exact"/>
              <w:jc w:val="center"/>
              <w:rPr>
                <w:rFonts w:hint="eastAsia" w:hAnsi="宋体"/>
                <w:sz w:val="22"/>
                <w:szCs w:val="22"/>
              </w:rPr>
            </w:pPr>
            <w:r>
              <w:rPr>
                <w:rFonts w:hint="eastAsia" w:hAnsi="宋体"/>
                <w:sz w:val="22"/>
                <w:szCs w:val="22"/>
              </w:rPr>
              <w:t>34</w:t>
            </w:r>
          </w:p>
        </w:tc>
        <w:tc>
          <w:tcPr>
            <w:tcW w:w="1065" w:type="pct"/>
            <w:tcBorders>
              <w:tl2br w:val="nil"/>
              <w:tr2bl w:val="nil"/>
            </w:tcBorders>
            <w:shd w:val="clear" w:color="auto" w:fill="auto"/>
            <w:vAlign w:val="center"/>
          </w:tcPr>
          <w:p w14:paraId="6FE1B622">
            <w:pPr>
              <w:spacing w:line="360" w:lineRule="exact"/>
              <w:jc w:val="center"/>
              <w:rPr>
                <w:rFonts w:hint="eastAsia" w:hAnsi="宋体"/>
                <w:sz w:val="22"/>
                <w:szCs w:val="22"/>
              </w:rPr>
            </w:pPr>
            <w:r>
              <w:rPr>
                <w:rFonts w:hint="eastAsia" w:hAnsi="宋体"/>
                <w:sz w:val="22"/>
                <w:szCs w:val="22"/>
              </w:rPr>
              <w:t>洽谈椅</w:t>
            </w:r>
          </w:p>
        </w:tc>
        <w:tc>
          <w:tcPr>
            <w:tcW w:w="1719" w:type="pct"/>
            <w:tcBorders>
              <w:tl2br w:val="nil"/>
              <w:tr2bl w:val="nil"/>
            </w:tcBorders>
            <w:shd w:val="clear" w:color="auto" w:fill="auto"/>
            <w:vAlign w:val="center"/>
          </w:tcPr>
          <w:p w14:paraId="41153535">
            <w:pPr>
              <w:spacing w:line="360" w:lineRule="exact"/>
              <w:jc w:val="center"/>
              <w:rPr>
                <w:rFonts w:hint="eastAsia" w:hAnsi="宋体"/>
                <w:sz w:val="22"/>
                <w:szCs w:val="22"/>
              </w:rPr>
            </w:pPr>
            <w:r>
              <w:rPr>
                <w:rFonts w:hint="eastAsia" w:hAnsi="宋体"/>
                <w:sz w:val="22"/>
                <w:szCs w:val="22"/>
              </w:rPr>
              <w:t>500*470*460/840H</w:t>
            </w:r>
          </w:p>
        </w:tc>
        <w:tc>
          <w:tcPr>
            <w:tcW w:w="532" w:type="pct"/>
            <w:tcBorders>
              <w:tl2br w:val="nil"/>
              <w:tr2bl w:val="nil"/>
            </w:tcBorders>
            <w:shd w:val="clear" w:color="auto" w:fill="auto"/>
            <w:vAlign w:val="center"/>
          </w:tcPr>
          <w:p w14:paraId="65A6F9A9">
            <w:pPr>
              <w:spacing w:line="360" w:lineRule="exact"/>
              <w:jc w:val="center"/>
              <w:rPr>
                <w:rFonts w:hint="eastAsia" w:hAnsi="宋体"/>
                <w:sz w:val="22"/>
                <w:szCs w:val="22"/>
              </w:rPr>
            </w:pPr>
            <w:r>
              <w:rPr>
                <w:rFonts w:hint="eastAsia" w:hAnsi="宋体"/>
                <w:sz w:val="22"/>
                <w:szCs w:val="22"/>
              </w:rPr>
              <w:t>68</w:t>
            </w:r>
          </w:p>
        </w:tc>
        <w:tc>
          <w:tcPr>
            <w:tcW w:w="532" w:type="pct"/>
            <w:tcBorders>
              <w:tl2br w:val="nil"/>
              <w:tr2bl w:val="nil"/>
            </w:tcBorders>
            <w:shd w:val="clear" w:color="auto" w:fill="auto"/>
            <w:vAlign w:val="center"/>
          </w:tcPr>
          <w:p w14:paraId="51C4A634">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029029E">
            <w:pPr>
              <w:spacing w:line="360" w:lineRule="exact"/>
              <w:jc w:val="center"/>
              <w:rPr>
                <w:rFonts w:hint="eastAsia" w:hAnsi="宋体"/>
                <w:sz w:val="22"/>
                <w:szCs w:val="22"/>
              </w:rPr>
            </w:pPr>
            <w:r>
              <w:rPr>
                <w:rFonts w:hint="eastAsia" w:hAnsi="宋体"/>
                <w:sz w:val="22"/>
                <w:szCs w:val="22"/>
              </w:rPr>
              <w:t>拒绝进口</w:t>
            </w:r>
          </w:p>
        </w:tc>
      </w:tr>
      <w:tr w14:paraId="72C9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403E185">
            <w:pPr>
              <w:spacing w:line="360" w:lineRule="exact"/>
              <w:jc w:val="center"/>
              <w:rPr>
                <w:rFonts w:hint="eastAsia" w:hAnsi="宋体"/>
                <w:sz w:val="22"/>
                <w:szCs w:val="22"/>
              </w:rPr>
            </w:pPr>
            <w:r>
              <w:rPr>
                <w:rFonts w:hint="eastAsia" w:hAnsi="宋体"/>
                <w:sz w:val="22"/>
                <w:szCs w:val="22"/>
              </w:rPr>
              <w:t>35</w:t>
            </w:r>
          </w:p>
        </w:tc>
        <w:tc>
          <w:tcPr>
            <w:tcW w:w="1065" w:type="pct"/>
            <w:tcBorders>
              <w:tl2br w:val="nil"/>
              <w:tr2bl w:val="nil"/>
            </w:tcBorders>
            <w:shd w:val="clear" w:color="auto" w:fill="auto"/>
            <w:vAlign w:val="center"/>
          </w:tcPr>
          <w:p w14:paraId="63EF8AA0">
            <w:pPr>
              <w:spacing w:line="360" w:lineRule="exact"/>
              <w:jc w:val="center"/>
              <w:rPr>
                <w:rFonts w:hint="eastAsia" w:hAnsi="宋体"/>
                <w:sz w:val="22"/>
                <w:szCs w:val="22"/>
              </w:rPr>
            </w:pPr>
            <w:r>
              <w:rPr>
                <w:rFonts w:hint="eastAsia" w:hAnsi="宋体"/>
                <w:sz w:val="22"/>
                <w:szCs w:val="22"/>
              </w:rPr>
              <w:t>上下铺</w:t>
            </w:r>
          </w:p>
        </w:tc>
        <w:tc>
          <w:tcPr>
            <w:tcW w:w="1719" w:type="pct"/>
            <w:tcBorders>
              <w:tl2br w:val="nil"/>
              <w:tr2bl w:val="nil"/>
            </w:tcBorders>
            <w:shd w:val="clear" w:color="auto" w:fill="auto"/>
            <w:vAlign w:val="center"/>
          </w:tcPr>
          <w:p w14:paraId="77A5F7C2">
            <w:pPr>
              <w:spacing w:line="360" w:lineRule="exact"/>
              <w:jc w:val="center"/>
              <w:rPr>
                <w:rFonts w:hint="eastAsia" w:hAnsi="宋体"/>
                <w:sz w:val="22"/>
                <w:szCs w:val="22"/>
              </w:rPr>
            </w:pPr>
            <w:r>
              <w:rPr>
                <w:rFonts w:hint="eastAsia" w:hAnsi="宋体"/>
                <w:sz w:val="22"/>
                <w:szCs w:val="22"/>
              </w:rPr>
              <w:t>2052W*400D*2093H</w:t>
            </w:r>
          </w:p>
        </w:tc>
        <w:tc>
          <w:tcPr>
            <w:tcW w:w="532" w:type="pct"/>
            <w:tcBorders>
              <w:tl2br w:val="nil"/>
              <w:tr2bl w:val="nil"/>
            </w:tcBorders>
            <w:shd w:val="clear" w:color="auto" w:fill="auto"/>
            <w:vAlign w:val="center"/>
          </w:tcPr>
          <w:p w14:paraId="351ED34D">
            <w:pPr>
              <w:spacing w:line="360" w:lineRule="exact"/>
              <w:jc w:val="center"/>
              <w:rPr>
                <w:rFonts w:hint="eastAsia" w:hAnsi="宋体"/>
                <w:sz w:val="22"/>
                <w:szCs w:val="22"/>
              </w:rPr>
            </w:pPr>
            <w:r>
              <w:rPr>
                <w:rFonts w:hint="eastAsia" w:hAnsi="宋体"/>
                <w:sz w:val="22"/>
                <w:szCs w:val="22"/>
              </w:rPr>
              <w:t>34</w:t>
            </w:r>
          </w:p>
        </w:tc>
        <w:tc>
          <w:tcPr>
            <w:tcW w:w="532" w:type="pct"/>
            <w:tcBorders>
              <w:tl2br w:val="nil"/>
              <w:tr2bl w:val="nil"/>
            </w:tcBorders>
            <w:shd w:val="clear" w:color="auto" w:fill="auto"/>
            <w:vAlign w:val="center"/>
          </w:tcPr>
          <w:p w14:paraId="7A9CF454">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2564608">
            <w:pPr>
              <w:spacing w:line="360" w:lineRule="exact"/>
              <w:jc w:val="center"/>
              <w:rPr>
                <w:rFonts w:hint="eastAsia" w:hAnsi="宋体"/>
                <w:sz w:val="22"/>
                <w:szCs w:val="22"/>
              </w:rPr>
            </w:pPr>
            <w:r>
              <w:rPr>
                <w:rFonts w:hint="eastAsia" w:hAnsi="宋体"/>
                <w:sz w:val="22"/>
                <w:szCs w:val="22"/>
              </w:rPr>
              <w:t>拒绝进口</w:t>
            </w:r>
          </w:p>
        </w:tc>
      </w:tr>
      <w:tr w14:paraId="70754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7B8B4A6">
            <w:pPr>
              <w:spacing w:line="360" w:lineRule="exact"/>
              <w:jc w:val="center"/>
              <w:rPr>
                <w:rFonts w:hint="eastAsia" w:hAnsi="宋体"/>
                <w:sz w:val="22"/>
                <w:szCs w:val="22"/>
              </w:rPr>
            </w:pPr>
            <w:r>
              <w:rPr>
                <w:rFonts w:hint="eastAsia" w:hAnsi="宋体"/>
                <w:sz w:val="22"/>
                <w:szCs w:val="22"/>
              </w:rPr>
              <w:t>36</w:t>
            </w:r>
          </w:p>
        </w:tc>
        <w:tc>
          <w:tcPr>
            <w:tcW w:w="1065" w:type="pct"/>
            <w:tcBorders>
              <w:tl2br w:val="nil"/>
              <w:tr2bl w:val="nil"/>
            </w:tcBorders>
            <w:shd w:val="clear" w:color="auto" w:fill="auto"/>
            <w:vAlign w:val="center"/>
          </w:tcPr>
          <w:p w14:paraId="43F7238A">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7B1B39CC">
            <w:pPr>
              <w:spacing w:line="360" w:lineRule="exact"/>
              <w:jc w:val="center"/>
              <w:rPr>
                <w:rFonts w:hint="eastAsia" w:hAnsi="宋体"/>
                <w:sz w:val="22"/>
                <w:szCs w:val="22"/>
              </w:rPr>
            </w:pPr>
            <w:r>
              <w:rPr>
                <w:rFonts w:hint="eastAsia" w:hAnsi="宋体"/>
                <w:sz w:val="22"/>
                <w:szCs w:val="22"/>
              </w:rPr>
              <w:t>2000W×600D×1800H</w:t>
            </w:r>
          </w:p>
        </w:tc>
        <w:tc>
          <w:tcPr>
            <w:tcW w:w="532" w:type="pct"/>
            <w:tcBorders>
              <w:tl2br w:val="nil"/>
              <w:tr2bl w:val="nil"/>
            </w:tcBorders>
            <w:shd w:val="clear" w:color="auto" w:fill="auto"/>
            <w:vAlign w:val="center"/>
          </w:tcPr>
          <w:p w14:paraId="5E85510D">
            <w:pPr>
              <w:spacing w:line="360" w:lineRule="exact"/>
              <w:jc w:val="center"/>
              <w:rPr>
                <w:rFonts w:hint="eastAsia" w:hAnsi="宋体"/>
                <w:sz w:val="22"/>
                <w:szCs w:val="22"/>
              </w:rPr>
            </w:pPr>
            <w:r>
              <w:rPr>
                <w:rFonts w:hint="eastAsia" w:hAnsi="宋体"/>
                <w:sz w:val="22"/>
                <w:szCs w:val="22"/>
              </w:rPr>
              <w:t>16</w:t>
            </w:r>
          </w:p>
        </w:tc>
        <w:tc>
          <w:tcPr>
            <w:tcW w:w="532" w:type="pct"/>
            <w:tcBorders>
              <w:tl2br w:val="nil"/>
              <w:tr2bl w:val="nil"/>
            </w:tcBorders>
            <w:shd w:val="clear" w:color="auto" w:fill="auto"/>
            <w:vAlign w:val="center"/>
          </w:tcPr>
          <w:p w14:paraId="3B8348FF">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36944058">
            <w:pPr>
              <w:spacing w:line="360" w:lineRule="exact"/>
              <w:jc w:val="center"/>
              <w:rPr>
                <w:rFonts w:hint="eastAsia" w:hAnsi="宋体"/>
                <w:sz w:val="22"/>
                <w:szCs w:val="22"/>
              </w:rPr>
            </w:pPr>
            <w:r>
              <w:rPr>
                <w:rFonts w:hint="eastAsia" w:hAnsi="宋体"/>
                <w:sz w:val="22"/>
                <w:szCs w:val="22"/>
              </w:rPr>
              <w:t>拒绝进口</w:t>
            </w:r>
          </w:p>
        </w:tc>
      </w:tr>
      <w:tr w14:paraId="4839F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DCE652E">
            <w:pPr>
              <w:spacing w:line="360" w:lineRule="exact"/>
              <w:jc w:val="center"/>
              <w:rPr>
                <w:rFonts w:hint="eastAsia" w:hAnsi="宋体"/>
                <w:sz w:val="22"/>
                <w:szCs w:val="22"/>
              </w:rPr>
            </w:pPr>
            <w:r>
              <w:rPr>
                <w:rFonts w:hint="eastAsia" w:hAnsi="宋体"/>
                <w:sz w:val="22"/>
                <w:szCs w:val="22"/>
              </w:rPr>
              <w:t>37</w:t>
            </w:r>
          </w:p>
        </w:tc>
        <w:tc>
          <w:tcPr>
            <w:tcW w:w="1065" w:type="pct"/>
            <w:tcBorders>
              <w:tl2br w:val="nil"/>
              <w:tr2bl w:val="nil"/>
            </w:tcBorders>
            <w:shd w:val="clear" w:color="auto" w:fill="auto"/>
            <w:vAlign w:val="center"/>
          </w:tcPr>
          <w:p w14:paraId="520C8B6C">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464D95C9">
            <w:pPr>
              <w:spacing w:line="360" w:lineRule="exact"/>
              <w:jc w:val="center"/>
              <w:rPr>
                <w:rFonts w:hint="eastAsia" w:hAnsi="宋体"/>
                <w:sz w:val="22"/>
                <w:szCs w:val="22"/>
              </w:rPr>
            </w:pPr>
            <w:r>
              <w:rPr>
                <w:rFonts w:hint="eastAsia" w:hAnsi="宋体"/>
                <w:sz w:val="22"/>
                <w:szCs w:val="22"/>
              </w:rPr>
              <w:t>1700W×600D×1800H</w:t>
            </w:r>
          </w:p>
        </w:tc>
        <w:tc>
          <w:tcPr>
            <w:tcW w:w="532" w:type="pct"/>
            <w:tcBorders>
              <w:tl2br w:val="nil"/>
              <w:tr2bl w:val="nil"/>
            </w:tcBorders>
            <w:shd w:val="clear" w:color="auto" w:fill="auto"/>
            <w:vAlign w:val="center"/>
          </w:tcPr>
          <w:p w14:paraId="29781AE9">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7FAD1CC8">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F361114">
            <w:pPr>
              <w:spacing w:line="360" w:lineRule="exact"/>
              <w:jc w:val="center"/>
              <w:rPr>
                <w:rFonts w:hint="eastAsia" w:hAnsi="宋体"/>
                <w:sz w:val="22"/>
                <w:szCs w:val="22"/>
              </w:rPr>
            </w:pPr>
            <w:r>
              <w:rPr>
                <w:rFonts w:hint="eastAsia" w:hAnsi="宋体"/>
                <w:sz w:val="22"/>
                <w:szCs w:val="22"/>
              </w:rPr>
              <w:t>拒绝进口</w:t>
            </w:r>
          </w:p>
        </w:tc>
      </w:tr>
      <w:tr w14:paraId="7491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4179657">
            <w:pPr>
              <w:spacing w:line="360" w:lineRule="exact"/>
              <w:jc w:val="center"/>
              <w:rPr>
                <w:rFonts w:hint="eastAsia" w:hAnsi="宋体"/>
                <w:sz w:val="22"/>
                <w:szCs w:val="22"/>
              </w:rPr>
            </w:pPr>
            <w:r>
              <w:rPr>
                <w:rFonts w:hint="eastAsia" w:hAnsi="宋体"/>
                <w:sz w:val="22"/>
                <w:szCs w:val="22"/>
              </w:rPr>
              <w:t>38</w:t>
            </w:r>
          </w:p>
        </w:tc>
        <w:tc>
          <w:tcPr>
            <w:tcW w:w="1065" w:type="pct"/>
            <w:tcBorders>
              <w:tl2br w:val="nil"/>
              <w:tr2bl w:val="nil"/>
            </w:tcBorders>
            <w:shd w:val="clear" w:color="auto" w:fill="auto"/>
            <w:vAlign w:val="center"/>
          </w:tcPr>
          <w:p w14:paraId="47EF8842">
            <w:pPr>
              <w:spacing w:line="360" w:lineRule="exact"/>
              <w:jc w:val="center"/>
              <w:rPr>
                <w:rFonts w:hint="eastAsia" w:hAnsi="宋体"/>
                <w:sz w:val="22"/>
                <w:szCs w:val="22"/>
              </w:rPr>
            </w:pPr>
            <w:r>
              <w:rPr>
                <w:rFonts w:hint="eastAsia" w:hAnsi="宋体"/>
                <w:sz w:val="22"/>
                <w:szCs w:val="22"/>
              </w:rPr>
              <w:t>洽谈桌</w:t>
            </w:r>
          </w:p>
        </w:tc>
        <w:tc>
          <w:tcPr>
            <w:tcW w:w="1719" w:type="pct"/>
            <w:tcBorders>
              <w:tl2br w:val="nil"/>
              <w:tr2bl w:val="nil"/>
            </w:tcBorders>
            <w:shd w:val="clear" w:color="auto" w:fill="auto"/>
            <w:vAlign w:val="center"/>
          </w:tcPr>
          <w:p w14:paraId="4B4B212B">
            <w:pPr>
              <w:spacing w:line="360" w:lineRule="exact"/>
              <w:jc w:val="center"/>
              <w:rPr>
                <w:rFonts w:hint="eastAsia" w:hAnsi="宋体"/>
                <w:sz w:val="22"/>
                <w:szCs w:val="22"/>
              </w:rPr>
            </w:pPr>
            <w:r>
              <w:rPr>
                <w:rFonts w:hint="eastAsia" w:hAnsi="宋体"/>
                <w:sz w:val="22"/>
                <w:szCs w:val="22"/>
              </w:rPr>
              <w:t>1200*700*750</w:t>
            </w:r>
          </w:p>
        </w:tc>
        <w:tc>
          <w:tcPr>
            <w:tcW w:w="532" w:type="pct"/>
            <w:tcBorders>
              <w:tl2br w:val="nil"/>
              <w:tr2bl w:val="nil"/>
            </w:tcBorders>
            <w:shd w:val="clear" w:color="auto" w:fill="auto"/>
            <w:vAlign w:val="center"/>
          </w:tcPr>
          <w:p w14:paraId="1C445C9E">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05A1E5C1">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EF7D41D">
            <w:pPr>
              <w:spacing w:line="360" w:lineRule="exact"/>
              <w:jc w:val="center"/>
              <w:rPr>
                <w:rFonts w:hint="eastAsia" w:hAnsi="宋体"/>
                <w:sz w:val="22"/>
                <w:szCs w:val="22"/>
              </w:rPr>
            </w:pPr>
            <w:r>
              <w:rPr>
                <w:rFonts w:hint="eastAsia" w:hAnsi="宋体"/>
                <w:sz w:val="22"/>
                <w:szCs w:val="22"/>
              </w:rPr>
              <w:t>拒绝进口</w:t>
            </w:r>
          </w:p>
        </w:tc>
      </w:tr>
      <w:tr w14:paraId="4EA51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DFD3F4A">
            <w:pPr>
              <w:spacing w:line="360" w:lineRule="exact"/>
              <w:jc w:val="center"/>
              <w:rPr>
                <w:rFonts w:hint="eastAsia" w:hAnsi="宋体"/>
                <w:sz w:val="22"/>
                <w:szCs w:val="22"/>
              </w:rPr>
            </w:pPr>
            <w:r>
              <w:rPr>
                <w:rFonts w:hint="eastAsia" w:hAnsi="宋体"/>
                <w:sz w:val="22"/>
                <w:szCs w:val="22"/>
              </w:rPr>
              <w:t>39</w:t>
            </w:r>
          </w:p>
        </w:tc>
        <w:tc>
          <w:tcPr>
            <w:tcW w:w="1065" w:type="pct"/>
            <w:tcBorders>
              <w:tl2br w:val="nil"/>
              <w:tr2bl w:val="nil"/>
            </w:tcBorders>
            <w:shd w:val="clear" w:color="auto" w:fill="auto"/>
            <w:vAlign w:val="center"/>
          </w:tcPr>
          <w:p w14:paraId="77720014">
            <w:pPr>
              <w:spacing w:line="360" w:lineRule="exact"/>
              <w:jc w:val="center"/>
              <w:rPr>
                <w:rFonts w:hint="eastAsia" w:hAnsi="宋体"/>
                <w:sz w:val="22"/>
                <w:szCs w:val="22"/>
              </w:rPr>
            </w:pPr>
            <w:r>
              <w:rPr>
                <w:rFonts w:hint="eastAsia" w:hAnsi="宋体"/>
                <w:sz w:val="22"/>
                <w:szCs w:val="22"/>
              </w:rPr>
              <w:t>洽谈椅</w:t>
            </w:r>
          </w:p>
        </w:tc>
        <w:tc>
          <w:tcPr>
            <w:tcW w:w="1719" w:type="pct"/>
            <w:tcBorders>
              <w:tl2br w:val="nil"/>
              <w:tr2bl w:val="nil"/>
            </w:tcBorders>
            <w:shd w:val="clear" w:color="auto" w:fill="auto"/>
            <w:vAlign w:val="center"/>
          </w:tcPr>
          <w:p w14:paraId="6B79E564">
            <w:pPr>
              <w:spacing w:line="360" w:lineRule="exact"/>
              <w:jc w:val="center"/>
              <w:rPr>
                <w:rFonts w:hint="eastAsia" w:hAnsi="宋体"/>
                <w:sz w:val="22"/>
                <w:szCs w:val="22"/>
              </w:rPr>
            </w:pPr>
            <w:r>
              <w:rPr>
                <w:rFonts w:hint="eastAsia" w:hAnsi="宋体"/>
                <w:sz w:val="22"/>
                <w:szCs w:val="22"/>
              </w:rPr>
              <w:t>500*470*460/840H</w:t>
            </w:r>
          </w:p>
        </w:tc>
        <w:tc>
          <w:tcPr>
            <w:tcW w:w="532" w:type="pct"/>
            <w:tcBorders>
              <w:tl2br w:val="nil"/>
              <w:tr2bl w:val="nil"/>
            </w:tcBorders>
            <w:shd w:val="clear" w:color="auto" w:fill="auto"/>
            <w:vAlign w:val="center"/>
          </w:tcPr>
          <w:p w14:paraId="3E621D59">
            <w:pPr>
              <w:spacing w:line="360" w:lineRule="exact"/>
              <w:jc w:val="center"/>
              <w:rPr>
                <w:rFonts w:hint="eastAsia" w:hAnsi="宋体"/>
                <w:sz w:val="22"/>
                <w:szCs w:val="22"/>
              </w:rPr>
            </w:pPr>
            <w:r>
              <w:rPr>
                <w:rFonts w:hint="eastAsia" w:hAnsi="宋体"/>
                <w:sz w:val="22"/>
                <w:szCs w:val="22"/>
              </w:rPr>
              <w:t>68</w:t>
            </w:r>
          </w:p>
        </w:tc>
        <w:tc>
          <w:tcPr>
            <w:tcW w:w="532" w:type="pct"/>
            <w:tcBorders>
              <w:tl2br w:val="nil"/>
              <w:tr2bl w:val="nil"/>
            </w:tcBorders>
            <w:shd w:val="clear" w:color="auto" w:fill="auto"/>
            <w:vAlign w:val="center"/>
          </w:tcPr>
          <w:p w14:paraId="550CA81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1993C24">
            <w:pPr>
              <w:spacing w:line="360" w:lineRule="exact"/>
              <w:jc w:val="center"/>
              <w:rPr>
                <w:rFonts w:hint="eastAsia" w:hAnsi="宋体"/>
                <w:sz w:val="22"/>
                <w:szCs w:val="22"/>
              </w:rPr>
            </w:pPr>
            <w:r>
              <w:rPr>
                <w:rFonts w:hint="eastAsia" w:hAnsi="宋体"/>
                <w:sz w:val="22"/>
                <w:szCs w:val="22"/>
              </w:rPr>
              <w:t>拒绝进口</w:t>
            </w:r>
          </w:p>
        </w:tc>
      </w:tr>
      <w:tr w14:paraId="63B20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2F63CB3B">
            <w:pPr>
              <w:spacing w:line="360" w:lineRule="exact"/>
              <w:jc w:val="center"/>
              <w:rPr>
                <w:rFonts w:hint="eastAsia" w:hAnsi="宋体"/>
                <w:sz w:val="22"/>
                <w:szCs w:val="22"/>
              </w:rPr>
            </w:pPr>
            <w:r>
              <w:rPr>
                <w:rFonts w:hint="eastAsia" w:hAnsi="宋体"/>
                <w:sz w:val="22"/>
                <w:szCs w:val="22"/>
              </w:rPr>
              <w:t>40</w:t>
            </w:r>
          </w:p>
        </w:tc>
        <w:tc>
          <w:tcPr>
            <w:tcW w:w="1065" w:type="pct"/>
            <w:tcBorders>
              <w:tl2br w:val="nil"/>
              <w:tr2bl w:val="nil"/>
            </w:tcBorders>
            <w:shd w:val="clear" w:color="auto" w:fill="auto"/>
            <w:vAlign w:val="center"/>
          </w:tcPr>
          <w:p w14:paraId="22785F7E">
            <w:pPr>
              <w:spacing w:line="360" w:lineRule="exact"/>
              <w:jc w:val="center"/>
              <w:rPr>
                <w:rFonts w:hint="eastAsia" w:hAnsi="宋体"/>
                <w:sz w:val="22"/>
                <w:szCs w:val="22"/>
              </w:rPr>
            </w:pPr>
            <w:r>
              <w:rPr>
                <w:rFonts w:hint="eastAsia" w:hAnsi="宋体"/>
                <w:sz w:val="22"/>
                <w:szCs w:val="22"/>
              </w:rPr>
              <w:t>上下铺</w:t>
            </w:r>
          </w:p>
        </w:tc>
        <w:tc>
          <w:tcPr>
            <w:tcW w:w="1719" w:type="pct"/>
            <w:tcBorders>
              <w:tl2br w:val="nil"/>
              <w:tr2bl w:val="nil"/>
            </w:tcBorders>
            <w:shd w:val="clear" w:color="auto" w:fill="auto"/>
            <w:vAlign w:val="center"/>
          </w:tcPr>
          <w:p w14:paraId="7EF41C11">
            <w:pPr>
              <w:spacing w:line="360" w:lineRule="exact"/>
              <w:jc w:val="center"/>
              <w:rPr>
                <w:rFonts w:hint="eastAsia" w:hAnsi="宋体"/>
                <w:sz w:val="22"/>
                <w:szCs w:val="22"/>
              </w:rPr>
            </w:pPr>
            <w:r>
              <w:rPr>
                <w:rFonts w:hint="eastAsia" w:hAnsi="宋体"/>
                <w:sz w:val="22"/>
                <w:szCs w:val="22"/>
              </w:rPr>
              <w:t>2052W*400D*2093H</w:t>
            </w:r>
          </w:p>
        </w:tc>
        <w:tc>
          <w:tcPr>
            <w:tcW w:w="532" w:type="pct"/>
            <w:tcBorders>
              <w:tl2br w:val="nil"/>
              <w:tr2bl w:val="nil"/>
            </w:tcBorders>
            <w:shd w:val="clear" w:color="auto" w:fill="auto"/>
            <w:vAlign w:val="center"/>
          </w:tcPr>
          <w:p w14:paraId="75E5BA53">
            <w:pPr>
              <w:spacing w:line="360" w:lineRule="exact"/>
              <w:jc w:val="center"/>
              <w:rPr>
                <w:rFonts w:hint="eastAsia" w:hAnsi="宋体"/>
                <w:sz w:val="22"/>
                <w:szCs w:val="22"/>
              </w:rPr>
            </w:pPr>
            <w:r>
              <w:rPr>
                <w:rFonts w:hint="eastAsia" w:hAnsi="宋体"/>
                <w:sz w:val="22"/>
                <w:szCs w:val="22"/>
              </w:rPr>
              <w:t>34</w:t>
            </w:r>
          </w:p>
        </w:tc>
        <w:tc>
          <w:tcPr>
            <w:tcW w:w="532" w:type="pct"/>
            <w:tcBorders>
              <w:tl2br w:val="nil"/>
              <w:tr2bl w:val="nil"/>
            </w:tcBorders>
            <w:shd w:val="clear" w:color="auto" w:fill="auto"/>
            <w:vAlign w:val="center"/>
          </w:tcPr>
          <w:p w14:paraId="0929EFA0">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8DA8F23">
            <w:pPr>
              <w:spacing w:line="360" w:lineRule="exact"/>
              <w:jc w:val="center"/>
              <w:rPr>
                <w:rFonts w:hint="eastAsia" w:hAnsi="宋体"/>
                <w:sz w:val="22"/>
                <w:szCs w:val="22"/>
              </w:rPr>
            </w:pPr>
            <w:r>
              <w:rPr>
                <w:rFonts w:hint="eastAsia" w:hAnsi="宋体"/>
                <w:sz w:val="22"/>
                <w:szCs w:val="22"/>
              </w:rPr>
              <w:t>拒绝进口</w:t>
            </w:r>
          </w:p>
        </w:tc>
      </w:tr>
      <w:tr w14:paraId="4DE7B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0977694">
            <w:pPr>
              <w:spacing w:line="360" w:lineRule="exact"/>
              <w:jc w:val="center"/>
              <w:rPr>
                <w:rFonts w:hint="eastAsia" w:hAnsi="宋体"/>
                <w:sz w:val="22"/>
                <w:szCs w:val="22"/>
              </w:rPr>
            </w:pPr>
            <w:r>
              <w:rPr>
                <w:rFonts w:hint="eastAsia" w:hAnsi="宋体"/>
                <w:sz w:val="22"/>
                <w:szCs w:val="22"/>
              </w:rPr>
              <w:t>41</w:t>
            </w:r>
          </w:p>
        </w:tc>
        <w:tc>
          <w:tcPr>
            <w:tcW w:w="1065" w:type="pct"/>
            <w:tcBorders>
              <w:tl2br w:val="nil"/>
              <w:tr2bl w:val="nil"/>
            </w:tcBorders>
            <w:shd w:val="clear" w:color="auto" w:fill="auto"/>
            <w:vAlign w:val="center"/>
          </w:tcPr>
          <w:p w14:paraId="0DACD5F3">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3A987803">
            <w:pPr>
              <w:spacing w:line="360" w:lineRule="exact"/>
              <w:jc w:val="center"/>
              <w:rPr>
                <w:rFonts w:hint="eastAsia" w:hAnsi="宋体"/>
                <w:sz w:val="22"/>
                <w:szCs w:val="22"/>
              </w:rPr>
            </w:pPr>
            <w:r>
              <w:rPr>
                <w:rFonts w:hint="eastAsia" w:hAnsi="宋体"/>
                <w:sz w:val="22"/>
                <w:szCs w:val="22"/>
              </w:rPr>
              <w:t>2000W×600D×1800H</w:t>
            </w:r>
          </w:p>
        </w:tc>
        <w:tc>
          <w:tcPr>
            <w:tcW w:w="532" w:type="pct"/>
            <w:tcBorders>
              <w:tl2br w:val="nil"/>
              <w:tr2bl w:val="nil"/>
            </w:tcBorders>
            <w:shd w:val="clear" w:color="auto" w:fill="auto"/>
            <w:vAlign w:val="center"/>
          </w:tcPr>
          <w:p w14:paraId="0640CF6E">
            <w:pPr>
              <w:spacing w:line="360" w:lineRule="exact"/>
              <w:jc w:val="center"/>
              <w:rPr>
                <w:rFonts w:hint="eastAsia" w:hAnsi="宋体"/>
                <w:sz w:val="22"/>
                <w:szCs w:val="22"/>
              </w:rPr>
            </w:pPr>
            <w:r>
              <w:rPr>
                <w:rFonts w:hint="eastAsia" w:hAnsi="宋体"/>
                <w:sz w:val="22"/>
                <w:szCs w:val="22"/>
              </w:rPr>
              <w:t>16</w:t>
            </w:r>
          </w:p>
        </w:tc>
        <w:tc>
          <w:tcPr>
            <w:tcW w:w="532" w:type="pct"/>
            <w:tcBorders>
              <w:tl2br w:val="nil"/>
              <w:tr2bl w:val="nil"/>
            </w:tcBorders>
            <w:shd w:val="clear" w:color="auto" w:fill="auto"/>
            <w:vAlign w:val="center"/>
          </w:tcPr>
          <w:p w14:paraId="7F62553F">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A6D4B1E">
            <w:pPr>
              <w:spacing w:line="360" w:lineRule="exact"/>
              <w:jc w:val="center"/>
              <w:rPr>
                <w:rFonts w:hint="eastAsia" w:hAnsi="宋体"/>
                <w:sz w:val="22"/>
                <w:szCs w:val="22"/>
              </w:rPr>
            </w:pPr>
            <w:r>
              <w:rPr>
                <w:rFonts w:hint="eastAsia" w:hAnsi="宋体"/>
                <w:sz w:val="22"/>
                <w:szCs w:val="22"/>
              </w:rPr>
              <w:t>拒绝进口</w:t>
            </w:r>
          </w:p>
        </w:tc>
      </w:tr>
      <w:tr w14:paraId="34826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DDF43EB">
            <w:pPr>
              <w:spacing w:line="360" w:lineRule="exact"/>
              <w:jc w:val="center"/>
              <w:rPr>
                <w:rFonts w:hint="eastAsia" w:hAnsi="宋体"/>
                <w:sz w:val="22"/>
                <w:szCs w:val="22"/>
              </w:rPr>
            </w:pPr>
            <w:r>
              <w:rPr>
                <w:rFonts w:hint="eastAsia" w:hAnsi="宋体"/>
                <w:sz w:val="22"/>
                <w:szCs w:val="22"/>
              </w:rPr>
              <w:t>42</w:t>
            </w:r>
          </w:p>
        </w:tc>
        <w:tc>
          <w:tcPr>
            <w:tcW w:w="1065" w:type="pct"/>
            <w:tcBorders>
              <w:tl2br w:val="nil"/>
              <w:tr2bl w:val="nil"/>
            </w:tcBorders>
            <w:shd w:val="clear" w:color="auto" w:fill="auto"/>
            <w:vAlign w:val="center"/>
          </w:tcPr>
          <w:p w14:paraId="093D5ED9">
            <w:pPr>
              <w:spacing w:line="360" w:lineRule="exact"/>
              <w:jc w:val="center"/>
              <w:rPr>
                <w:rFonts w:hint="eastAsia" w:hAnsi="宋体"/>
                <w:sz w:val="22"/>
                <w:szCs w:val="22"/>
              </w:rPr>
            </w:pPr>
            <w:r>
              <w:rPr>
                <w:rFonts w:hint="eastAsia" w:hAnsi="宋体"/>
                <w:sz w:val="22"/>
                <w:szCs w:val="22"/>
              </w:rPr>
              <w:t>独立衣柜</w:t>
            </w:r>
          </w:p>
        </w:tc>
        <w:tc>
          <w:tcPr>
            <w:tcW w:w="1719" w:type="pct"/>
            <w:tcBorders>
              <w:tl2br w:val="nil"/>
              <w:tr2bl w:val="nil"/>
            </w:tcBorders>
            <w:shd w:val="clear" w:color="auto" w:fill="auto"/>
            <w:vAlign w:val="center"/>
          </w:tcPr>
          <w:p w14:paraId="126C6175">
            <w:pPr>
              <w:spacing w:line="360" w:lineRule="exact"/>
              <w:jc w:val="center"/>
              <w:rPr>
                <w:rFonts w:hint="eastAsia" w:hAnsi="宋体"/>
                <w:sz w:val="22"/>
                <w:szCs w:val="22"/>
              </w:rPr>
            </w:pPr>
            <w:r>
              <w:rPr>
                <w:rFonts w:hint="eastAsia" w:hAnsi="宋体"/>
                <w:sz w:val="22"/>
                <w:szCs w:val="22"/>
              </w:rPr>
              <w:t>1700W×600D×1800H</w:t>
            </w:r>
          </w:p>
        </w:tc>
        <w:tc>
          <w:tcPr>
            <w:tcW w:w="532" w:type="pct"/>
            <w:tcBorders>
              <w:tl2br w:val="nil"/>
              <w:tr2bl w:val="nil"/>
            </w:tcBorders>
            <w:shd w:val="clear" w:color="auto" w:fill="auto"/>
            <w:vAlign w:val="center"/>
          </w:tcPr>
          <w:p w14:paraId="62E388F0">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4E094B4F">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59AF3A9">
            <w:pPr>
              <w:spacing w:line="360" w:lineRule="exact"/>
              <w:jc w:val="center"/>
              <w:rPr>
                <w:rFonts w:hint="eastAsia" w:hAnsi="宋体"/>
                <w:sz w:val="22"/>
                <w:szCs w:val="22"/>
              </w:rPr>
            </w:pPr>
            <w:r>
              <w:rPr>
                <w:rFonts w:hint="eastAsia" w:hAnsi="宋体"/>
                <w:sz w:val="22"/>
                <w:szCs w:val="22"/>
              </w:rPr>
              <w:t>拒绝进口</w:t>
            </w:r>
          </w:p>
        </w:tc>
      </w:tr>
      <w:tr w14:paraId="25CDA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A6A4237">
            <w:pPr>
              <w:spacing w:line="360" w:lineRule="exact"/>
              <w:jc w:val="center"/>
              <w:rPr>
                <w:rFonts w:hint="eastAsia" w:hAnsi="宋体"/>
                <w:sz w:val="22"/>
                <w:szCs w:val="22"/>
              </w:rPr>
            </w:pPr>
            <w:r>
              <w:rPr>
                <w:rFonts w:hint="eastAsia" w:hAnsi="宋体"/>
                <w:sz w:val="22"/>
                <w:szCs w:val="22"/>
              </w:rPr>
              <w:t>43</w:t>
            </w:r>
          </w:p>
        </w:tc>
        <w:tc>
          <w:tcPr>
            <w:tcW w:w="1065" w:type="pct"/>
            <w:tcBorders>
              <w:tl2br w:val="nil"/>
              <w:tr2bl w:val="nil"/>
            </w:tcBorders>
            <w:shd w:val="clear" w:color="auto" w:fill="auto"/>
            <w:vAlign w:val="center"/>
          </w:tcPr>
          <w:p w14:paraId="297AF473">
            <w:pPr>
              <w:spacing w:line="360" w:lineRule="exact"/>
              <w:jc w:val="center"/>
              <w:rPr>
                <w:rFonts w:hint="eastAsia" w:hAnsi="宋体"/>
                <w:sz w:val="22"/>
                <w:szCs w:val="22"/>
              </w:rPr>
            </w:pPr>
            <w:r>
              <w:rPr>
                <w:rFonts w:hint="eastAsia" w:hAnsi="宋体"/>
                <w:sz w:val="22"/>
                <w:szCs w:val="22"/>
              </w:rPr>
              <w:t>洽谈桌</w:t>
            </w:r>
          </w:p>
        </w:tc>
        <w:tc>
          <w:tcPr>
            <w:tcW w:w="1719" w:type="pct"/>
            <w:tcBorders>
              <w:tl2br w:val="nil"/>
              <w:tr2bl w:val="nil"/>
            </w:tcBorders>
            <w:shd w:val="clear" w:color="auto" w:fill="auto"/>
            <w:vAlign w:val="center"/>
          </w:tcPr>
          <w:p w14:paraId="6D00A9A7">
            <w:pPr>
              <w:spacing w:line="360" w:lineRule="exact"/>
              <w:jc w:val="center"/>
              <w:rPr>
                <w:rFonts w:hint="eastAsia" w:hAnsi="宋体"/>
                <w:sz w:val="22"/>
                <w:szCs w:val="22"/>
              </w:rPr>
            </w:pPr>
            <w:r>
              <w:rPr>
                <w:rFonts w:hint="eastAsia" w:hAnsi="宋体"/>
                <w:sz w:val="22"/>
                <w:szCs w:val="22"/>
              </w:rPr>
              <w:t>1200*700*750</w:t>
            </w:r>
          </w:p>
        </w:tc>
        <w:tc>
          <w:tcPr>
            <w:tcW w:w="532" w:type="pct"/>
            <w:tcBorders>
              <w:tl2br w:val="nil"/>
              <w:tr2bl w:val="nil"/>
            </w:tcBorders>
            <w:shd w:val="clear" w:color="auto" w:fill="auto"/>
            <w:vAlign w:val="center"/>
          </w:tcPr>
          <w:p w14:paraId="4D796F9E">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46BBD54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EF2705E">
            <w:pPr>
              <w:spacing w:line="360" w:lineRule="exact"/>
              <w:jc w:val="center"/>
              <w:rPr>
                <w:rFonts w:hint="eastAsia" w:hAnsi="宋体"/>
                <w:sz w:val="22"/>
                <w:szCs w:val="22"/>
              </w:rPr>
            </w:pPr>
            <w:r>
              <w:rPr>
                <w:rFonts w:hint="eastAsia" w:hAnsi="宋体"/>
                <w:sz w:val="22"/>
                <w:szCs w:val="22"/>
              </w:rPr>
              <w:t>拒绝进口</w:t>
            </w:r>
          </w:p>
        </w:tc>
      </w:tr>
      <w:tr w14:paraId="1469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CF27968">
            <w:pPr>
              <w:spacing w:line="360" w:lineRule="exact"/>
              <w:jc w:val="center"/>
              <w:rPr>
                <w:rFonts w:hint="eastAsia" w:hAnsi="宋体"/>
                <w:sz w:val="22"/>
                <w:szCs w:val="22"/>
              </w:rPr>
            </w:pPr>
            <w:r>
              <w:rPr>
                <w:rFonts w:hint="eastAsia" w:hAnsi="宋体"/>
                <w:sz w:val="22"/>
                <w:szCs w:val="22"/>
              </w:rPr>
              <w:t>44</w:t>
            </w:r>
          </w:p>
        </w:tc>
        <w:tc>
          <w:tcPr>
            <w:tcW w:w="1065" w:type="pct"/>
            <w:tcBorders>
              <w:tl2br w:val="nil"/>
              <w:tr2bl w:val="nil"/>
            </w:tcBorders>
            <w:shd w:val="clear" w:color="auto" w:fill="auto"/>
            <w:vAlign w:val="center"/>
          </w:tcPr>
          <w:p w14:paraId="5D287F25">
            <w:pPr>
              <w:spacing w:line="360" w:lineRule="exact"/>
              <w:jc w:val="center"/>
              <w:rPr>
                <w:rFonts w:hint="eastAsia" w:hAnsi="宋体"/>
                <w:sz w:val="22"/>
                <w:szCs w:val="22"/>
              </w:rPr>
            </w:pPr>
            <w:r>
              <w:rPr>
                <w:rFonts w:hint="eastAsia" w:hAnsi="宋体"/>
                <w:sz w:val="22"/>
                <w:szCs w:val="22"/>
              </w:rPr>
              <w:t>洽谈椅</w:t>
            </w:r>
          </w:p>
        </w:tc>
        <w:tc>
          <w:tcPr>
            <w:tcW w:w="1719" w:type="pct"/>
            <w:tcBorders>
              <w:tl2br w:val="nil"/>
              <w:tr2bl w:val="nil"/>
            </w:tcBorders>
            <w:shd w:val="clear" w:color="auto" w:fill="auto"/>
            <w:vAlign w:val="center"/>
          </w:tcPr>
          <w:p w14:paraId="75A28BA6">
            <w:pPr>
              <w:spacing w:line="360" w:lineRule="exact"/>
              <w:jc w:val="center"/>
              <w:rPr>
                <w:rFonts w:hint="eastAsia" w:hAnsi="宋体"/>
                <w:sz w:val="22"/>
                <w:szCs w:val="22"/>
              </w:rPr>
            </w:pPr>
            <w:r>
              <w:rPr>
                <w:rFonts w:hint="eastAsia" w:hAnsi="宋体"/>
                <w:sz w:val="22"/>
                <w:szCs w:val="22"/>
              </w:rPr>
              <w:t>500*470*460/840H</w:t>
            </w:r>
          </w:p>
        </w:tc>
        <w:tc>
          <w:tcPr>
            <w:tcW w:w="532" w:type="pct"/>
            <w:tcBorders>
              <w:tl2br w:val="nil"/>
              <w:tr2bl w:val="nil"/>
            </w:tcBorders>
            <w:shd w:val="clear" w:color="auto" w:fill="auto"/>
            <w:vAlign w:val="center"/>
          </w:tcPr>
          <w:p w14:paraId="77D45E01">
            <w:pPr>
              <w:spacing w:line="360" w:lineRule="exact"/>
              <w:jc w:val="center"/>
              <w:rPr>
                <w:rFonts w:hint="eastAsia" w:hAnsi="宋体"/>
                <w:sz w:val="22"/>
                <w:szCs w:val="22"/>
              </w:rPr>
            </w:pPr>
            <w:r>
              <w:rPr>
                <w:rFonts w:hint="eastAsia" w:hAnsi="宋体"/>
                <w:sz w:val="22"/>
                <w:szCs w:val="22"/>
              </w:rPr>
              <w:t>68</w:t>
            </w:r>
          </w:p>
        </w:tc>
        <w:tc>
          <w:tcPr>
            <w:tcW w:w="532" w:type="pct"/>
            <w:tcBorders>
              <w:tl2br w:val="nil"/>
              <w:tr2bl w:val="nil"/>
            </w:tcBorders>
            <w:shd w:val="clear" w:color="auto" w:fill="auto"/>
            <w:vAlign w:val="center"/>
          </w:tcPr>
          <w:p w14:paraId="29275290">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4971E13">
            <w:pPr>
              <w:spacing w:line="360" w:lineRule="exact"/>
              <w:jc w:val="center"/>
              <w:rPr>
                <w:rFonts w:hint="eastAsia" w:hAnsi="宋体"/>
                <w:sz w:val="22"/>
                <w:szCs w:val="22"/>
              </w:rPr>
            </w:pPr>
            <w:r>
              <w:rPr>
                <w:rFonts w:hint="eastAsia" w:hAnsi="宋体"/>
                <w:sz w:val="22"/>
                <w:szCs w:val="22"/>
              </w:rPr>
              <w:t>拒绝进口</w:t>
            </w:r>
          </w:p>
        </w:tc>
      </w:tr>
      <w:tr w14:paraId="68CC9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5657C8C">
            <w:pPr>
              <w:spacing w:line="360" w:lineRule="exact"/>
              <w:jc w:val="center"/>
              <w:rPr>
                <w:rFonts w:hint="eastAsia" w:hAnsi="宋体"/>
                <w:sz w:val="22"/>
                <w:szCs w:val="22"/>
              </w:rPr>
            </w:pPr>
            <w:r>
              <w:rPr>
                <w:rFonts w:hint="eastAsia" w:hAnsi="宋体"/>
                <w:sz w:val="22"/>
                <w:szCs w:val="22"/>
              </w:rPr>
              <w:t>45</w:t>
            </w:r>
          </w:p>
        </w:tc>
        <w:tc>
          <w:tcPr>
            <w:tcW w:w="1065" w:type="pct"/>
            <w:tcBorders>
              <w:tl2br w:val="nil"/>
              <w:tr2bl w:val="nil"/>
            </w:tcBorders>
            <w:shd w:val="clear" w:color="auto" w:fill="auto"/>
            <w:vAlign w:val="center"/>
          </w:tcPr>
          <w:p w14:paraId="1167C5CD">
            <w:pPr>
              <w:spacing w:line="360" w:lineRule="exact"/>
              <w:jc w:val="center"/>
              <w:rPr>
                <w:rFonts w:hint="eastAsia" w:hAnsi="宋体"/>
                <w:sz w:val="22"/>
                <w:szCs w:val="22"/>
              </w:rPr>
            </w:pPr>
            <w:r>
              <w:rPr>
                <w:rFonts w:hint="eastAsia" w:hAnsi="宋体"/>
                <w:sz w:val="22"/>
                <w:szCs w:val="22"/>
              </w:rPr>
              <w:t>床（卧室）</w:t>
            </w:r>
          </w:p>
        </w:tc>
        <w:tc>
          <w:tcPr>
            <w:tcW w:w="1719" w:type="pct"/>
            <w:tcBorders>
              <w:tl2br w:val="nil"/>
              <w:tr2bl w:val="nil"/>
            </w:tcBorders>
            <w:shd w:val="clear" w:color="auto" w:fill="auto"/>
            <w:vAlign w:val="center"/>
          </w:tcPr>
          <w:p w14:paraId="551C1320">
            <w:pPr>
              <w:spacing w:line="360" w:lineRule="exact"/>
              <w:jc w:val="center"/>
              <w:rPr>
                <w:rFonts w:hint="eastAsia" w:hAnsi="宋体"/>
                <w:sz w:val="22"/>
                <w:szCs w:val="22"/>
              </w:rPr>
            </w:pPr>
            <w:r>
              <w:rPr>
                <w:rFonts w:hint="eastAsia" w:hAnsi="宋体"/>
                <w:sz w:val="22"/>
                <w:szCs w:val="22"/>
              </w:rPr>
              <w:t>1500*2000</w:t>
            </w:r>
          </w:p>
        </w:tc>
        <w:tc>
          <w:tcPr>
            <w:tcW w:w="532" w:type="pct"/>
            <w:tcBorders>
              <w:tl2br w:val="nil"/>
              <w:tr2bl w:val="nil"/>
            </w:tcBorders>
            <w:shd w:val="clear" w:color="auto" w:fill="auto"/>
            <w:vAlign w:val="center"/>
          </w:tcPr>
          <w:p w14:paraId="3116A1AC">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4C44FE4D">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DDCC05E">
            <w:pPr>
              <w:spacing w:line="360" w:lineRule="exact"/>
              <w:jc w:val="center"/>
              <w:rPr>
                <w:rFonts w:hint="eastAsia" w:hAnsi="宋体"/>
                <w:sz w:val="22"/>
                <w:szCs w:val="22"/>
              </w:rPr>
            </w:pPr>
            <w:r>
              <w:rPr>
                <w:rFonts w:hint="eastAsia" w:hAnsi="宋体"/>
                <w:sz w:val="22"/>
                <w:szCs w:val="22"/>
              </w:rPr>
              <w:t>拒绝进口</w:t>
            </w:r>
          </w:p>
        </w:tc>
      </w:tr>
      <w:tr w14:paraId="33A34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C6EF248">
            <w:pPr>
              <w:spacing w:line="360" w:lineRule="exact"/>
              <w:jc w:val="center"/>
              <w:rPr>
                <w:rFonts w:hint="eastAsia" w:hAnsi="宋体"/>
                <w:sz w:val="22"/>
                <w:szCs w:val="22"/>
              </w:rPr>
            </w:pPr>
            <w:r>
              <w:rPr>
                <w:rFonts w:hint="eastAsia" w:hAnsi="宋体"/>
                <w:sz w:val="22"/>
                <w:szCs w:val="22"/>
              </w:rPr>
              <w:t>46</w:t>
            </w:r>
          </w:p>
        </w:tc>
        <w:tc>
          <w:tcPr>
            <w:tcW w:w="1065" w:type="pct"/>
            <w:tcBorders>
              <w:tl2br w:val="nil"/>
              <w:tr2bl w:val="nil"/>
            </w:tcBorders>
            <w:shd w:val="clear" w:color="auto" w:fill="auto"/>
            <w:vAlign w:val="center"/>
          </w:tcPr>
          <w:p w14:paraId="175159B3">
            <w:pPr>
              <w:spacing w:line="360" w:lineRule="exact"/>
              <w:jc w:val="center"/>
              <w:rPr>
                <w:rFonts w:hint="eastAsia" w:hAnsi="宋体"/>
                <w:sz w:val="22"/>
                <w:szCs w:val="22"/>
              </w:rPr>
            </w:pPr>
            <w:r>
              <w:rPr>
                <w:rFonts w:hint="eastAsia" w:hAnsi="宋体"/>
                <w:sz w:val="22"/>
                <w:szCs w:val="22"/>
              </w:rPr>
              <w:t>衣柜（卧室）</w:t>
            </w:r>
          </w:p>
        </w:tc>
        <w:tc>
          <w:tcPr>
            <w:tcW w:w="1719" w:type="pct"/>
            <w:tcBorders>
              <w:tl2br w:val="nil"/>
              <w:tr2bl w:val="nil"/>
            </w:tcBorders>
            <w:shd w:val="clear" w:color="auto" w:fill="auto"/>
            <w:vAlign w:val="center"/>
          </w:tcPr>
          <w:p w14:paraId="26EADB94">
            <w:pPr>
              <w:spacing w:line="360" w:lineRule="exact"/>
              <w:jc w:val="center"/>
              <w:rPr>
                <w:rFonts w:hint="eastAsia" w:hAnsi="宋体"/>
                <w:sz w:val="22"/>
                <w:szCs w:val="22"/>
              </w:rPr>
            </w:pPr>
            <w:r>
              <w:rPr>
                <w:rFonts w:hint="eastAsia" w:hAnsi="宋体"/>
                <w:sz w:val="22"/>
                <w:szCs w:val="22"/>
              </w:rPr>
              <w:t>2250W×600D×1800H</w:t>
            </w:r>
          </w:p>
        </w:tc>
        <w:tc>
          <w:tcPr>
            <w:tcW w:w="532" w:type="pct"/>
            <w:tcBorders>
              <w:tl2br w:val="nil"/>
              <w:tr2bl w:val="nil"/>
            </w:tcBorders>
            <w:shd w:val="clear" w:color="auto" w:fill="auto"/>
            <w:vAlign w:val="center"/>
          </w:tcPr>
          <w:p w14:paraId="1AF69569">
            <w:pPr>
              <w:spacing w:line="360" w:lineRule="exact"/>
              <w:jc w:val="center"/>
              <w:rPr>
                <w:rFonts w:hint="eastAsia" w:hAnsi="宋体"/>
                <w:sz w:val="22"/>
                <w:szCs w:val="22"/>
              </w:rPr>
            </w:pPr>
            <w:r>
              <w:rPr>
                <w:rFonts w:hint="eastAsia" w:hAnsi="宋体"/>
                <w:sz w:val="22"/>
                <w:szCs w:val="22"/>
              </w:rPr>
              <w:t>10</w:t>
            </w:r>
          </w:p>
        </w:tc>
        <w:tc>
          <w:tcPr>
            <w:tcW w:w="532" w:type="pct"/>
            <w:tcBorders>
              <w:tl2br w:val="nil"/>
              <w:tr2bl w:val="nil"/>
            </w:tcBorders>
            <w:shd w:val="clear" w:color="auto" w:fill="auto"/>
            <w:vAlign w:val="center"/>
          </w:tcPr>
          <w:p w14:paraId="00CE8C0E">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EDF9D53">
            <w:pPr>
              <w:spacing w:line="360" w:lineRule="exact"/>
              <w:jc w:val="center"/>
              <w:rPr>
                <w:rFonts w:hint="eastAsia" w:hAnsi="宋体"/>
                <w:sz w:val="22"/>
                <w:szCs w:val="22"/>
              </w:rPr>
            </w:pPr>
            <w:r>
              <w:rPr>
                <w:rFonts w:hint="eastAsia" w:hAnsi="宋体"/>
                <w:sz w:val="22"/>
                <w:szCs w:val="22"/>
              </w:rPr>
              <w:t>拒绝进口</w:t>
            </w:r>
          </w:p>
        </w:tc>
      </w:tr>
      <w:tr w14:paraId="585C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91035D7">
            <w:pPr>
              <w:spacing w:line="360" w:lineRule="exact"/>
              <w:jc w:val="center"/>
              <w:rPr>
                <w:rFonts w:hint="eastAsia" w:hAnsi="宋体"/>
                <w:sz w:val="22"/>
                <w:szCs w:val="22"/>
              </w:rPr>
            </w:pPr>
            <w:r>
              <w:rPr>
                <w:rFonts w:hint="eastAsia" w:hAnsi="宋体"/>
                <w:sz w:val="22"/>
                <w:szCs w:val="22"/>
              </w:rPr>
              <w:t>47</w:t>
            </w:r>
          </w:p>
        </w:tc>
        <w:tc>
          <w:tcPr>
            <w:tcW w:w="1065" w:type="pct"/>
            <w:tcBorders>
              <w:tl2br w:val="nil"/>
              <w:tr2bl w:val="nil"/>
            </w:tcBorders>
            <w:shd w:val="clear" w:color="auto" w:fill="auto"/>
            <w:vAlign w:val="center"/>
          </w:tcPr>
          <w:p w14:paraId="1DEE4426">
            <w:pPr>
              <w:spacing w:line="360" w:lineRule="exact"/>
              <w:jc w:val="center"/>
              <w:rPr>
                <w:rFonts w:hint="eastAsia" w:hAnsi="宋体"/>
                <w:sz w:val="22"/>
                <w:szCs w:val="22"/>
              </w:rPr>
            </w:pPr>
            <w:r>
              <w:rPr>
                <w:rFonts w:hint="eastAsia" w:hAnsi="宋体"/>
                <w:sz w:val="22"/>
                <w:szCs w:val="22"/>
              </w:rPr>
              <w:t>衣柜（卧室）</w:t>
            </w:r>
          </w:p>
        </w:tc>
        <w:tc>
          <w:tcPr>
            <w:tcW w:w="1719" w:type="pct"/>
            <w:tcBorders>
              <w:tl2br w:val="nil"/>
              <w:tr2bl w:val="nil"/>
            </w:tcBorders>
            <w:shd w:val="clear" w:color="auto" w:fill="auto"/>
            <w:vAlign w:val="center"/>
          </w:tcPr>
          <w:p w14:paraId="58B92920">
            <w:pPr>
              <w:spacing w:line="360" w:lineRule="exact"/>
              <w:jc w:val="center"/>
              <w:rPr>
                <w:rFonts w:hint="eastAsia" w:hAnsi="宋体"/>
                <w:sz w:val="22"/>
                <w:szCs w:val="22"/>
              </w:rPr>
            </w:pPr>
            <w:r>
              <w:rPr>
                <w:rFonts w:hint="eastAsia" w:hAnsi="宋体"/>
                <w:sz w:val="22"/>
                <w:szCs w:val="22"/>
              </w:rPr>
              <w:t>2000W×600D×1800H</w:t>
            </w:r>
          </w:p>
        </w:tc>
        <w:tc>
          <w:tcPr>
            <w:tcW w:w="532" w:type="pct"/>
            <w:tcBorders>
              <w:tl2br w:val="nil"/>
              <w:tr2bl w:val="nil"/>
            </w:tcBorders>
            <w:shd w:val="clear" w:color="auto" w:fill="auto"/>
            <w:vAlign w:val="center"/>
          </w:tcPr>
          <w:p w14:paraId="526BA57A">
            <w:pPr>
              <w:spacing w:line="360" w:lineRule="exact"/>
              <w:jc w:val="center"/>
              <w:rPr>
                <w:rFonts w:hint="eastAsia" w:hAnsi="宋体"/>
                <w:sz w:val="22"/>
                <w:szCs w:val="22"/>
              </w:rPr>
            </w:pPr>
            <w:r>
              <w:rPr>
                <w:rFonts w:hint="eastAsia" w:hAnsi="宋体"/>
                <w:sz w:val="22"/>
                <w:szCs w:val="22"/>
              </w:rPr>
              <w:t>6</w:t>
            </w:r>
          </w:p>
        </w:tc>
        <w:tc>
          <w:tcPr>
            <w:tcW w:w="532" w:type="pct"/>
            <w:tcBorders>
              <w:tl2br w:val="nil"/>
              <w:tr2bl w:val="nil"/>
            </w:tcBorders>
            <w:shd w:val="clear" w:color="auto" w:fill="auto"/>
            <w:vAlign w:val="center"/>
          </w:tcPr>
          <w:p w14:paraId="06B80A3F">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D6DCCF4">
            <w:pPr>
              <w:spacing w:line="360" w:lineRule="exact"/>
              <w:jc w:val="center"/>
              <w:rPr>
                <w:rFonts w:hint="eastAsia" w:hAnsi="宋体"/>
                <w:sz w:val="22"/>
                <w:szCs w:val="22"/>
              </w:rPr>
            </w:pPr>
            <w:r>
              <w:rPr>
                <w:rFonts w:hint="eastAsia" w:hAnsi="宋体"/>
                <w:sz w:val="22"/>
                <w:szCs w:val="22"/>
              </w:rPr>
              <w:t>拒绝进口</w:t>
            </w:r>
          </w:p>
        </w:tc>
      </w:tr>
      <w:tr w14:paraId="68B6F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50F5B45">
            <w:pPr>
              <w:spacing w:line="360" w:lineRule="exact"/>
              <w:jc w:val="center"/>
              <w:rPr>
                <w:rFonts w:hint="eastAsia" w:hAnsi="宋体"/>
                <w:sz w:val="22"/>
                <w:szCs w:val="22"/>
              </w:rPr>
            </w:pPr>
            <w:r>
              <w:rPr>
                <w:rFonts w:hint="eastAsia" w:hAnsi="宋体"/>
                <w:sz w:val="22"/>
                <w:szCs w:val="22"/>
              </w:rPr>
              <w:t>48</w:t>
            </w:r>
          </w:p>
        </w:tc>
        <w:tc>
          <w:tcPr>
            <w:tcW w:w="1065" w:type="pct"/>
            <w:tcBorders>
              <w:tl2br w:val="nil"/>
              <w:tr2bl w:val="nil"/>
            </w:tcBorders>
            <w:shd w:val="clear" w:color="auto" w:fill="auto"/>
            <w:vAlign w:val="center"/>
          </w:tcPr>
          <w:p w14:paraId="692D5542">
            <w:pPr>
              <w:spacing w:line="360" w:lineRule="exact"/>
              <w:jc w:val="center"/>
              <w:rPr>
                <w:rFonts w:hint="eastAsia" w:hAnsi="宋体"/>
                <w:sz w:val="22"/>
                <w:szCs w:val="22"/>
              </w:rPr>
            </w:pPr>
            <w:r>
              <w:rPr>
                <w:rFonts w:hint="eastAsia" w:hAnsi="宋体"/>
                <w:sz w:val="22"/>
                <w:szCs w:val="22"/>
              </w:rPr>
              <w:t>衣柜（卧室）</w:t>
            </w:r>
          </w:p>
        </w:tc>
        <w:tc>
          <w:tcPr>
            <w:tcW w:w="1719" w:type="pct"/>
            <w:tcBorders>
              <w:tl2br w:val="nil"/>
              <w:tr2bl w:val="nil"/>
            </w:tcBorders>
            <w:shd w:val="clear" w:color="auto" w:fill="auto"/>
            <w:vAlign w:val="center"/>
          </w:tcPr>
          <w:p w14:paraId="0B2CB419">
            <w:pPr>
              <w:spacing w:line="360" w:lineRule="exact"/>
              <w:jc w:val="center"/>
              <w:rPr>
                <w:rFonts w:hint="eastAsia" w:hAnsi="宋体"/>
                <w:sz w:val="22"/>
                <w:szCs w:val="22"/>
              </w:rPr>
            </w:pPr>
            <w:r>
              <w:rPr>
                <w:rFonts w:hint="eastAsia" w:hAnsi="宋体"/>
                <w:sz w:val="22"/>
                <w:szCs w:val="22"/>
              </w:rPr>
              <w:t>1700W×600D×1800H</w:t>
            </w:r>
          </w:p>
        </w:tc>
        <w:tc>
          <w:tcPr>
            <w:tcW w:w="532" w:type="pct"/>
            <w:tcBorders>
              <w:tl2br w:val="nil"/>
              <w:tr2bl w:val="nil"/>
            </w:tcBorders>
            <w:shd w:val="clear" w:color="auto" w:fill="auto"/>
            <w:vAlign w:val="center"/>
          </w:tcPr>
          <w:p w14:paraId="4D05E4DE">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762A04E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450B9745">
            <w:pPr>
              <w:spacing w:line="360" w:lineRule="exact"/>
              <w:jc w:val="center"/>
              <w:rPr>
                <w:rFonts w:hint="eastAsia" w:hAnsi="宋体"/>
                <w:sz w:val="22"/>
                <w:szCs w:val="22"/>
              </w:rPr>
            </w:pPr>
            <w:r>
              <w:rPr>
                <w:rFonts w:hint="eastAsia" w:hAnsi="宋体"/>
                <w:sz w:val="22"/>
                <w:szCs w:val="22"/>
              </w:rPr>
              <w:t>拒绝进口</w:t>
            </w:r>
          </w:p>
        </w:tc>
      </w:tr>
      <w:tr w14:paraId="5BE97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ECCB1EC">
            <w:pPr>
              <w:spacing w:line="360" w:lineRule="exact"/>
              <w:jc w:val="center"/>
              <w:rPr>
                <w:rFonts w:hint="eastAsia" w:hAnsi="宋体"/>
                <w:sz w:val="22"/>
                <w:szCs w:val="22"/>
              </w:rPr>
            </w:pPr>
            <w:r>
              <w:rPr>
                <w:rFonts w:hint="eastAsia" w:hAnsi="宋体"/>
                <w:sz w:val="22"/>
                <w:szCs w:val="22"/>
              </w:rPr>
              <w:t>49</w:t>
            </w:r>
          </w:p>
        </w:tc>
        <w:tc>
          <w:tcPr>
            <w:tcW w:w="1065" w:type="pct"/>
            <w:tcBorders>
              <w:tl2br w:val="nil"/>
              <w:tr2bl w:val="nil"/>
            </w:tcBorders>
            <w:shd w:val="clear" w:color="auto" w:fill="auto"/>
            <w:vAlign w:val="center"/>
          </w:tcPr>
          <w:p w14:paraId="1DD28686">
            <w:pPr>
              <w:spacing w:line="360" w:lineRule="exact"/>
              <w:jc w:val="center"/>
              <w:rPr>
                <w:rFonts w:hint="eastAsia" w:hAnsi="宋体"/>
                <w:sz w:val="22"/>
                <w:szCs w:val="22"/>
              </w:rPr>
            </w:pPr>
            <w:r>
              <w:rPr>
                <w:rFonts w:hint="eastAsia" w:hAnsi="宋体"/>
                <w:sz w:val="22"/>
                <w:szCs w:val="22"/>
              </w:rPr>
              <w:t>办公桌（卧室）</w:t>
            </w:r>
          </w:p>
        </w:tc>
        <w:tc>
          <w:tcPr>
            <w:tcW w:w="1719" w:type="pct"/>
            <w:tcBorders>
              <w:tl2br w:val="nil"/>
              <w:tr2bl w:val="nil"/>
            </w:tcBorders>
            <w:shd w:val="clear" w:color="auto" w:fill="auto"/>
            <w:vAlign w:val="center"/>
          </w:tcPr>
          <w:p w14:paraId="307F89B7">
            <w:pPr>
              <w:spacing w:line="360" w:lineRule="exact"/>
              <w:jc w:val="center"/>
              <w:rPr>
                <w:rFonts w:hint="eastAsia" w:hAnsi="宋体"/>
                <w:sz w:val="22"/>
                <w:szCs w:val="22"/>
              </w:rPr>
            </w:pPr>
            <w:r>
              <w:rPr>
                <w:rFonts w:hint="eastAsia" w:hAnsi="宋体"/>
                <w:sz w:val="22"/>
                <w:szCs w:val="22"/>
              </w:rPr>
              <w:t>1200*500*750</w:t>
            </w:r>
          </w:p>
        </w:tc>
        <w:tc>
          <w:tcPr>
            <w:tcW w:w="532" w:type="pct"/>
            <w:tcBorders>
              <w:tl2br w:val="nil"/>
              <w:tr2bl w:val="nil"/>
            </w:tcBorders>
            <w:shd w:val="clear" w:color="auto" w:fill="auto"/>
            <w:vAlign w:val="center"/>
          </w:tcPr>
          <w:p w14:paraId="27D2EC73">
            <w:pPr>
              <w:spacing w:line="360" w:lineRule="exact"/>
              <w:jc w:val="center"/>
              <w:rPr>
                <w:rFonts w:hint="eastAsia" w:hAnsi="宋体"/>
                <w:sz w:val="22"/>
                <w:szCs w:val="22"/>
              </w:rPr>
            </w:pPr>
            <w:r>
              <w:rPr>
                <w:rFonts w:hint="eastAsia" w:hAnsi="宋体"/>
                <w:sz w:val="22"/>
                <w:szCs w:val="22"/>
              </w:rPr>
              <w:t>10</w:t>
            </w:r>
          </w:p>
        </w:tc>
        <w:tc>
          <w:tcPr>
            <w:tcW w:w="532" w:type="pct"/>
            <w:tcBorders>
              <w:tl2br w:val="nil"/>
              <w:tr2bl w:val="nil"/>
            </w:tcBorders>
            <w:shd w:val="clear" w:color="auto" w:fill="auto"/>
            <w:vAlign w:val="center"/>
          </w:tcPr>
          <w:p w14:paraId="61C5CFBE">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CBF8F4D">
            <w:pPr>
              <w:spacing w:line="360" w:lineRule="exact"/>
              <w:jc w:val="center"/>
              <w:rPr>
                <w:rFonts w:hint="eastAsia" w:hAnsi="宋体"/>
                <w:sz w:val="22"/>
                <w:szCs w:val="22"/>
              </w:rPr>
            </w:pPr>
            <w:r>
              <w:rPr>
                <w:rFonts w:hint="eastAsia" w:hAnsi="宋体"/>
                <w:sz w:val="22"/>
                <w:szCs w:val="22"/>
              </w:rPr>
              <w:t>拒绝进口</w:t>
            </w:r>
          </w:p>
        </w:tc>
      </w:tr>
      <w:tr w14:paraId="45FE8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2593EE9E">
            <w:pPr>
              <w:spacing w:line="360" w:lineRule="exact"/>
              <w:jc w:val="center"/>
              <w:rPr>
                <w:rFonts w:hint="eastAsia" w:hAnsi="宋体"/>
                <w:sz w:val="22"/>
                <w:szCs w:val="22"/>
              </w:rPr>
            </w:pPr>
            <w:r>
              <w:rPr>
                <w:rFonts w:hint="eastAsia" w:hAnsi="宋体"/>
                <w:sz w:val="22"/>
                <w:szCs w:val="22"/>
              </w:rPr>
              <w:t>50</w:t>
            </w:r>
          </w:p>
        </w:tc>
        <w:tc>
          <w:tcPr>
            <w:tcW w:w="1065" w:type="pct"/>
            <w:tcBorders>
              <w:tl2br w:val="nil"/>
              <w:tr2bl w:val="nil"/>
            </w:tcBorders>
            <w:shd w:val="clear" w:color="auto" w:fill="auto"/>
            <w:vAlign w:val="center"/>
          </w:tcPr>
          <w:p w14:paraId="3735FA77">
            <w:pPr>
              <w:spacing w:line="360" w:lineRule="exact"/>
              <w:jc w:val="center"/>
              <w:rPr>
                <w:rFonts w:hint="eastAsia" w:hAnsi="宋体"/>
                <w:sz w:val="22"/>
                <w:szCs w:val="22"/>
              </w:rPr>
            </w:pPr>
            <w:r>
              <w:rPr>
                <w:rFonts w:hint="eastAsia" w:hAnsi="宋体"/>
                <w:sz w:val="22"/>
                <w:szCs w:val="22"/>
              </w:rPr>
              <w:t>办公椅（卧室）</w:t>
            </w:r>
          </w:p>
        </w:tc>
        <w:tc>
          <w:tcPr>
            <w:tcW w:w="1719" w:type="pct"/>
            <w:tcBorders>
              <w:tl2br w:val="nil"/>
              <w:tr2bl w:val="nil"/>
            </w:tcBorders>
            <w:shd w:val="clear" w:color="auto" w:fill="auto"/>
            <w:vAlign w:val="center"/>
          </w:tcPr>
          <w:p w14:paraId="2CD6839E">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3C841CD0">
            <w:pPr>
              <w:spacing w:line="360" w:lineRule="exact"/>
              <w:jc w:val="center"/>
              <w:rPr>
                <w:rFonts w:hint="eastAsia" w:hAnsi="宋体"/>
                <w:sz w:val="22"/>
                <w:szCs w:val="22"/>
              </w:rPr>
            </w:pPr>
            <w:r>
              <w:rPr>
                <w:rFonts w:hint="eastAsia" w:hAnsi="宋体"/>
                <w:sz w:val="22"/>
                <w:szCs w:val="22"/>
              </w:rPr>
              <w:t>16</w:t>
            </w:r>
          </w:p>
        </w:tc>
        <w:tc>
          <w:tcPr>
            <w:tcW w:w="532" w:type="pct"/>
            <w:tcBorders>
              <w:tl2br w:val="nil"/>
              <w:tr2bl w:val="nil"/>
            </w:tcBorders>
            <w:shd w:val="clear" w:color="auto" w:fill="auto"/>
            <w:vAlign w:val="center"/>
          </w:tcPr>
          <w:p w14:paraId="33523E4A">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52C77D8">
            <w:pPr>
              <w:spacing w:line="360" w:lineRule="exact"/>
              <w:jc w:val="center"/>
              <w:rPr>
                <w:rFonts w:hint="eastAsia" w:hAnsi="宋体"/>
                <w:sz w:val="22"/>
                <w:szCs w:val="22"/>
              </w:rPr>
            </w:pPr>
            <w:r>
              <w:rPr>
                <w:rFonts w:hint="eastAsia" w:hAnsi="宋体"/>
                <w:sz w:val="22"/>
                <w:szCs w:val="22"/>
              </w:rPr>
              <w:t>拒绝进口</w:t>
            </w:r>
          </w:p>
        </w:tc>
      </w:tr>
      <w:tr w14:paraId="3904B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08B8D90">
            <w:pPr>
              <w:spacing w:line="360" w:lineRule="exact"/>
              <w:jc w:val="center"/>
              <w:rPr>
                <w:rFonts w:hint="eastAsia" w:hAnsi="宋体"/>
                <w:sz w:val="22"/>
                <w:szCs w:val="22"/>
              </w:rPr>
            </w:pPr>
            <w:r>
              <w:rPr>
                <w:rFonts w:hint="eastAsia" w:hAnsi="宋体"/>
                <w:sz w:val="22"/>
                <w:szCs w:val="22"/>
              </w:rPr>
              <w:t>51</w:t>
            </w:r>
          </w:p>
        </w:tc>
        <w:tc>
          <w:tcPr>
            <w:tcW w:w="1065" w:type="pct"/>
            <w:tcBorders>
              <w:tl2br w:val="nil"/>
              <w:tr2bl w:val="nil"/>
            </w:tcBorders>
            <w:shd w:val="clear" w:color="auto" w:fill="auto"/>
            <w:vAlign w:val="center"/>
          </w:tcPr>
          <w:p w14:paraId="14C2A821">
            <w:pPr>
              <w:spacing w:line="360" w:lineRule="exact"/>
              <w:jc w:val="center"/>
              <w:rPr>
                <w:rFonts w:hint="eastAsia" w:hAnsi="宋体"/>
                <w:sz w:val="22"/>
                <w:szCs w:val="22"/>
              </w:rPr>
            </w:pPr>
            <w:r>
              <w:rPr>
                <w:rFonts w:hint="eastAsia" w:hAnsi="宋体"/>
                <w:sz w:val="22"/>
                <w:szCs w:val="22"/>
              </w:rPr>
              <w:t>洽谈桌（客厅）</w:t>
            </w:r>
          </w:p>
        </w:tc>
        <w:tc>
          <w:tcPr>
            <w:tcW w:w="1719" w:type="pct"/>
            <w:tcBorders>
              <w:tl2br w:val="nil"/>
              <w:tr2bl w:val="nil"/>
            </w:tcBorders>
            <w:shd w:val="clear" w:color="auto" w:fill="auto"/>
            <w:vAlign w:val="center"/>
          </w:tcPr>
          <w:p w14:paraId="0AB8B32A">
            <w:pPr>
              <w:spacing w:line="360" w:lineRule="exact"/>
              <w:jc w:val="center"/>
              <w:rPr>
                <w:rFonts w:hint="eastAsia" w:hAnsi="宋体"/>
                <w:sz w:val="22"/>
                <w:szCs w:val="22"/>
              </w:rPr>
            </w:pPr>
            <w:r>
              <w:rPr>
                <w:rFonts w:hint="eastAsia" w:hAnsi="宋体"/>
                <w:sz w:val="22"/>
                <w:szCs w:val="22"/>
              </w:rPr>
              <w:t>1400*700*750</w:t>
            </w:r>
          </w:p>
        </w:tc>
        <w:tc>
          <w:tcPr>
            <w:tcW w:w="532" w:type="pct"/>
            <w:tcBorders>
              <w:tl2br w:val="nil"/>
              <w:tr2bl w:val="nil"/>
            </w:tcBorders>
            <w:shd w:val="clear" w:color="auto" w:fill="auto"/>
            <w:vAlign w:val="center"/>
          </w:tcPr>
          <w:p w14:paraId="6ABDF612">
            <w:pPr>
              <w:spacing w:line="360" w:lineRule="exact"/>
              <w:jc w:val="center"/>
              <w:rPr>
                <w:rFonts w:hint="eastAsia" w:hAnsi="宋体"/>
                <w:sz w:val="22"/>
                <w:szCs w:val="22"/>
              </w:rPr>
            </w:pPr>
            <w:r>
              <w:rPr>
                <w:rFonts w:hint="eastAsia" w:hAnsi="宋体"/>
                <w:sz w:val="22"/>
                <w:szCs w:val="22"/>
              </w:rPr>
              <w:t>5</w:t>
            </w:r>
          </w:p>
        </w:tc>
        <w:tc>
          <w:tcPr>
            <w:tcW w:w="532" w:type="pct"/>
            <w:tcBorders>
              <w:tl2br w:val="nil"/>
              <w:tr2bl w:val="nil"/>
            </w:tcBorders>
            <w:shd w:val="clear" w:color="auto" w:fill="auto"/>
            <w:vAlign w:val="center"/>
          </w:tcPr>
          <w:p w14:paraId="14960A00">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B0A6655">
            <w:pPr>
              <w:spacing w:line="360" w:lineRule="exact"/>
              <w:jc w:val="center"/>
              <w:rPr>
                <w:rFonts w:hint="eastAsia" w:hAnsi="宋体"/>
                <w:sz w:val="22"/>
                <w:szCs w:val="22"/>
              </w:rPr>
            </w:pPr>
            <w:r>
              <w:rPr>
                <w:rFonts w:hint="eastAsia" w:hAnsi="宋体"/>
                <w:sz w:val="22"/>
                <w:szCs w:val="22"/>
              </w:rPr>
              <w:t>拒绝进口</w:t>
            </w:r>
          </w:p>
        </w:tc>
      </w:tr>
      <w:tr w14:paraId="4EBF2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5F5CD11">
            <w:pPr>
              <w:spacing w:line="360" w:lineRule="exact"/>
              <w:jc w:val="center"/>
              <w:rPr>
                <w:rFonts w:hint="eastAsia" w:hAnsi="宋体"/>
                <w:sz w:val="22"/>
                <w:szCs w:val="22"/>
              </w:rPr>
            </w:pPr>
            <w:r>
              <w:rPr>
                <w:rFonts w:hint="eastAsia" w:hAnsi="宋体"/>
                <w:sz w:val="22"/>
                <w:szCs w:val="22"/>
              </w:rPr>
              <w:t>52</w:t>
            </w:r>
          </w:p>
        </w:tc>
        <w:tc>
          <w:tcPr>
            <w:tcW w:w="1065" w:type="pct"/>
            <w:tcBorders>
              <w:tl2br w:val="nil"/>
              <w:tr2bl w:val="nil"/>
            </w:tcBorders>
            <w:shd w:val="clear" w:color="auto" w:fill="auto"/>
            <w:vAlign w:val="center"/>
          </w:tcPr>
          <w:p w14:paraId="41C8B49B">
            <w:pPr>
              <w:spacing w:line="360" w:lineRule="exact"/>
              <w:jc w:val="center"/>
              <w:rPr>
                <w:rFonts w:hint="eastAsia" w:hAnsi="宋体"/>
                <w:sz w:val="22"/>
                <w:szCs w:val="22"/>
              </w:rPr>
            </w:pPr>
            <w:r>
              <w:rPr>
                <w:rFonts w:hint="eastAsia" w:hAnsi="宋体"/>
                <w:sz w:val="22"/>
                <w:szCs w:val="22"/>
              </w:rPr>
              <w:t>洽谈椅（客厅）</w:t>
            </w:r>
          </w:p>
        </w:tc>
        <w:tc>
          <w:tcPr>
            <w:tcW w:w="1719" w:type="pct"/>
            <w:tcBorders>
              <w:tl2br w:val="nil"/>
              <w:tr2bl w:val="nil"/>
            </w:tcBorders>
            <w:shd w:val="clear" w:color="auto" w:fill="auto"/>
            <w:vAlign w:val="center"/>
          </w:tcPr>
          <w:p w14:paraId="4BC57753">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717F7CE5">
            <w:pPr>
              <w:spacing w:line="360" w:lineRule="exact"/>
              <w:jc w:val="center"/>
              <w:rPr>
                <w:rFonts w:hint="eastAsia" w:hAnsi="宋体"/>
                <w:sz w:val="22"/>
                <w:szCs w:val="22"/>
              </w:rPr>
            </w:pPr>
            <w:r>
              <w:rPr>
                <w:rFonts w:hint="eastAsia" w:hAnsi="宋体"/>
                <w:sz w:val="22"/>
                <w:szCs w:val="22"/>
              </w:rPr>
              <w:t>20</w:t>
            </w:r>
          </w:p>
        </w:tc>
        <w:tc>
          <w:tcPr>
            <w:tcW w:w="532" w:type="pct"/>
            <w:tcBorders>
              <w:tl2br w:val="nil"/>
              <w:tr2bl w:val="nil"/>
            </w:tcBorders>
            <w:shd w:val="clear" w:color="auto" w:fill="auto"/>
            <w:vAlign w:val="center"/>
          </w:tcPr>
          <w:p w14:paraId="42E763EA">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41F0D243">
            <w:pPr>
              <w:spacing w:line="360" w:lineRule="exact"/>
              <w:jc w:val="center"/>
              <w:rPr>
                <w:rFonts w:hint="eastAsia" w:hAnsi="宋体"/>
                <w:sz w:val="22"/>
                <w:szCs w:val="22"/>
              </w:rPr>
            </w:pPr>
            <w:r>
              <w:rPr>
                <w:rFonts w:hint="eastAsia" w:hAnsi="宋体"/>
                <w:sz w:val="22"/>
                <w:szCs w:val="22"/>
              </w:rPr>
              <w:t>拒绝进口</w:t>
            </w:r>
          </w:p>
        </w:tc>
      </w:tr>
      <w:tr w14:paraId="16A0E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7640BFF">
            <w:pPr>
              <w:spacing w:line="360" w:lineRule="exact"/>
              <w:jc w:val="center"/>
              <w:rPr>
                <w:rFonts w:hint="eastAsia" w:hAnsi="宋体"/>
                <w:sz w:val="22"/>
                <w:szCs w:val="22"/>
              </w:rPr>
            </w:pPr>
            <w:r>
              <w:rPr>
                <w:rFonts w:hint="eastAsia" w:hAnsi="宋体"/>
                <w:sz w:val="22"/>
                <w:szCs w:val="22"/>
              </w:rPr>
              <w:t>53</w:t>
            </w:r>
          </w:p>
        </w:tc>
        <w:tc>
          <w:tcPr>
            <w:tcW w:w="1065" w:type="pct"/>
            <w:tcBorders>
              <w:tl2br w:val="nil"/>
              <w:tr2bl w:val="nil"/>
            </w:tcBorders>
            <w:shd w:val="clear" w:color="auto" w:fill="auto"/>
            <w:vAlign w:val="center"/>
          </w:tcPr>
          <w:p w14:paraId="742D02A9">
            <w:pPr>
              <w:spacing w:line="360" w:lineRule="exact"/>
              <w:jc w:val="center"/>
              <w:rPr>
                <w:rFonts w:hint="eastAsia" w:hAnsi="宋体"/>
                <w:sz w:val="22"/>
                <w:szCs w:val="22"/>
              </w:rPr>
            </w:pPr>
            <w:r>
              <w:rPr>
                <w:rFonts w:hint="eastAsia" w:hAnsi="宋体"/>
                <w:sz w:val="22"/>
                <w:szCs w:val="22"/>
              </w:rPr>
              <w:t>双人沙发</w:t>
            </w:r>
          </w:p>
        </w:tc>
        <w:tc>
          <w:tcPr>
            <w:tcW w:w="1719" w:type="pct"/>
            <w:tcBorders>
              <w:tl2br w:val="nil"/>
              <w:tr2bl w:val="nil"/>
            </w:tcBorders>
            <w:shd w:val="clear" w:color="auto" w:fill="auto"/>
            <w:vAlign w:val="center"/>
          </w:tcPr>
          <w:p w14:paraId="7DCC031A">
            <w:pPr>
              <w:spacing w:line="360" w:lineRule="exact"/>
              <w:jc w:val="center"/>
              <w:rPr>
                <w:rFonts w:hint="eastAsia" w:hAnsi="宋体"/>
                <w:sz w:val="22"/>
                <w:szCs w:val="22"/>
              </w:rPr>
            </w:pPr>
            <w:r>
              <w:rPr>
                <w:rFonts w:hint="eastAsia" w:hAnsi="宋体"/>
                <w:sz w:val="22"/>
                <w:szCs w:val="22"/>
              </w:rPr>
              <w:t>1700*820*700</w:t>
            </w:r>
          </w:p>
        </w:tc>
        <w:tc>
          <w:tcPr>
            <w:tcW w:w="532" w:type="pct"/>
            <w:tcBorders>
              <w:tl2br w:val="nil"/>
              <w:tr2bl w:val="nil"/>
            </w:tcBorders>
            <w:shd w:val="clear" w:color="auto" w:fill="auto"/>
            <w:vAlign w:val="center"/>
          </w:tcPr>
          <w:p w14:paraId="16A00A70">
            <w:pPr>
              <w:spacing w:line="360" w:lineRule="exact"/>
              <w:jc w:val="center"/>
              <w:rPr>
                <w:rFonts w:hint="eastAsia" w:hAnsi="宋体"/>
                <w:sz w:val="22"/>
                <w:szCs w:val="22"/>
              </w:rPr>
            </w:pPr>
            <w:r>
              <w:rPr>
                <w:rFonts w:hint="eastAsia" w:hAnsi="宋体"/>
                <w:sz w:val="22"/>
                <w:szCs w:val="22"/>
              </w:rPr>
              <w:t>7</w:t>
            </w:r>
          </w:p>
        </w:tc>
        <w:tc>
          <w:tcPr>
            <w:tcW w:w="532" w:type="pct"/>
            <w:tcBorders>
              <w:tl2br w:val="nil"/>
              <w:tr2bl w:val="nil"/>
            </w:tcBorders>
            <w:shd w:val="clear" w:color="auto" w:fill="auto"/>
            <w:vAlign w:val="center"/>
          </w:tcPr>
          <w:p w14:paraId="14BD2642">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377174F7">
            <w:pPr>
              <w:spacing w:line="360" w:lineRule="exact"/>
              <w:jc w:val="center"/>
              <w:rPr>
                <w:rFonts w:hint="eastAsia" w:hAnsi="宋体"/>
                <w:sz w:val="22"/>
                <w:szCs w:val="22"/>
              </w:rPr>
            </w:pPr>
            <w:r>
              <w:rPr>
                <w:rFonts w:hint="eastAsia" w:hAnsi="宋体"/>
                <w:sz w:val="22"/>
                <w:szCs w:val="22"/>
              </w:rPr>
              <w:t>拒绝进口</w:t>
            </w:r>
          </w:p>
        </w:tc>
      </w:tr>
      <w:tr w14:paraId="7E674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63F7852">
            <w:pPr>
              <w:spacing w:line="360" w:lineRule="exact"/>
              <w:jc w:val="center"/>
              <w:rPr>
                <w:rFonts w:hint="eastAsia" w:hAnsi="宋体"/>
                <w:sz w:val="22"/>
                <w:szCs w:val="22"/>
              </w:rPr>
            </w:pPr>
            <w:r>
              <w:rPr>
                <w:rFonts w:hint="eastAsia" w:hAnsi="宋体"/>
                <w:sz w:val="22"/>
                <w:szCs w:val="22"/>
              </w:rPr>
              <w:t>54</w:t>
            </w:r>
          </w:p>
        </w:tc>
        <w:tc>
          <w:tcPr>
            <w:tcW w:w="1065" w:type="pct"/>
            <w:tcBorders>
              <w:tl2br w:val="nil"/>
              <w:tr2bl w:val="nil"/>
            </w:tcBorders>
            <w:shd w:val="clear" w:color="auto" w:fill="auto"/>
            <w:vAlign w:val="center"/>
          </w:tcPr>
          <w:p w14:paraId="3BF7B0D7">
            <w:pPr>
              <w:spacing w:line="360" w:lineRule="exact"/>
              <w:jc w:val="center"/>
              <w:rPr>
                <w:rFonts w:hint="eastAsia" w:hAnsi="宋体"/>
                <w:sz w:val="22"/>
                <w:szCs w:val="22"/>
              </w:rPr>
            </w:pPr>
            <w:r>
              <w:rPr>
                <w:rFonts w:hint="eastAsia" w:hAnsi="宋体"/>
                <w:sz w:val="22"/>
                <w:szCs w:val="22"/>
              </w:rPr>
              <w:t>茶几</w:t>
            </w:r>
          </w:p>
        </w:tc>
        <w:tc>
          <w:tcPr>
            <w:tcW w:w="1719" w:type="pct"/>
            <w:tcBorders>
              <w:tl2br w:val="nil"/>
              <w:tr2bl w:val="nil"/>
            </w:tcBorders>
            <w:shd w:val="clear" w:color="auto" w:fill="auto"/>
            <w:vAlign w:val="center"/>
          </w:tcPr>
          <w:p w14:paraId="2847F3C9">
            <w:pPr>
              <w:spacing w:line="360" w:lineRule="exact"/>
              <w:jc w:val="center"/>
              <w:rPr>
                <w:rFonts w:hint="eastAsia" w:hAnsi="宋体"/>
                <w:sz w:val="22"/>
                <w:szCs w:val="22"/>
              </w:rPr>
            </w:pPr>
            <w:r>
              <w:rPr>
                <w:rFonts w:hint="eastAsia" w:hAnsi="宋体"/>
                <w:sz w:val="22"/>
                <w:szCs w:val="22"/>
              </w:rPr>
              <w:t>800*700*450</w:t>
            </w:r>
          </w:p>
        </w:tc>
        <w:tc>
          <w:tcPr>
            <w:tcW w:w="532" w:type="pct"/>
            <w:tcBorders>
              <w:tl2br w:val="nil"/>
              <w:tr2bl w:val="nil"/>
            </w:tcBorders>
            <w:shd w:val="clear" w:color="auto" w:fill="auto"/>
            <w:vAlign w:val="center"/>
          </w:tcPr>
          <w:p w14:paraId="6B602B07">
            <w:pPr>
              <w:spacing w:line="360" w:lineRule="exact"/>
              <w:jc w:val="center"/>
              <w:rPr>
                <w:rFonts w:hint="eastAsia" w:hAnsi="宋体"/>
                <w:sz w:val="22"/>
                <w:szCs w:val="22"/>
              </w:rPr>
            </w:pPr>
            <w:r>
              <w:rPr>
                <w:rFonts w:hint="eastAsia" w:hAnsi="宋体"/>
                <w:sz w:val="22"/>
                <w:szCs w:val="22"/>
              </w:rPr>
              <w:t>7</w:t>
            </w:r>
          </w:p>
        </w:tc>
        <w:tc>
          <w:tcPr>
            <w:tcW w:w="532" w:type="pct"/>
            <w:tcBorders>
              <w:tl2br w:val="nil"/>
              <w:tr2bl w:val="nil"/>
            </w:tcBorders>
            <w:shd w:val="clear" w:color="auto" w:fill="auto"/>
            <w:vAlign w:val="center"/>
          </w:tcPr>
          <w:p w14:paraId="635F908B">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64391F01">
            <w:pPr>
              <w:spacing w:line="360" w:lineRule="exact"/>
              <w:jc w:val="center"/>
              <w:rPr>
                <w:rFonts w:hint="eastAsia" w:hAnsi="宋体"/>
                <w:sz w:val="22"/>
                <w:szCs w:val="22"/>
              </w:rPr>
            </w:pPr>
            <w:r>
              <w:rPr>
                <w:rFonts w:hint="eastAsia" w:hAnsi="宋体"/>
                <w:sz w:val="22"/>
                <w:szCs w:val="22"/>
              </w:rPr>
              <w:t>拒绝进口</w:t>
            </w:r>
          </w:p>
        </w:tc>
      </w:tr>
      <w:tr w14:paraId="2904A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A7014BA">
            <w:pPr>
              <w:spacing w:line="360" w:lineRule="exact"/>
              <w:jc w:val="center"/>
              <w:rPr>
                <w:rFonts w:hint="eastAsia" w:hAnsi="宋体"/>
                <w:sz w:val="22"/>
                <w:szCs w:val="22"/>
              </w:rPr>
            </w:pPr>
            <w:r>
              <w:rPr>
                <w:rFonts w:hint="eastAsia" w:hAnsi="宋体"/>
                <w:sz w:val="22"/>
                <w:szCs w:val="22"/>
              </w:rPr>
              <w:t>55</w:t>
            </w:r>
          </w:p>
        </w:tc>
        <w:tc>
          <w:tcPr>
            <w:tcW w:w="1065" w:type="pct"/>
            <w:tcBorders>
              <w:tl2br w:val="nil"/>
              <w:tr2bl w:val="nil"/>
            </w:tcBorders>
            <w:shd w:val="clear" w:color="auto" w:fill="auto"/>
            <w:vAlign w:val="center"/>
          </w:tcPr>
          <w:p w14:paraId="18D7FBC3">
            <w:pPr>
              <w:spacing w:line="360" w:lineRule="exact"/>
              <w:jc w:val="center"/>
              <w:rPr>
                <w:rFonts w:hint="eastAsia" w:hAnsi="宋体"/>
                <w:sz w:val="22"/>
                <w:szCs w:val="22"/>
              </w:rPr>
            </w:pPr>
            <w:r>
              <w:rPr>
                <w:rFonts w:hint="eastAsia" w:hAnsi="宋体"/>
                <w:sz w:val="22"/>
                <w:szCs w:val="22"/>
              </w:rPr>
              <w:t>主席台条桌</w:t>
            </w:r>
          </w:p>
        </w:tc>
        <w:tc>
          <w:tcPr>
            <w:tcW w:w="1719" w:type="pct"/>
            <w:tcBorders>
              <w:tl2br w:val="nil"/>
              <w:tr2bl w:val="nil"/>
            </w:tcBorders>
            <w:shd w:val="clear" w:color="auto" w:fill="auto"/>
            <w:vAlign w:val="center"/>
          </w:tcPr>
          <w:p w14:paraId="30E239AA">
            <w:pPr>
              <w:spacing w:line="360" w:lineRule="exact"/>
              <w:jc w:val="center"/>
              <w:rPr>
                <w:rFonts w:hint="eastAsia" w:hAnsi="宋体"/>
                <w:sz w:val="22"/>
                <w:szCs w:val="22"/>
              </w:rPr>
            </w:pPr>
            <w:r>
              <w:rPr>
                <w:rFonts w:hint="eastAsia" w:hAnsi="宋体"/>
                <w:sz w:val="22"/>
                <w:szCs w:val="22"/>
              </w:rPr>
              <w:t>5000*600*750</w:t>
            </w:r>
          </w:p>
        </w:tc>
        <w:tc>
          <w:tcPr>
            <w:tcW w:w="532" w:type="pct"/>
            <w:tcBorders>
              <w:tl2br w:val="nil"/>
              <w:tr2bl w:val="nil"/>
            </w:tcBorders>
            <w:shd w:val="clear" w:color="auto" w:fill="auto"/>
            <w:vAlign w:val="center"/>
          </w:tcPr>
          <w:p w14:paraId="71CAEFB8">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115B5231">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76CEE73">
            <w:pPr>
              <w:spacing w:line="360" w:lineRule="exact"/>
              <w:jc w:val="center"/>
              <w:rPr>
                <w:rFonts w:hint="eastAsia" w:hAnsi="宋体"/>
                <w:sz w:val="22"/>
                <w:szCs w:val="22"/>
              </w:rPr>
            </w:pPr>
            <w:r>
              <w:rPr>
                <w:rFonts w:hint="eastAsia" w:hAnsi="宋体"/>
                <w:sz w:val="22"/>
                <w:szCs w:val="22"/>
              </w:rPr>
              <w:t>拒绝进口</w:t>
            </w:r>
          </w:p>
        </w:tc>
      </w:tr>
      <w:tr w14:paraId="0C36E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3216809">
            <w:pPr>
              <w:spacing w:line="360" w:lineRule="exact"/>
              <w:jc w:val="center"/>
              <w:rPr>
                <w:rFonts w:hint="eastAsia" w:hAnsi="宋体"/>
                <w:sz w:val="22"/>
                <w:szCs w:val="22"/>
              </w:rPr>
            </w:pPr>
            <w:r>
              <w:rPr>
                <w:rFonts w:hint="eastAsia" w:hAnsi="宋体"/>
                <w:sz w:val="22"/>
                <w:szCs w:val="22"/>
              </w:rPr>
              <w:t>56</w:t>
            </w:r>
          </w:p>
        </w:tc>
        <w:tc>
          <w:tcPr>
            <w:tcW w:w="1065" w:type="pct"/>
            <w:tcBorders>
              <w:tl2br w:val="nil"/>
              <w:tr2bl w:val="nil"/>
            </w:tcBorders>
            <w:shd w:val="clear" w:color="auto" w:fill="auto"/>
            <w:vAlign w:val="center"/>
          </w:tcPr>
          <w:p w14:paraId="23A0E1DC">
            <w:pPr>
              <w:spacing w:line="360" w:lineRule="exact"/>
              <w:jc w:val="center"/>
              <w:rPr>
                <w:rFonts w:hint="eastAsia" w:hAnsi="宋体"/>
                <w:sz w:val="22"/>
                <w:szCs w:val="22"/>
              </w:rPr>
            </w:pPr>
            <w:r>
              <w:rPr>
                <w:rFonts w:hint="eastAsia" w:hAnsi="宋体"/>
                <w:sz w:val="22"/>
                <w:szCs w:val="22"/>
              </w:rPr>
              <w:t>职员椅</w:t>
            </w:r>
          </w:p>
        </w:tc>
        <w:tc>
          <w:tcPr>
            <w:tcW w:w="1719" w:type="pct"/>
            <w:tcBorders>
              <w:tl2br w:val="nil"/>
              <w:tr2bl w:val="nil"/>
            </w:tcBorders>
            <w:shd w:val="clear" w:color="auto" w:fill="auto"/>
            <w:vAlign w:val="center"/>
          </w:tcPr>
          <w:p w14:paraId="6E057E6D">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63CFFCB4">
            <w:pPr>
              <w:spacing w:line="360" w:lineRule="exact"/>
              <w:jc w:val="center"/>
              <w:rPr>
                <w:rFonts w:hint="eastAsia" w:hAnsi="宋体"/>
                <w:sz w:val="22"/>
                <w:szCs w:val="22"/>
              </w:rPr>
            </w:pPr>
            <w:r>
              <w:rPr>
                <w:rFonts w:hint="eastAsia" w:hAnsi="宋体"/>
                <w:sz w:val="22"/>
                <w:szCs w:val="22"/>
              </w:rPr>
              <w:t>7</w:t>
            </w:r>
          </w:p>
        </w:tc>
        <w:tc>
          <w:tcPr>
            <w:tcW w:w="532" w:type="pct"/>
            <w:tcBorders>
              <w:tl2br w:val="nil"/>
              <w:tr2bl w:val="nil"/>
            </w:tcBorders>
            <w:shd w:val="clear" w:color="auto" w:fill="auto"/>
            <w:vAlign w:val="center"/>
          </w:tcPr>
          <w:p w14:paraId="3D1E6ED1">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538E1134">
            <w:pPr>
              <w:spacing w:line="360" w:lineRule="exact"/>
              <w:jc w:val="center"/>
              <w:rPr>
                <w:rFonts w:hint="eastAsia" w:hAnsi="宋体"/>
                <w:sz w:val="22"/>
                <w:szCs w:val="22"/>
              </w:rPr>
            </w:pPr>
            <w:r>
              <w:rPr>
                <w:rFonts w:hint="eastAsia" w:hAnsi="宋体"/>
                <w:sz w:val="22"/>
                <w:szCs w:val="22"/>
              </w:rPr>
              <w:t>拒绝进口</w:t>
            </w:r>
          </w:p>
        </w:tc>
      </w:tr>
      <w:tr w14:paraId="57DCF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31CD59EE">
            <w:pPr>
              <w:spacing w:line="360" w:lineRule="exact"/>
              <w:jc w:val="center"/>
              <w:rPr>
                <w:rFonts w:hint="eastAsia" w:hAnsi="宋体"/>
                <w:sz w:val="22"/>
                <w:szCs w:val="22"/>
              </w:rPr>
            </w:pPr>
            <w:r>
              <w:rPr>
                <w:rFonts w:hint="eastAsia" w:hAnsi="宋体"/>
                <w:sz w:val="22"/>
                <w:szCs w:val="22"/>
              </w:rPr>
              <w:t>57</w:t>
            </w:r>
          </w:p>
        </w:tc>
        <w:tc>
          <w:tcPr>
            <w:tcW w:w="1065" w:type="pct"/>
            <w:tcBorders>
              <w:tl2br w:val="nil"/>
              <w:tr2bl w:val="nil"/>
            </w:tcBorders>
            <w:shd w:val="clear" w:color="auto" w:fill="auto"/>
            <w:vAlign w:val="center"/>
          </w:tcPr>
          <w:p w14:paraId="2DFFC79E">
            <w:pPr>
              <w:spacing w:line="360" w:lineRule="exact"/>
              <w:jc w:val="center"/>
              <w:rPr>
                <w:rFonts w:hint="eastAsia" w:hAnsi="宋体"/>
                <w:sz w:val="22"/>
                <w:szCs w:val="22"/>
              </w:rPr>
            </w:pPr>
            <w:r>
              <w:rPr>
                <w:rFonts w:hint="eastAsia" w:hAnsi="宋体"/>
                <w:sz w:val="22"/>
                <w:szCs w:val="22"/>
              </w:rPr>
              <w:t>前排联排桌椅</w:t>
            </w:r>
          </w:p>
        </w:tc>
        <w:tc>
          <w:tcPr>
            <w:tcW w:w="1719" w:type="pct"/>
            <w:tcBorders>
              <w:tl2br w:val="nil"/>
              <w:tr2bl w:val="nil"/>
            </w:tcBorders>
            <w:shd w:val="clear" w:color="auto" w:fill="auto"/>
            <w:vAlign w:val="center"/>
          </w:tcPr>
          <w:p w14:paraId="4899CF2A">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4FAD6522">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4A0DB240">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A7C267B">
            <w:pPr>
              <w:spacing w:line="360" w:lineRule="exact"/>
              <w:jc w:val="center"/>
              <w:rPr>
                <w:rFonts w:hint="eastAsia" w:hAnsi="宋体"/>
                <w:sz w:val="22"/>
                <w:szCs w:val="22"/>
              </w:rPr>
            </w:pPr>
            <w:r>
              <w:rPr>
                <w:rFonts w:hint="eastAsia" w:hAnsi="宋体"/>
                <w:sz w:val="22"/>
                <w:szCs w:val="22"/>
              </w:rPr>
              <w:t>拒绝进口</w:t>
            </w:r>
          </w:p>
        </w:tc>
      </w:tr>
      <w:tr w14:paraId="681D8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43DAC50">
            <w:pPr>
              <w:spacing w:line="360" w:lineRule="exact"/>
              <w:jc w:val="center"/>
              <w:rPr>
                <w:rFonts w:hint="eastAsia" w:hAnsi="宋体"/>
                <w:sz w:val="22"/>
                <w:szCs w:val="22"/>
              </w:rPr>
            </w:pPr>
            <w:r>
              <w:rPr>
                <w:rFonts w:hint="eastAsia" w:hAnsi="宋体"/>
                <w:sz w:val="22"/>
                <w:szCs w:val="22"/>
              </w:rPr>
              <w:t>58</w:t>
            </w:r>
          </w:p>
        </w:tc>
        <w:tc>
          <w:tcPr>
            <w:tcW w:w="1065" w:type="pct"/>
            <w:tcBorders>
              <w:tl2br w:val="nil"/>
              <w:tr2bl w:val="nil"/>
            </w:tcBorders>
            <w:shd w:val="clear" w:color="auto" w:fill="auto"/>
            <w:vAlign w:val="center"/>
          </w:tcPr>
          <w:p w14:paraId="5D0859DE">
            <w:pPr>
              <w:spacing w:line="360" w:lineRule="exact"/>
              <w:jc w:val="center"/>
              <w:rPr>
                <w:rFonts w:hint="eastAsia" w:hAnsi="宋体"/>
                <w:sz w:val="22"/>
                <w:szCs w:val="22"/>
              </w:rPr>
            </w:pPr>
            <w:r>
              <w:rPr>
                <w:rFonts w:hint="eastAsia" w:hAnsi="宋体"/>
                <w:sz w:val="22"/>
                <w:szCs w:val="22"/>
              </w:rPr>
              <w:t>中排联排桌椅</w:t>
            </w:r>
          </w:p>
        </w:tc>
        <w:tc>
          <w:tcPr>
            <w:tcW w:w="1719" w:type="pct"/>
            <w:tcBorders>
              <w:tl2br w:val="nil"/>
              <w:tr2bl w:val="nil"/>
            </w:tcBorders>
            <w:shd w:val="clear" w:color="auto" w:fill="auto"/>
            <w:vAlign w:val="center"/>
          </w:tcPr>
          <w:p w14:paraId="246C8D91">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737FA713">
            <w:pPr>
              <w:spacing w:line="360" w:lineRule="exact"/>
              <w:jc w:val="center"/>
              <w:rPr>
                <w:rFonts w:hint="eastAsia" w:hAnsi="宋体"/>
                <w:sz w:val="22"/>
                <w:szCs w:val="22"/>
              </w:rPr>
            </w:pPr>
            <w:r>
              <w:rPr>
                <w:rFonts w:hint="eastAsia" w:hAnsi="宋体"/>
                <w:sz w:val="22"/>
                <w:szCs w:val="22"/>
              </w:rPr>
              <w:t>68</w:t>
            </w:r>
          </w:p>
        </w:tc>
        <w:tc>
          <w:tcPr>
            <w:tcW w:w="532" w:type="pct"/>
            <w:tcBorders>
              <w:tl2br w:val="nil"/>
              <w:tr2bl w:val="nil"/>
            </w:tcBorders>
            <w:shd w:val="clear" w:color="auto" w:fill="auto"/>
            <w:vAlign w:val="center"/>
          </w:tcPr>
          <w:p w14:paraId="033974F9">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4E492BAE">
            <w:pPr>
              <w:spacing w:line="360" w:lineRule="exact"/>
              <w:jc w:val="center"/>
              <w:rPr>
                <w:rFonts w:hint="eastAsia" w:hAnsi="宋体"/>
                <w:sz w:val="22"/>
                <w:szCs w:val="22"/>
              </w:rPr>
            </w:pPr>
            <w:r>
              <w:rPr>
                <w:rFonts w:hint="eastAsia" w:hAnsi="宋体"/>
                <w:sz w:val="22"/>
                <w:szCs w:val="22"/>
              </w:rPr>
              <w:t>拒绝进口</w:t>
            </w:r>
          </w:p>
        </w:tc>
      </w:tr>
      <w:tr w14:paraId="12E29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4FD22010">
            <w:pPr>
              <w:spacing w:line="360" w:lineRule="exact"/>
              <w:jc w:val="center"/>
              <w:rPr>
                <w:rFonts w:hint="eastAsia" w:hAnsi="宋体"/>
                <w:sz w:val="22"/>
                <w:szCs w:val="22"/>
              </w:rPr>
            </w:pPr>
            <w:r>
              <w:rPr>
                <w:rFonts w:hint="eastAsia" w:hAnsi="宋体"/>
                <w:sz w:val="22"/>
                <w:szCs w:val="22"/>
              </w:rPr>
              <w:t>59</w:t>
            </w:r>
          </w:p>
        </w:tc>
        <w:tc>
          <w:tcPr>
            <w:tcW w:w="1065" w:type="pct"/>
            <w:tcBorders>
              <w:tl2br w:val="nil"/>
              <w:tr2bl w:val="nil"/>
            </w:tcBorders>
            <w:shd w:val="clear" w:color="auto" w:fill="auto"/>
            <w:vAlign w:val="center"/>
          </w:tcPr>
          <w:p w14:paraId="4B24DDB4">
            <w:pPr>
              <w:spacing w:line="360" w:lineRule="exact"/>
              <w:jc w:val="center"/>
              <w:rPr>
                <w:rFonts w:hint="eastAsia" w:hAnsi="宋体"/>
                <w:sz w:val="22"/>
                <w:szCs w:val="22"/>
              </w:rPr>
            </w:pPr>
            <w:r>
              <w:rPr>
                <w:rFonts w:hint="eastAsia" w:hAnsi="宋体"/>
                <w:sz w:val="22"/>
                <w:szCs w:val="22"/>
              </w:rPr>
              <w:t>后排联排桌椅</w:t>
            </w:r>
          </w:p>
        </w:tc>
        <w:tc>
          <w:tcPr>
            <w:tcW w:w="1719" w:type="pct"/>
            <w:tcBorders>
              <w:tl2br w:val="nil"/>
              <w:tr2bl w:val="nil"/>
            </w:tcBorders>
            <w:shd w:val="clear" w:color="auto" w:fill="auto"/>
            <w:vAlign w:val="center"/>
          </w:tcPr>
          <w:p w14:paraId="605A1EB3">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7C58B0D6">
            <w:pPr>
              <w:spacing w:line="360" w:lineRule="exact"/>
              <w:jc w:val="center"/>
              <w:rPr>
                <w:rFonts w:hint="eastAsia" w:hAnsi="宋体"/>
                <w:sz w:val="22"/>
                <w:szCs w:val="22"/>
              </w:rPr>
            </w:pPr>
            <w:r>
              <w:rPr>
                <w:rFonts w:hint="eastAsia" w:hAnsi="宋体"/>
                <w:sz w:val="22"/>
                <w:szCs w:val="22"/>
              </w:rPr>
              <w:t>17</w:t>
            </w:r>
          </w:p>
        </w:tc>
        <w:tc>
          <w:tcPr>
            <w:tcW w:w="532" w:type="pct"/>
            <w:tcBorders>
              <w:tl2br w:val="nil"/>
              <w:tr2bl w:val="nil"/>
            </w:tcBorders>
            <w:shd w:val="clear" w:color="auto" w:fill="auto"/>
            <w:vAlign w:val="center"/>
          </w:tcPr>
          <w:p w14:paraId="7184EC9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13753799">
            <w:pPr>
              <w:spacing w:line="360" w:lineRule="exact"/>
              <w:jc w:val="center"/>
              <w:rPr>
                <w:rFonts w:hint="eastAsia" w:hAnsi="宋体"/>
                <w:sz w:val="22"/>
                <w:szCs w:val="22"/>
              </w:rPr>
            </w:pPr>
            <w:r>
              <w:rPr>
                <w:rFonts w:hint="eastAsia" w:hAnsi="宋体"/>
                <w:sz w:val="22"/>
                <w:szCs w:val="22"/>
              </w:rPr>
              <w:t>拒绝进口</w:t>
            </w:r>
          </w:p>
        </w:tc>
      </w:tr>
      <w:tr w14:paraId="1234C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A5BBF31">
            <w:pPr>
              <w:spacing w:line="360" w:lineRule="exact"/>
              <w:jc w:val="center"/>
              <w:rPr>
                <w:rFonts w:hint="eastAsia" w:hAnsi="宋体"/>
                <w:sz w:val="22"/>
                <w:szCs w:val="22"/>
              </w:rPr>
            </w:pPr>
            <w:r>
              <w:rPr>
                <w:rFonts w:hint="eastAsia" w:hAnsi="宋体"/>
                <w:sz w:val="22"/>
                <w:szCs w:val="22"/>
              </w:rPr>
              <w:t>60</w:t>
            </w:r>
          </w:p>
        </w:tc>
        <w:tc>
          <w:tcPr>
            <w:tcW w:w="1065" w:type="pct"/>
            <w:tcBorders>
              <w:tl2br w:val="nil"/>
              <w:tr2bl w:val="nil"/>
            </w:tcBorders>
            <w:shd w:val="clear" w:color="auto" w:fill="auto"/>
            <w:vAlign w:val="center"/>
          </w:tcPr>
          <w:p w14:paraId="4CC28966">
            <w:pPr>
              <w:spacing w:line="360" w:lineRule="exact"/>
              <w:jc w:val="center"/>
              <w:rPr>
                <w:rFonts w:hint="eastAsia" w:hAnsi="宋体"/>
                <w:sz w:val="22"/>
                <w:szCs w:val="22"/>
              </w:rPr>
            </w:pPr>
            <w:r>
              <w:rPr>
                <w:rFonts w:hint="eastAsia" w:hAnsi="宋体"/>
                <w:sz w:val="22"/>
                <w:szCs w:val="22"/>
              </w:rPr>
              <w:t>茶台</w:t>
            </w:r>
          </w:p>
        </w:tc>
        <w:tc>
          <w:tcPr>
            <w:tcW w:w="1719" w:type="pct"/>
            <w:tcBorders>
              <w:tl2br w:val="nil"/>
              <w:tr2bl w:val="nil"/>
            </w:tcBorders>
            <w:shd w:val="clear" w:color="auto" w:fill="auto"/>
            <w:vAlign w:val="center"/>
          </w:tcPr>
          <w:p w14:paraId="5E1DFCA6">
            <w:pPr>
              <w:spacing w:line="360" w:lineRule="exact"/>
              <w:jc w:val="center"/>
              <w:rPr>
                <w:rFonts w:hint="eastAsia" w:hAnsi="宋体"/>
                <w:sz w:val="22"/>
                <w:szCs w:val="22"/>
              </w:rPr>
            </w:pPr>
            <w:r>
              <w:rPr>
                <w:rFonts w:hint="eastAsia" w:hAnsi="宋体"/>
                <w:sz w:val="22"/>
                <w:szCs w:val="22"/>
              </w:rPr>
              <w:t>2200*800*750H</w:t>
            </w:r>
          </w:p>
        </w:tc>
        <w:tc>
          <w:tcPr>
            <w:tcW w:w="532" w:type="pct"/>
            <w:tcBorders>
              <w:tl2br w:val="nil"/>
              <w:tr2bl w:val="nil"/>
            </w:tcBorders>
            <w:shd w:val="clear" w:color="auto" w:fill="auto"/>
            <w:vAlign w:val="center"/>
          </w:tcPr>
          <w:p w14:paraId="3F724A0A">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1E8F4464">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93F733C">
            <w:pPr>
              <w:spacing w:line="360" w:lineRule="exact"/>
              <w:jc w:val="center"/>
              <w:rPr>
                <w:rFonts w:hint="eastAsia" w:hAnsi="宋体"/>
                <w:sz w:val="22"/>
                <w:szCs w:val="22"/>
              </w:rPr>
            </w:pPr>
            <w:r>
              <w:rPr>
                <w:rFonts w:hint="eastAsia" w:hAnsi="宋体"/>
                <w:sz w:val="22"/>
                <w:szCs w:val="22"/>
              </w:rPr>
              <w:t>拒绝进口</w:t>
            </w:r>
          </w:p>
        </w:tc>
      </w:tr>
      <w:tr w14:paraId="6A7D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0EA43519">
            <w:pPr>
              <w:spacing w:line="360" w:lineRule="exact"/>
              <w:jc w:val="center"/>
              <w:rPr>
                <w:rFonts w:hint="eastAsia" w:hAnsi="宋体"/>
                <w:sz w:val="22"/>
                <w:szCs w:val="22"/>
              </w:rPr>
            </w:pPr>
            <w:r>
              <w:rPr>
                <w:rFonts w:hint="eastAsia" w:hAnsi="宋体"/>
                <w:sz w:val="22"/>
                <w:szCs w:val="22"/>
              </w:rPr>
              <w:t>61</w:t>
            </w:r>
          </w:p>
        </w:tc>
        <w:tc>
          <w:tcPr>
            <w:tcW w:w="1065" w:type="pct"/>
            <w:tcBorders>
              <w:tl2br w:val="nil"/>
              <w:tr2bl w:val="nil"/>
            </w:tcBorders>
            <w:shd w:val="clear" w:color="auto" w:fill="auto"/>
            <w:vAlign w:val="center"/>
          </w:tcPr>
          <w:p w14:paraId="4C95A865">
            <w:pPr>
              <w:spacing w:line="360" w:lineRule="exact"/>
              <w:jc w:val="center"/>
              <w:rPr>
                <w:rFonts w:hint="eastAsia" w:hAnsi="宋体"/>
                <w:sz w:val="22"/>
                <w:szCs w:val="22"/>
              </w:rPr>
            </w:pPr>
            <w:r>
              <w:rPr>
                <w:rFonts w:hint="eastAsia" w:hAnsi="宋体"/>
                <w:sz w:val="22"/>
                <w:szCs w:val="22"/>
              </w:rPr>
              <w:t>主椅</w:t>
            </w:r>
          </w:p>
        </w:tc>
        <w:tc>
          <w:tcPr>
            <w:tcW w:w="1719" w:type="pct"/>
            <w:tcBorders>
              <w:tl2br w:val="nil"/>
              <w:tr2bl w:val="nil"/>
            </w:tcBorders>
            <w:shd w:val="clear" w:color="auto" w:fill="auto"/>
            <w:vAlign w:val="center"/>
          </w:tcPr>
          <w:p w14:paraId="2469F9E5">
            <w:pPr>
              <w:spacing w:line="360" w:lineRule="exact"/>
              <w:jc w:val="center"/>
              <w:rPr>
                <w:rFonts w:hint="eastAsia" w:hAnsi="宋体"/>
                <w:sz w:val="22"/>
                <w:szCs w:val="22"/>
              </w:rPr>
            </w:pPr>
            <w:r>
              <w:rPr>
                <w:rFonts w:hint="eastAsia" w:hAnsi="宋体"/>
                <w:sz w:val="22"/>
                <w:szCs w:val="22"/>
              </w:rPr>
              <w:t>700*600*800</w:t>
            </w:r>
          </w:p>
        </w:tc>
        <w:tc>
          <w:tcPr>
            <w:tcW w:w="532" w:type="pct"/>
            <w:tcBorders>
              <w:tl2br w:val="nil"/>
              <w:tr2bl w:val="nil"/>
            </w:tcBorders>
            <w:shd w:val="clear" w:color="auto" w:fill="auto"/>
            <w:vAlign w:val="center"/>
          </w:tcPr>
          <w:p w14:paraId="10A47972">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10D3C72F">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78D1577">
            <w:pPr>
              <w:spacing w:line="360" w:lineRule="exact"/>
              <w:jc w:val="center"/>
              <w:rPr>
                <w:rFonts w:hint="eastAsia" w:hAnsi="宋体"/>
                <w:sz w:val="22"/>
                <w:szCs w:val="22"/>
              </w:rPr>
            </w:pPr>
            <w:r>
              <w:rPr>
                <w:rFonts w:hint="eastAsia" w:hAnsi="宋体"/>
                <w:sz w:val="22"/>
                <w:szCs w:val="22"/>
              </w:rPr>
              <w:t>拒绝进口</w:t>
            </w:r>
          </w:p>
        </w:tc>
      </w:tr>
      <w:tr w14:paraId="42CA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628CEA32">
            <w:pPr>
              <w:spacing w:line="360" w:lineRule="exact"/>
              <w:jc w:val="center"/>
              <w:rPr>
                <w:rFonts w:hint="eastAsia" w:hAnsi="宋体"/>
                <w:sz w:val="22"/>
                <w:szCs w:val="22"/>
              </w:rPr>
            </w:pPr>
            <w:r>
              <w:rPr>
                <w:rFonts w:hint="eastAsia" w:hAnsi="宋体"/>
                <w:sz w:val="22"/>
                <w:szCs w:val="22"/>
              </w:rPr>
              <w:t>62</w:t>
            </w:r>
          </w:p>
        </w:tc>
        <w:tc>
          <w:tcPr>
            <w:tcW w:w="1065" w:type="pct"/>
            <w:tcBorders>
              <w:tl2br w:val="nil"/>
              <w:tr2bl w:val="nil"/>
            </w:tcBorders>
            <w:shd w:val="clear" w:color="auto" w:fill="auto"/>
            <w:vAlign w:val="center"/>
          </w:tcPr>
          <w:p w14:paraId="53016398">
            <w:pPr>
              <w:spacing w:line="360" w:lineRule="exact"/>
              <w:jc w:val="center"/>
              <w:rPr>
                <w:rFonts w:hint="eastAsia" w:hAnsi="宋体"/>
                <w:sz w:val="22"/>
                <w:szCs w:val="22"/>
              </w:rPr>
            </w:pPr>
            <w:r>
              <w:rPr>
                <w:rFonts w:hint="eastAsia" w:hAnsi="宋体"/>
                <w:sz w:val="22"/>
                <w:szCs w:val="22"/>
              </w:rPr>
              <w:t>客椅</w:t>
            </w:r>
          </w:p>
        </w:tc>
        <w:tc>
          <w:tcPr>
            <w:tcW w:w="1719" w:type="pct"/>
            <w:tcBorders>
              <w:tl2br w:val="nil"/>
              <w:tr2bl w:val="nil"/>
            </w:tcBorders>
            <w:shd w:val="clear" w:color="auto" w:fill="auto"/>
            <w:vAlign w:val="center"/>
          </w:tcPr>
          <w:p w14:paraId="7756997A">
            <w:pPr>
              <w:spacing w:line="360" w:lineRule="exact"/>
              <w:jc w:val="center"/>
              <w:rPr>
                <w:rFonts w:hint="eastAsia" w:hAnsi="宋体"/>
                <w:sz w:val="22"/>
                <w:szCs w:val="22"/>
              </w:rPr>
            </w:pPr>
            <w:r>
              <w:rPr>
                <w:rFonts w:hint="eastAsia" w:hAnsi="宋体"/>
                <w:sz w:val="22"/>
                <w:szCs w:val="22"/>
              </w:rPr>
              <w:t>580*600*720</w:t>
            </w:r>
          </w:p>
        </w:tc>
        <w:tc>
          <w:tcPr>
            <w:tcW w:w="532" w:type="pct"/>
            <w:tcBorders>
              <w:tl2br w:val="nil"/>
              <w:tr2bl w:val="nil"/>
            </w:tcBorders>
            <w:shd w:val="clear" w:color="auto" w:fill="auto"/>
            <w:vAlign w:val="center"/>
          </w:tcPr>
          <w:p w14:paraId="504AE6AA">
            <w:pPr>
              <w:spacing w:line="360" w:lineRule="exact"/>
              <w:jc w:val="center"/>
              <w:rPr>
                <w:rFonts w:hint="eastAsia" w:hAnsi="宋体"/>
                <w:sz w:val="22"/>
                <w:szCs w:val="22"/>
              </w:rPr>
            </w:pPr>
            <w:r>
              <w:rPr>
                <w:rFonts w:hint="eastAsia" w:hAnsi="宋体"/>
                <w:sz w:val="22"/>
                <w:szCs w:val="22"/>
              </w:rPr>
              <w:t>3</w:t>
            </w:r>
          </w:p>
        </w:tc>
        <w:tc>
          <w:tcPr>
            <w:tcW w:w="532" w:type="pct"/>
            <w:tcBorders>
              <w:tl2br w:val="nil"/>
              <w:tr2bl w:val="nil"/>
            </w:tcBorders>
            <w:shd w:val="clear" w:color="auto" w:fill="auto"/>
            <w:vAlign w:val="center"/>
          </w:tcPr>
          <w:p w14:paraId="647FDFA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18B3BF9E">
            <w:pPr>
              <w:spacing w:line="360" w:lineRule="exact"/>
              <w:jc w:val="center"/>
              <w:rPr>
                <w:rFonts w:hint="eastAsia" w:hAnsi="宋体"/>
                <w:sz w:val="22"/>
                <w:szCs w:val="22"/>
              </w:rPr>
            </w:pPr>
            <w:r>
              <w:rPr>
                <w:rFonts w:hint="eastAsia" w:hAnsi="宋体"/>
                <w:sz w:val="22"/>
                <w:szCs w:val="22"/>
              </w:rPr>
              <w:t>拒绝进口</w:t>
            </w:r>
          </w:p>
        </w:tc>
      </w:tr>
      <w:tr w14:paraId="0623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C470650">
            <w:pPr>
              <w:spacing w:line="360" w:lineRule="exact"/>
              <w:jc w:val="center"/>
              <w:rPr>
                <w:rFonts w:hint="eastAsia" w:hAnsi="宋体"/>
                <w:sz w:val="22"/>
                <w:szCs w:val="22"/>
              </w:rPr>
            </w:pPr>
            <w:r>
              <w:rPr>
                <w:rFonts w:hint="eastAsia" w:hAnsi="宋体"/>
                <w:sz w:val="22"/>
                <w:szCs w:val="22"/>
              </w:rPr>
              <w:t>63</w:t>
            </w:r>
          </w:p>
        </w:tc>
        <w:tc>
          <w:tcPr>
            <w:tcW w:w="1065" w:type="pct"/>
            <w:tcBorders>
              <w:tl2br w:val="nil"/>
              <w:tr2bl w:val="nil"/>
            </w:tcBorders>
            <w:shd w:val="clear" w:color="auto" w:fill="auto"/>
            <w:vAlign w:val="center"/>
          </w:tcPr>
          <w:p w14:paraId="4BCA2C04">
            <w:pPr>
              <w:spacing w:line="360" w:lineRule="exact"/>
              <w:jc w:val="center"/>
              <w:rPr>
                <w:rFonts w:hint="eastAsia" w:hAnsi="宋体"/>
                <w:sz w:val="22"/>
                <w:szCs w:val="22"/>
              </w:rPr>
            </w:pPr>
            <w:r>
              <w:rPr>
                <w:rFonts w:hint="eastAsia" w:hAnsi="宋体"/>
                <w:sz w:val="22"/>
                <w:szCs w:val="22"/>
              </w:rPr>
              <w:t>三位沙发</w:t>
            </w:r>
          </w:p>
        </w:tc>
        <w:tc>
          <w:tcPr>
            <w:tcW w:w="1719" w:type="pct"/>
            <w:tcBorders>
              <w:tl2br w:val="nil"/>
              <w:tr2bl w:val="nil"/>
            </w:tcBorders>
            <w:shd w:val="clear" w:color="auto" w:fill="auto"/>
            <w:vAlign w:val="center"/>
          </w:tcPr>
          <w:p w14:paraId="26076029">
            <w:pPr>
              <w:spacing w:line="360" w:lineRule="exact"/>
              <w:jc w:val="center"/>
              <w:rPr>
                <w:rFonts w:hint="eastAsia" w:hAnsi="宋体"/>
                <w:sz w:val="22"/>
                <w:szCs w:val="22"/>
              </w:rPr>
            </w:pPr>
            <w:r>
              <w:rPr>
                <w:rFonts w:hint="eastAsia" w:hAnsi="宋体"/>
                <w:sz w:val="22"/>
                <w:szCs w:val="22"/>
              </w:rPr>
              <w:t>2220*890*750</w:t>
            </w:r>
          </w:p>
        </w:tc>
        <w:tc>
          <w:tcPr>
            <w:tcW w:w="532" w:type="pct"/>
            <w:tcBorders>
              <w:tl2br w:val="nil"/>
              <w:tr2bl w:val="nil"/>
            </w:tcBorders>
            <w:shd w:val="clear" w:color="auto" w:fill="auto"/>
            <w:vAlign w:val="center"/>
          </w:tcPr>
          <w:p w14:paraId="0400BC0C">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2B3ABFD9">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7DEB71C">
            <w:pPr>
              <w:spacing w:line="360" w:lineRule="exact"/>
              <w:jc w:val="center"/>
              <w:rPr>
                <w:rFonts w:hint="eastAsia" w:hAnsi="宋体"/>
                <w:sz w:val="22"/>
                <w:szCs w:val="22"/>
              </w:rPr>
            </w:pPr>
            <w:r>
              <w:rPr>
                <w:rFonts w:hint="eastAsia" w:hAnsi="宋体"/>
                <w:sz w:val="22"/>
                <w:szCs w:val="22"/>
              </w:rPr>
              <w:t>拒绝进口</w:t>
            </w:r>
          </w:p>
        </w:tc>
      </w:tr>
      <w:tr w14:paraId="122D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17424657">
            <w:pPr>
              <w:spacing w:line="360" w:lineRule="exact"/>
              <w:jc w:val="center"/>
              <w:rPr>
                <w:rFonts w:hint="eastAsia" w:hAnsi="宋体"/>
                <w:sz w:val="22"/>
                <w:szCs w:val="22"/>
              </w:rPr>
            </w:pPr>
            <w:r>
              <w:rPr>
                <w:rFonts w:hint="eastAsia" w:hAnsi="宋体"/>
                <w:sz w:val="22"/>
                <w:szCs w:val="22"/>
              </w:rPr>
              <w:t>64</w:t>
            </w:r>
          </w:p>
        </w:tc>
        <w:tc>
          <w:tcPr>
            <w:tcW w:w="1065" w:type="pct"/>
            <w:tcBorders>
              <w:tl2br w:val="nil"/>
              <w:tr2bl w:val="nil"/>
            </w:tcBorders>
            <w:shd w:val="clear" w:color="auto" w:fill="auto"/>
            <w:vAlign w:val="center"/>
          </w:tcPr>
          <w:p w14:paraId="6491375E">
            <w:pPr>
              <w:spacing w:line="360" w:lineRule="exact"/>
              <w:jc w:val="center"/>
              <w:rPr>
                <w:rFonts w:hint="eastAsia" w:hAnsi="宋体"/>
                <w:sz w:val="22"/>
                <w:szCs w:val="22"/>
              </w:rPr>
            </w:pPr>
            <w:r>
              <w:rPr>
                <w:rFonts w:hint="eastAsia" w:hAnsi="宋体"/>
                <w:sz w:val="22"/>
                <w:szCs w:val="22"/>
              </w:rPr>
              <w:t>单位沙发</w:t>
            </w:r>
          </w:p>
        </w:tc>
        <w:tc>
          <w:tcPr>
            <w:tcW w:w="1719" w:type="pct"/>
            <w:tcBorders>
              <w:tl2br w:val="nil"/>
              <w:tr2bl w:val="nil"/>
            </w:tcBorders>
            <w:shd w:val="clear" w:color="auto" w:fill="auto"/>
            <w:vAlign w:val="center"/>
          </w:tcPr>
          <w:p w14:paraId="32060118">
            <w:pPr>
              <w:spacing w:line="360" w:lineRule="exact"/>
              <w:jc w:val="center"/>
              <w:rPr>
                <w:rFonts w:hint="eastAsia" w:hAnsi="宋体"/>
                <w:sz w:val="22"/>
                <w:szCs w:val="22"/>
              </w:rPr>
            </w:pPr>
            <w:r>
              <w:rPr>
                <w:rFonts w:hint="eastAsia" w:hAnsi="宋体"/>
                <w:sz w:val="22"/>
                <w:szCs w:val="22"/>
              </w:rPr>
              <w:t>920*890*750</w:t>
            </w:r>
          </w:p>
        </w:tc>
        <w:tc>
          <w:tcPr>
            <w:tcW w:w="532" w:type="pct"/>
            <w:tcBorders>
              <w:tl2br w:val="nil"/>
              <w:tr2bl w:val="nil"/>
            </w:tcBorders>
            <w:shd w:val="clear" w:color="auto" w:fill="auto"/>
            <w:vAlign w:val="center"/>
          </w:tcPr>
          <w:p w14:paraId="2B64B76F">
            <w:pPr>
              <w:spacing w:line="360" w:lineRule="exact"/>
              <w:jc w:val="center"/>
              <w:rPr>
                <w:rFonts w:hint="eastAsia" w:hAnsi="宋体"/>
                <w:sz w:val="22"/>
                <w:szCs w:val="22"/>
              </w:rPr>
            </w:pPr>
            <w:r>
              <w:rPr>
                <w:rFonts w:hint="eastAsia" w:hAnsi="宋体"/>
                <w:sz w:val="22"/>
                <w:szCs w:val="22"/>
              </w:rPr>
              <w:t>2</w:t>
            </w:r>
          </w:p>
        </w:tc>
        <w:tc>
          <w:tcPr>
            <w:tcW w:w="532" w:type="pct"/>
            <w:tcBorders>
              <w:tl2br w:val="nil"/>
              <w:tr2bl w:val="nil"/>
            </w:tcBorders>
            <w:shd w:val="clear" w:color="auto" w:fill="auto"/>
            <w:vAlign w:val="center"/>
          </w:tcPr>
          <w:p w14:paraId="51DDDC43">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4757E65C">
            <w:pPr>
              <w:spacing w:line="360" w:lineRule="exact"/>
              <w:jc w:val="center"/>
              <w:rPr>
                <w:rFonts w:hint="eastAsia" w:hAnsi="宋体"/>
                <w:sz w:val="22"/>
                <w:szCs w:val="22"/>
              </w:rPr>
            </w:pPr>
            <w:r>
              <w:rPr>
                <w:rFonts w:hint="eastAsia" w:hAnsi="宋体"/>
                <w:sz w:val="22"/>
                <w:szCs w:val="22"/>
              </w:rPr>
              <w:t>拒绝进口</w:t>
            </w:r>
          </w:p>
        </w:tc>
      </w:tr>
      <w:tr w14:paraId="01533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683566A0">
            <w:pPr>
              <w:spacing w:line="360" w:lineRule="exact"/>
              <w:jc w:val="center"/>
              <w:rPr>
                <w:rFonts w:hint="eastAsia" w:hAnsi="宋体"/>
                <w:sz w:val="22"/>
                <w:szCs w:val="22"/>
              </w:rPr>
            </w:pPr>
            <w:r>
              <w:rPr>
                <w:rFonts w:hint="eastAsia" w:hAnsi="宋体"/>
                <w:sz w:val="22"/>
                <w:szCs w:val="22"/>
              </w:rPr>
              <w:t>65</w:t>
            </w:r>
          </w:p>
        </w:tc>
        <w:tc>
          <w:tcPr>
            <w:tcW w:w="1065" w:type="pct"/>
            <w:tcBorders>
              <w:tl2br w:val="nil"/>
              <w:tr2bl w:val="nil"/>
            </w:tcBorders>
            <w:shd w:val="clear" w:color="auto" w:fill="auto"/>
            <w:vAlign w:val="center"/>
          </w:tcPr>
          <w:p w14:paraId="63AEF884">
            <w:pPr>
              <w:spacing w:line="360" w:lineRule="exact"/>
              <w:jc w:val="center"/>
              <w:rPr>
                <w:rFonts w:hint="eastAsia" w:hAnsi="宋体"/>
                <w:sz w:val="22"/>
                <w:szCs w:val="22"/>
              </w:rPr>
            </w:pPr>
            <w:r>
              <w:rPr>
                <w:rFonts w:hint="eastAsia" w:hAnsi="宋体"/>
                <w:sz w:val="22"/>
                <w:szCs w:val="22"/>
              </w:rPr>
              <w:t>茶几</w:t>
            </w:r>
          </w:p>
        </w:tc>
        <w:tc>
          <w:tcPr>
            <w:tcW w:w="1719" w:type="pct"/>
            <w:tcBorders>
              <w:tl2br w:val="nil"/>
              <w:tr2bl w:val="nil"/>
            </w:tcBorders>
            <w:shd w:val="clear" w:color="auto" w:fill="auto"/>
            <w:vAlign w:val="center"/>
          </w:tcPr>
          <w:p w14:paraId="4A80CB7A">
            <w:pPr>
              <w:spacing w:line="360" w:lineRule="exact"/>
              <w:jc w:val="center"/>
              <w:rPr>
                <w:rFonts w:hint="eastAsia" w:hAnsi="宋体"/>
                <w:sz w:val="22"/>
                <w:szCs w:val="22"/>
              </w:rPr>
            </w:pPr>
            <w:r>
              <w:rPr>
                <w:rFonts w:hint="eastAsia" w:hAnsi="宋体"/>
                <w:sz w:val="22"/>
                <w:szCs w:val="22"/>
              </w:rPr>
              <w:t>1200*700*450</w:t>
            </w:r>
          </w:p>
        </w:tc>
        <w:tc>
          <w:tcPr>
            <w:tcW w:w="532" w:type="pct"/>
            <w:tcBorders>
              <w:tl2br w:val="nil"/>
              <w:tr2bl w:val="nil"/>
            </w:tcBorders>
            <w:shd w:val="clear" w:color="auto" w:fill="auto"/>
            <w:vAlign w:val="center"/>
          </w:tcPr>
          <w:p w14:paraId="4A0AD3E6">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1C6FEA76">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0C82646C">
            <w:pPr>
              <w:spacing w:line="360" w:lineRule="exact"/>
              <w:jc w:val="center"/>
              <w:rPr>
                <w:rFonts w:hint="eastAsia" w:hAnsi="宋体"/>
                <w:sz w:val="22"/>
                <w:szCs w:val="22"/>
              </w:rPr>
            </w:pPr>
            <w:r>
              <w:rPr>
                <w:rFonts w:hint="eastAsia" w:hAnsi="宋体"/>
                <w:sz w:val="22"/>
                <w:szCs w:val="22"/>
              </w:rPr>
              <w:t>拒绝进口</w:t>
            </w:r>
          </w:p>
        </w:tc>
      </w:tr>
      <w:tr w14:paraId="770D6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7038B7DB">
            <w:pPr>
              <w:spacing w:line="360" w:lineRule="exact"/>
              <w:jc w:val="center"/>
              <w:rPr>
                <w:rFonts w:hint="eastAsia" w:hAnsi="宋体"/>
                <w:sz w:val="22"/>
                <w:szCs w:val="22"/>
              </w:rPr>
            </w:pPr>
            <w:r>
              <w:rPr>
                <w:rFonts w:hint="eastAsia" w:hAnsi="宋体"/>
                <w:sz w:val="22"/>
                <w:szCs w:val="22"/>
              </w:rPr>
              <w:t>66</w:t>
            </w:r>
          </w:p>
        </w:tc>
        <w:tc>
          <w:tcPr>
            <w:tcW w:w="1065" w:type="pct"/>
            <w:tcBorders>
              <w:tl2br w:val="nil"/>
              <w:tr2bl w:val="nil"/>
            </w:tcBorders>
            <w:shd w:val="clear" w:color="auto" w:fill="auto"/>
            <w:vAlign w:val="center"/>
          </w:tcPr>
          <w:p w14:paraId="4AF24186">
            <w:pPr>
              <w:spacing w:line="360" w:lineRule="exact"/>
              <w:jc w:val="center"/>
              <w:rPr>
                <w:rFonts w:hint="eastAsia" w:hAnsi="宋体"/>
                <w:sz w:val="22"/>
                <w:szCs w:val="22"/>
              </w:rPr>
            </w:pPr>
            <w:r>
              <w:rPr>
                <w:rFonts w:hint="eastAsia" w:hAnsi="宋体"/>
                <w:sz w:val="22"/>
                <w:szCs w:val="22"/>
              </w:rPr>
              <w:t>会议桌</w:t>
            </w:r>
          </w:p>
        </w:tc>
        <w:tc>
          <w:tcPr>
            <w:tcW w:w="1719" w:type="pct"/>
            <w:tcBorders>
              <w:tl2br w:val="nil"/>
              <w:tr2bl w:val="nil"/>
            </w:tcBorders>
            <w:shd w:val="clear" w:color="auto" w:fill="auto"/>
            <w:vAlign w:val="center"/>
          </w:tcPr>
          <w:p w14:paraId="4AC88586">
            <w:pPr>
              <w:spacing w:line="360" w:lineRule="exact"/>
              <w:jc w:val="center"/>
              <w:rPr>
                <w:rFonts w:hint="eastAsia" w:hAnsi="宋体"/>
                <w:sz w:val="22"/>
                <w:szCs w:val="22"/>
              </w:rPr>
            </w:pPr>
            <w:r>
              <w:rPr>
                <w:rFonts w:hint="eastAsia" w:hAnsi="宋体"/>
                <w:sz w:val="22"/>
                <w:szCs w:val="22"/>
              </w:rPr>
              <w:t>9600*1800*750</w:t>
            </w:r>
          </w:p>
        </w:tc>
        <w:tc>
          <w:tcPr>
            <w:tcW w:w="532" w:type="pct"/>
            <w:tcBorders>
              <w:tl2br w:val="nil"/>
              <w:tr2bl w:val="nil"/>
            </w:tcBorders>
            <w:shd w:val="clear" w:color="auto" w:fill="auto"/>
            <w:vAlign w:val="center"/>
          </w:tcPr>
          <w:p w14:paraId="09B74957">
            <w:pPr>
              <w:spacing w:line="360" w:lineRule="exact"/>
              <w:jc w:val="center"/>
              <w:rPr>
                <w:rFonts w:hint="eastAsia" w:hAnsi="宋体"/>
                <w:sz w:val="22"/>
                <w:szCs w:val="22"/>
              </w:rPr>
            </w:pPr>
            <w:r>
              <w:rPr>
                <w:rFonts w:hint="eastAsia" w:hAnsi="宋体"/>
                <w:sz w:val="22"/>
                <w:szCs w:val="22"/>
              </w:rPr>
              <w:t>1</w:t>
            </w:r>
          </w:p>
        </w:tc>
        <w:tc>
          <w:tcPr>
            <w:tcW w:w="532" w:type="pct"/>
            <w:tcBorders>
              <w:tl2br w:val="nil"/>
              <w:tr2bl w:val="nil"/>
            </w:tcBorders>
            <w:shd w:val="clear" w:color="auto" w:fill="auto"/>
            <w:vAlign w:val="center"/>
          </w:tcPr>
          <w:p w14:paraId="5785320C">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2BDDCCFA">
            <w:pPr>
              <w:spacing w:line="360" w:lineRule="exact"/>
              <w:jc w:val="center"/>
              <w:rPr>
                <w:rFonts w:hint="eastAsia" w:hAnsi="宋体"/>
                <w:sz w:val="22"/>
                <w:szCs w:val="22"/>
              </w:rPr>
            </w:pPr>
            <w:r>
              <w:rPr>
                <w:rFonts w:hint="eastAsia" w:hAnsi="宋体"/>
                <w:sz w:val="22"/>
                <w:szCs w:val="22"/>
              </w:rPr>
              <w:t>拒绝进口</w:t>
            </w:r>
          </w:p>
        </w:tc>
      </w:tr>
      <w:tr w14:paraId="2901B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60" w:type="pct"/>
            <w:tcBorders>
              <w:tl2br w:val="nil"/>
              <w:tr2bl w:val="nil"/>
            </w:tcBorders>
            <w:shd w:val="clear" w:color="auto" w:fill="auto"/>
            <w:vAlign w:val="center"/>
          </w:tcPr>
          <w:p w14:paraId="58EBE29E">
            <w:pPr>
              <w:spacing w:line="360" w:lineRule="exact"/>
              <w:jc w:val="center"/>
              <w:rPr>
                <w:rFonts w:hint="eastAsia" w:hAnsi="宋体"/>
                <w:sz w:val="22"/>
                <w:szCs w:val="22"/>
              </w:rPr>
            </w:pPr>
            <w:r>
              <w:rPr>
                <w:rFonts w:hint="eastAsia" w:hAnsi="宋体"/>
                <w:sz w:val="22"/>
                <w:szCs w:val="22"/>
              </w:rPr>
              <w:t>67</w:t>
            </w:r>
          </w:p>
        </w:tc>
        <w:tc>
          <w:tcPr>
            <w:tcW w:w="1065" w:type="pct"/>
            <w:tcBorders>
              <w:tl2br w:val="nil"/>
              <w:tr2bl w:val="nil"/>
            </w:tcBorders>
            <w:shd w:val="clear" w:color="auto" w:fill="auto"/>
            <w:vAlign w:val="center"/>
          </w:tcPr>
          <w:p w14:paraId="6C61AC06">
            <w:pPr>
              <w:spacing w:line="360" w:lineRule="exact"/>
              <w:jc w:val="center"/>
              <w:rPr>
                <w:rFonts w:hint="eastAsia" w:hAnsi="宋体"/>
                <w:sz w:val="22"/>
                <w:szCs w:val="22"/>
              </w:rPr>
            </w:pPr>
            <w:r>
              <w:rPr>
                <w:rFonts w:hint="eastAsia" w:hAnsi="宋体"/>
                <w:sz w:val="22"/>
                <w:szCs w:val="22"/>
              </w:rPr>
              <w:t>会议椅</w:t>
            </w:r>
          </w:p>
        </w:tc>
        <w:tc>
          <w:tcPr>
            <w:tcW w:w="1719" w:type="pct"/>
            <w:tcBorders>
              <w:tl2br w:val="nil"/>
              <w:tr2bl w:val="nil"/>
            </w:tcBorders>
            <w:shd w:val="clear" w:color="auto" w:fill="auto"/>
            <w:vAlign w:val="center"/>
          </w:tcPr>
          <w:p w14:paraId="7A116035">
            <w:pPr>
              <w:spacing w:line="360" w:lineRule="exact"/>
              <w:jc w:val="center"/>
              <w:rPr>
                <w:rFonts w:hint="eastAsia" w:hAnsi="宋体"/>
                <w:sz w:val="22"/>
                <w:szCs w:val="22"/>
              </w:rPr>
            </w:pPr>
            <w:r>
              <w:rPr>
                <w:rFonts w:hint="eastAsia" w:hAnsi="宋体"/>
                <w:sz w:val="22"/>
                <w:szCs w:val="22"/>
              </w:rPr>
              <w:t>常规</w:t>
            </w:r>
          </w:p>
        </w:tc>
        <w:tc>
          <w:tcPr>
            <w:tcW w:w="532" w:type="pct"/>
            <w:tcBorders>
              <w:tl2br w:val="nil"/>
              <w:tr2bl w:val="nil"/>
            </w:tcBorders>
            <w:shd w:val="clear" w:color="auto" w:fill="auto"/>
            <w:vAlign w:val="center"/>
          </w:tcPr>
          <w:p w14:paraId="07A4BF2D">
            <w:pPr>
              <w:spacing w:line="360" w:lineRule="exact"/>
              <w:jc w:val="center"/>
              <w:rPr>
                <w:rFonts w:hint="eastAsia" w:hAnsi="宋体"/>
                <w:sz w:val="22"/>
                <w:szCs w:val="22"/>
              </w:rPr>
            </w:pPr>
            <w:r>
              <w:rPr>
                <w:rFonts w:hint="eastAsia" w:hAnsi="宋体"/>
                <w:sz w:val="22"/>
                <w:szCs w:val="22"/>
              </w:rPr>
              <w:t>16</w:t>
            </w:r>
          </w:p>
        </w:tc>
        <w:tc>
          <w:tcPr>
            <w:tcW w:w="532" w:type="pct"/>
            <w:tcBorders>
              <w:tl2br w:val="nil"/>
              <w:tr2bl w:val="nil"/>
            </w:tcBorders>
            <w:shd w:val="clear" w:color="auto" w:fill="auto"/>
            <w:vAlign w:val="center"/>
          </w:tcPr>
          <w:p w14:paraId="5646E6CE">
            <w:pPr>
              <w:spacing w:line="360" w:lineRule="exact"/>
              <w:jc w:val="center"/>
              <w:rPr>
                <w:rFonts w:hint="eastAsia" w:hAnsi="宋体"/>
                <w:sz w:val="22"/>
                <w:szCs w:val="22"/>
              </w:rPr>
            </w:pPr>
            <w:r>
              <w:rPr>
                <w:rFonts w:hint="eastAsia" w:hAnsi="宋体"/>
                <w:sz w:val="22"/>
                <w:szCs w:val="22"/>
              </w:rPr>
              <w:t>件</w:t>
            </w:r>
          </w:p>
        </w:tc>
        <w:tc>
          <w:tcPr>
            <w:tcW w:w="690" w:type="pct"/>
            <w:tcBorders>
              <w:tl2br w:val="nil"/>
              <w:tr2bl w:val="nil"/>
            </w:tcBorders>
            <w:shd w:val="clear" w:color="auto" w:fill="auto"/>
            <w:noWrap/>
            <w:vAlign w:val="center"/>
          </w:tcPr>
          <w:p w14:paraId="79115548">
            <w:pPr>
              <w:spacing w:line="360" w:lineRule="exact"/>
              <w:jc w:val="center"/>
              <w:rPr>
                <w:rFonts w:hint="eastAsia" w:hAnsi="宋体"/>
                <w:sz w:val="22"/>
                <w:szCs w:val="22"/>
              </w:rPr>
            </w:pPr>
            <w:r>
              <w:rPr>
                <w:rFonts w:hint="eastAsia" w:hAnsi="宋体"/>
                <w:sz w:val="22"/>
                <w:szCs w:val="22"/>
              </w:rPr>
              <w:t>拒绝进口</w:t>
            </w:r>
          </w:p>
        </w:tc>
      </w:tr>
    </w:tbl>
    <w:p w14:paraId="41486C76">
      <w:pPr>
        <w:spacing w:line="360" w:lineRule="exact"/>
        <w:rPr>
          <w:rFonts w:hint="eastAsia" w:cs="楷体" w:asciiTheme="minorEastAsia" w:hAnsiTheme="minorEastAsia" w:eastAsiaTheme="minorEastAsia"/>
          <w:b/>
          <w:sz w:val="22"/>
          <w:szCs w:val="22"/>
        </w:rPr>
      </w:pPr>
      <w:r>
        <w:rPr>
          <w:rFonts w:hint="eastAsia" w:cs="楷体" w:asciiTheme="minorEastAsia" w:hAnsiTheme="minorEastAsia" w:eastAsiaTheme="minorEastAsia"/>
          <w:b/>
          <w:sz w:val="22"/>
          <w:szCs w:val="22"/>
        </w:rPr>
        <w:t>本项目核心产品为：</w:t>
      </w:r>
      <w:r>
        <w:rPr>
          <w:rFonts w:hint="eastAsia" w:cs="楷体" w:asciiTheme="minorEastAsia" w:hAnsiTheme="minorEastAsia" w:eastAsiaTheme="minorEastAsia"/>
          <w:b/>
          <w:sz w:val="22"/>
          <w:szCs w:val="22"/>
          <w:u w:val="single"/>
        </w:rPr>
        <w:t xml:space="preserve"> </w:t>
      </w:r>
      <w:r>
        <w:rPr>
          <w:rFonts w:hint="eastAsia" w:hAnsi="宋体"/>
          <w:b/>
          <w:bCs/>
          <w:sz w:val="22"/>
          <w:szCs w:val="22"/>
          <w:u w:val="single"/>
        </w:rPr>
        <w:t>上下铺</w:t>
      </w:r>
      <w:r>
        <w:rPr>
          <w:rFonts w:hint="eastAsia" w:cs="楷体" w:asciiTheme="minorEastAsia" w:hAnsiTheme="minorEastAsia" w:eastAsiaTheme="minorEastAsia"/>
          <w:b/>
          <w:sz w:val="22"/>
          <w:szCs w:val="22"/>
          <w:u w:val="single"/>
        </w:rPr>
        <w:t xml:space="preserve"> </w:t>
      </w:r>
      <w:r>
        <w:rPr>
          <w:rFonts w:hint="eastAsia" w:cs="楷体" w:asciiTheme="minorEastAsia" w:hAnsiTheme="minorEastAsia" w:eastAsiaTheme="minorEastAsia"/>
          <w:b/>
          <w:sz w:val="22"/>
          <w:szCs w:val="22"/>
        </w:rPr>
        <w:t>。</w:t>
      </w:r>
    </w:p>
    <w:p w14:paraId="1275BC64">
      <w:pPr>
        <w:pStyle w:val="4"/>
        <w:numPr>
          <w:ilvl w:val="0"/>
          <w:numId w:val="0"/>
        </w:numPr>
        <w:jc w:val="center"/>
        <w:rPr>
          <w:sz w:val="24"/>
        </w:rPr>
      </w:pPr>
    </w:p>
    <w:p w14:paraId="49C913C8">
      <w:pPr>
        <w:pStyle w:val="4"/>
        <w:numPr>
          <w:ilvl w:val="0"/>
          <w:numId w:val="0"/>
        </w:numPr>
        <w:jc w:val="center"/>
        <w:rPr>
          <w:sz w:val="24"/>
        </w:rPr>
      </w:pPr>
      <w:bookmarkStart w:id="33" w:name="_Toc31235"/>
      <w:r>
        <w:rPr>
          <w:rFonts w:hint="eastAsia"/>
          <w:sz w:val="24"/>
        </w:rPr>
        <w:t>二、实质性响应条款</w:t>
      </w:r>
      <w:bookmarkEnd w:id="27"/>
      <w:bookmarkEnd w:id="28"/>
      <w:bookmarkEnd w:id="32"/>
      <w:bookmarkEnd w:id="33"/>
    </w:p>
    <w:bookmarkEnd w:id="29"/>
    <w:bookmarkEnd w:id="30"/>
    <w:bookmarkEnd w:id="31"/>
    <w:tbl>
      <w:tblPr>
        <w:tblStyle w:val="8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8303"/>
      </w:tblGrid>
      <w:tr w14:paraId="1E015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pct"/>
            <w:vAlign w:val="center"/>
          </w:tcPr>
          <w:p w14:paraId="4208B620">
            <w:pPr>
              <w:adjustRightInd/>
              <w:snapToGrid/>
              <w:spacing w:line="360" w:lineRule="exact"/>
              <w:jc w:val="center"/>
              <w:rPr>
                <w:rFonts w:hint="eastAsia" w:hAnsi="宋体"/>
                <w:sz w:val="22"/>
                <w:szCs w:val="22"/>
              </w:rPr>
            </w:pPr>
            <w:bookmarkStart w:id="34" w:name="_Toc530152519"/>
            <w:r>
              <w:rPr>
                <w:rFonts w:hint="eastAsia" w:hAnsi="宋体"/>
                <w:sz w:val="22"/>
                <w:szCs w:val="22"/>
              </w:rPr>
              <w:t>序号</w:t>
            </w:r>
          </w:p>
        </w:tc>
        <w:tc>
          <w:tcPr>
            <w:tcW w:w="4570" w:type="pct"/>
            <w:vAlign w:val="center"/>
          </w:tcPr>
          <w:p w14:paraId="633FB4A0">
            <w:pPr>
              <w:adjustRightInd/>
              <w:snapToGrid/>
              <w:spacing w:line="360" w:lineRule="exact"/>
              <w:jc w:val="center"/>
              <w:rPr>
                <w:rFonts w:hint="eastAsia" w:hAnsi="宋体"/>
                <w:sz w:val="22"/>
                <w:szCs w:val="22"/>
              </w:rPr>
            </w:pPr>
            <w:r>
              <w:rPr>
                <w:rFonts w:hint="eastAsia" w:hAnsi="宋体"/>
                <w:sz w:val="22"/>
                <w:szCs w:val="22"/>
              </w:rPr>
              <w:t>具体内容</w:t>
            </w:r>
          </w:p>
        </w:tc>
      </w:tr>
      <w:tr w14:paraId="01013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29" w:type="pct"/>
            <w:vAlign w:val="center"/>
          </w:tcPr>
          <w:p w14:paraId="3486F9F5">
            <w:pPr>
              <w:adjustRightInd/>
              <w:snapToGrid/>
              <w:spacing w:line="360" w:lineRule="exact"/>
              <w:jc w:val="center"/>
              <w:rPr>
                <w:rFonts w:hint="eastAsia" w:hAnsi="宋体"/>
                <w:sz w:val="22"/>
                <w:szCs w:val="22"/>
              </w:rPr>
            </w:pPr>
            <w:r>
              <w:rPr>
                <w:rFonts w:hint="eastAsia" w:hAnsi="宋体"/>
                <w:sz w:val="22"/>
                <w:szCs w:val="22"/>
              </w:rPr>
              <w:t>1</w:t>
            </w:r>
          </w:p>
        </w:tc>
        <w:tc>
          <w:tcPr>
            <w:tcW w:w="4570" w:type="pct"/>
            <w:vAlign w:val="center"/>
          </w:tcPr>
          <w:p w14:paraId="392FFCC7">
            <w:pPr>
              <w:adjustRightInd/>
              <w:snapToGrid/>
              <w:spacing w:line="360" w:lineRule="exact"/>
              <w:rPr>
                <w:rFonts w:hint="eastAsia" w:hAnsi="宋体"/>
                <w:color w:val="000000"/>
                <w:sz w:val="22"/>
                <w:szCs w:val="22"/>
              </w:rPr>
            </w:pPr>
            <w:r>
              <w:rPr>
                <w:rFonts w:hint="eastAsia" w:hAnsi="宋体"/>
                <w:color w:val="000000"/>
                <w:sz w:val="22"/>
                <w:szCs w:val="22"/>
              </w:rPr>
              <w:t>完全满足本项目★标记条款的要求。</w:t>
            </w:r>
          </w:p>
        </w:tc>
      </w:tr>
    </w:tbl>
    <w:p w14:paraId="25B98EB3">
      <w:pPr>
        <w:ind w:firstLine="440" w:firstLineChars="200"/>
        <w:rPr>
          <w:rFonts w:hint="eastAsia" w:hAnsi="宋体"/>
          <w:sz w:val="22"/>
          <w:szCs w:val="22"/>
        </w:rPr>
      </w:pPr>
    </w:p>
    <w:p w14:paraId="5AA43049">
      <w:pPr>
        <w:ind w:firstLine="440" w:firstLineChars="200"/>
        <w:rPr>
          <w:b/>
        </w:rPr>
      </w:pPr>
      <w:r>
        <w:rPr>
          <w:rFonts w:hint="eastAsia" w:hAnsi="宋体"/>
          <w:sz w:val="22"/>
          <w:szCs w:val="22"/>
        </w:rPr>
        <w:t>注：上表所列内容为不可负偏离条款。</w:t>
      </w:r>
    </w:p>
    <w:p w14:paraId="67DD3BE4">
      <w:pPr>
        <w:pStyle w:val="4"/>
        <w:numPr>
          <w:ilvl w:val="0"/>
          <w:numId w:val="0"/>
        </w:numPr>
        <w:jc w:val="center"/>
        <w:rPr>
          <w:sz w:val="24"/>
        </w:rPr>
      </w:pPr>
      <w:bookmarkStart w:id="35" w:name="_Toc145666464"/>
      <w:bookmarkStart w:id="36" w:name="_Toc152759233"/>
      <w:bookmarkStart w:id="37" w:name="_Toc120892144"/>
      <w:bookmarkStart w:id="38" w:name="_Toc1285"/>
      <w:r>
        <w:rPr>
          <w:rFonts w:hint="eastAsia"/>
          <w:sz w:val="24"/>
        </w:rPr>
        <w:t>三、</w:t>
      </w:r>
      <w:bookmarkEnd w:id="35"/>
      <w:bookmarkEnd w:id="36"/>
      <w:bookmarkEnd w:id="37"/>
      <w:r>
        <w:rPr>
          <w:rFonts w:hint="eastAsia"/>
          <w:sz w:val="24"/>
        </w:rPr>
        <w:t>技术参数要求</w:t>
      </w:r>
      <w:bookmarkEnd w:id="38"/>
    </w:p>
    <w:tbl>
      <w:tblPr>
        <w:tblStyle w:val="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236"/>
        <w:gridCol w:w="7175"/>
      </w:tblGrid>
      <w:tr w14:paraId="69CA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3A9603F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color w:val="auto"/>
                <w:kern w:val="0"/>
                <w:sz w:val="22"/>
                <w:szCs w:val="22"/>
              </w:rPr>
              <w:t>序号</w:t>
            </w:r>
          </w:p>
        </w:tc>
        <w:tc>
          <w:tcPr>
            <w:tcW w:w="1236" w:type="dxa"/>
            <w:tcBorders>
              <w:tl2br w:val="nil"/>
              <w:tr2bl w:val="nil"/>
            </w:tcBorders>
            <w:shd w:val="clear" w:color="auto" w:fill="auto"/>
            <w:vAlign w:val="center"/>
          </w:tcPr>
          <w:p w14:paraId="75DE9423">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color w:val="auto"/>
                <w:kern w:val="0"/>
                <w:sz w:val="22"/>
                <w:szCs w:val="22"/>
              </w:rPr>
              <w:t>货物名称</w:t>
            </w:r>
          </w:p>
        </w:tc>
        <w:tc>
          <w:tcPr>
            <w:tcW w:w="7175" w:type="dxa"/>
            <w:tcBorders>
              <w:tl2br w:val="nil"/>
              <w:tr2bl w:val="nil"/>
            </w:tcBorders>
            <w:shd w:val="clear" w:color="auto" w:fill="auto"/>
            <w:vAlign w:val="center"/>
          </w:tcPr>
          <w:p w14:paraId="44F53DF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color w:val="auto"/>
                <w:kern w:val="0"/>
                <w:sz w:val="22"/>
                <w:szCs w:val="22"/>
              </w:rPr>
              <w:t>技术参数</w:t>
            </w:r>
          </w:p>
        </w:tc>
      </w:tr>
      <w:tr w14:paraId="597F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675" w:type="dxa"/>
            <w:tcBorders>
              <w:tl2br w:val="nil"/>
              <w:tr2bl w:val="nil"/>
            </w:tcBorders>
            <w:shd w:val="clear" w:color="auto" w:fill="auto"/>
            <w:vAlign w:val="center"/>
          </w:tcPr>
          <w:p w14:paraId="7060F84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w:t>
            </w:r>
          </w:p>
        </w:tc>
        <w:tc>
          <w:tcPr>
            <w:tcW w:w="1236" w:type="dxa"/>
            <w:tcBorders>
              <w:tl2br w:val="nil"/>
              <w:tr2bl w:val="nil"/>
            </w:tcBorders>
            <w:shd w:val="clear" w:color="auto" w:fill="auto"/>
            <w:vAlign w:val="center"/>
          </w:tcPr>
          <w:p w14:paraId="53210A6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三位沙发</w:t>
            </w:r>
          </w:p>
        </w:tc>
        <w:tc>
          <w:tcPr>
            <w:tcW w:w="7175" w:type="dxa"/>
            <w:tcBorders>
              <w:tl2br w:val="nil"/>
              <w:tr2bl w:val="nil"/>
            </w:tcBorders>
            <w:shd w:val="clear" w:color="auto" w:fill="auto"/>
            <w:vAlign w:val="center"/>
          </w:tcPr>
          <w:p w14:paraId="359969E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7、高承重黑色烤漆钢脚。</w:t>
            </w:r>
          </w:p>
        </w:tc>
      </w:tr>
      <w:tr w14:paraId="64A3E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3" w:hRule="atLeast"/>
        </w:trPr>
        <w:tc>
          <w:tcPr>
            <w:tcW w:w="675" w:type="dxa"/>
            <w:tcBorders>
              <w:tl2br w:val="nil"/>
              <w:tr2bl w:val="nil"/>
            </w:tcBorders>
            <w:shd w:val="clear" w:color="auto" w:fill="auto"/>
            <w:vAlign w:val="center"/>
          </w:tcPr>
          <w:p w14:paraId="1DAA08E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2</w:t>
            </w:r>
          </w:p>
        </w:tc>
        <w:tc>
          <w:tcPr>
            <w:tcW w:w="1236" w:type="dxa"/>
            <w:tcBorders>
              <w:tl2br w:val="nil"/>
              <w:tr2bl w:val="nil"/>
            </w:tcBorders>
            <w:shd w:val="clear" w:color="auto" w:fill="auto"/>
            <w:vAlign w:val="center"/>
          </w:tcPr>
          <w:p w14:paraId="1F24DA9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单位沙发</w:t>
            </w:r>
          </w:p>
        </w:tc>
        <w:tc>
          <w:tcPr>
            <w:tcW w:w="7175" w:type="dxa"/>
            <w:tcBorders>
              <w:tl2br w:val="nil"/>
              <w:tr2bl w:val="nil"/>
            </w:tcBorders>
            <w:shd w:val="clear" w:color="auto" w:fill="auto"/>
            <w:vAlign w:val="center"/>
          </w:tcPr>
          <w:p w14:paraId="63E1B32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7、高承重黑色烤漆钢脚。</w:t>
            </w:r>
          </w:p>
        </w:tc>
      </w:tr>
      <w:tr w14:paraId="1DD7F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7F2E26B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w:t>
            </w:r>
          </w:p>
        </w:tc>
        <w:tc>
          <w:tcPr>
            <w:tcW w:w="1236" w:type="dxa"/>
            <w:tcBorders>
              <w:tl2br w:val="nil"/>
              <w:tr2bl w:val="nil"/>
            </w:tcBorders>
            <w:shd w:val="clear" w:color="auto" w:fill="auto"/>
            <w:vAlign w:val="center"/>
          </w:tcPr>
          <w:p w14:paraId="289067D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茶几</w:t>
            </w:r>
          </w:p>
        </w:tc>
        <w:tc>
          <w:tcPr>
            <w:tcW w:w="7175" w:type="dxa"/>
            <w:tcBorders>
              <w:tl2br w:val="nil"/>
              <w:tr2bl w:val="nil"/>
            </w:tcBorders>
            <w:shd w:val="clear" w:color="auto" w:fill="auto"/>
            <w:vAlign w:val="center"/>
          </w:tcPr>
          <w:p w14:paraId="46ED6F6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1、岩板或人造大理石桌面</w:t>
            </w:r>
            <w:r>
              <w:rPr>
                <w:rFonts w:hint="eastAsia" w:ascii="宋体" w:hAnsi="宋体" w:eastAsia="宋体" w:cs="宋体"/>
                <w:sz w:val="22"/>
                <w:szCs w:val="22"/>
              </w:rPr>
              <w:br w:type="textWrapping"/>
            </w:r>
            <w:r>
              <w:rPr>
                <w:rFonts w:hint="eastAsia" w:ascii="宋体" w:hAnsi="宋体" w:eastAsia="宋体" w:cs="宋体"/>
                <w:sz w:val="22"/>
                <w:szCs w:val="22"/>
              </w:rPr>
              <w:t>2、金属钢制脚</w:t>
            </w:r>
          </w:p>
        </w:tc>
      </w:tr>
      <w:tr w14:paraId="3D2F2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675" w:type="dxa"/>
            <w:tcBorders>
              <w:tl2br w:val="nil"/>
              <w:tr2bl w:val="nil"/>
            </w:tcBorders>
            <w:shd w:val="clear" w:color="auto" w:fill="auto"/>
            <w:vAlign w:val="center"/>
          </w:tcPr>
          <w:p w14:paraId="0261D71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w:t>
            </w:r>
          </w:p>
        </w:tc>
        <w:tc>
          <w:tcPr>
            <w:tcW w:w="1236" w:type="dxa"/>
            <w:tcBorders>
              <w:tl2br w:val="nil"/>
              <w:tr2bl w:val="nil"/>
            </w:tcBorders>
            <w:shd w:val="clear" w:color="auto" w:fill="auto"/>
            <w:vAlign w:val="center"/>
          </w:tcPr>
          <w:p w14:paraId="7E848C7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咨询台</w:t>
            </w:r>
          </w:p>
        </w:tc>
        <w:tc>
          <w:tcPr>
            <w:tcW w:w="7175" w:type="dxa"/>
            <w:tcBorders>
              <w:tl2br w:val="nil"/>
              <w:tr2bl w:val="nil"/>
            </w:tcBorders>
            <w:shd w:val="clear" w:color="auto" w:fill="auto"/>
            <w:vAlign w:val="center"/>
          </w:tcPr>
          <w:p w14:paraId="3E0E145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1、台身：采用优质环保密度板，</w:t>
            </w:r>
            <w:r>
              <w:rPr>
                <w:rFonts w:hint="eastAsia" w:ascii="宋体" w:hAnsi="宋体" w:eastAsia="宋体" w:cs="宋体"/>
                <w:sz w:val="22"/>
                <w:szCs w:val="22"/>
              </w:rPr>
              <w:br w:type="textWrapping"/>
            </w:r>
            <w:r>
              <w:rPr>
                <w:rFonts w:hint="eastAsia" w:ascii="宋体" w:hAnsi="宋体" w:eastAsia="宋体" w:cs="宋体"/>
                <w:sz w:val="22"/>
                <w:szCs w:val="22"/>
              </w:rPr>
              <w:t>2、台面：采用优质人造大理石台面。</w:t>
            </w:r>
            <w:r>
              <w:rPr>
                <w:rFonts w:hint="eastAsia" w:ascii="宋体" w:hAnsi="宋体" w:eastAsia="宋体" w:cs="宋体"/>
                <w:sz w:val="22"/>
                <w:szCs w:val="22"/>
              </w:rPr>
              <w:br w:type="textWrapping"/>
            </w:r>
            <w:r>
              <w:rPr>
                <w:rFonts w:hint="eastAsia" w:ascii="宋体" w:hAnsi="宋体" w:eastAsia="宋体" w:cs="宋体"/>
                <w:sz w:val="22"/>
                <w:szCs w:val="22"/>
              </w:rPr>
              <w:t>3、封边：采用优质封边条。</w:t>
            </w:r>
            <w:r>
              <w:rPr>
                <w:rFonts w:hint="eastAsia" w:ascii="宋体" w:hAnsi="宋体" w:eastAsia="宋体" w:cs="宋体"/>
                <w:sz w:val="22"/>
                <w:szCs w:val="22"/>
              </w:rPr>
              <w:br w:type="textWrapping"/>
            </w:r>
            <w:r>
              <w:rPr>
                <w:rFonts w:hint="eastAsia" w:ascii="宋体" w:hAnsi="宋体" w:eastAsia="宋体" w:cs="宋体"/>
                <w:sz w:val="22"/>
                <w:szCs w:val="22"/>
              </w:rPr>
              <w:t>4、优质五金件。</w:t>
            </w:r>
            <w:r>
              <w:rPr>
                <w:rFonts w:hint="eastAsia" w:ascii="宋体" w:hAnsi="宋体" w:eastAsia="宋体" w:cs="宋体"/>
                <w:sz w:val="22"/>
                <w:szCs w:val="22"/>
              </w:rPr>
              <w:br w:type="textWrapping"/>
            </w:r>
            <w:r>
              <w:rPr>
                <w:rFonts w:hint="eastAsia" w:ascii="宋体" w:hAnsi="宋体" w:eastAsia="宋体" w:cs="宋体"/>
                <w:sz w:val="22"/>
                <w:szCs w:val="22"/>
              </w:rPr>
              <w:t>5、内部带抽屉、带锁。</w:t>
            </w:r>
          </w:p>
        </w:tc>
      </w:tr>
      <w:tr w14:paraId="68F3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675" w:type="dxa"/>
            <w:tcBorders>
              <w:tl2br w:val="nil"/>
              <w:tr2bl w:val="nil"/>
            </w:tcBorders>
            <w:shd w:val="clear" w:color="auto" w:fill="auto"/>
            <w:vAlign w:val="center"/>
          </w:tcPr>
          <w:p w14:paraId="55E947F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w:t>
            </w:r>
          </w:p>
        </w:tc>
        <w:tc>
          <w:tcPr>
            <w:tcW w:w="1236" w:type="dxa"/>
            <w:tcBorders>
              <w:tl2br w:val="nil"/>
              <w:tr2bl w:val="nil"/>
            </w:tcBorders>
            <w:shd w:val="clear" w:color="auto" w:fill="auto"/>
            <w:vAlign w:val="center"/>
          </w:tcPr>
          <w:p w14:paraId="717BF2D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值班椅</w:t>
            </w:r>
          </w:p>
        </w:tc>
        <w:tc>
          <w:tcPr>
            <w:tcW w:w="7175" w:type="dxa"/>
            <w:tcBorders>
              <w:tl2br w:val="nil"/>
              <w:tr2bl w:val="nil"/>
            </w:tcBorders>
            <w:shd w:val="clear" w:color="auto" w:fill="auto"/>
            <w:vAlign w:val="center"/>
          </w:tcPr>
          <w:p w14:paraId="3B2080A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 xml:space="preserve">1、背框： PP料背框 </w:t>
            </w:r>
            <w:r>
              <w:rPr>
                <w:rFonts w:hint="eastAsia" w:ascii="宋体" w:hAnsi="宋体" w:eastAsia="宋体" w:cs="宋体"/>
                <w:sz w:val="22"/>
                <w:szCs w:val="22"/>
              </w:rPr>
              <w:br w:type="textWrapping"/>
            </w:r>
            <w:r>
              <w:rPr>
                <w:rFonts w:hint="eastAsia" w:ascii="宋体" w:hAnsi="宋体" w:eastAsia="宋体" w:cs="宋体"/>
                <w:sz w:val="22"/>
                <w:szCs w:val="22"/>
              </w:rPr>
              <w:t>2、扶手： 可收翻扶手</w:t>
            </w:r>
            <w:r>
              <w:rPr>
                <w:rFonts w:hint="eastAsia" w:ascii="宋体" w:hAnsi="宋体" w:eastAsia="宋体" w:cs="宋体"/>
                <w:sz w:val="22"/>
                <w:szCs w:val="22"/>
              </w:rPr>
              <w:br w:type="textWrapping"/>
            </w:r>
            <w:r>
              <w:rPr>
                <w:rFonts w:hint="eastAsia" w:ascii="宋体" w:hAnsi="宋体" w:eastAsia="宋体" w:cs="宋体"/>
                <w:sz w:val="22"/>
                <w:szCs w:val="22"/>
              </w:rPr>
              <w:t>3、腰包： 固定腰包</w:t>
            </w:r>
            <w:r>
              <w:rPr>
                <w:rFonts w:hint="eastAsia" w:ascii="宋体" w:hAnsi="宋体" w:eastAsia="宋体" w:cs="宋体"/>
                <w:sz w:val="22"/>
                <w:szCs w:val="22"/>
              </w:rPr>
              <w:br w:type="textWrapping"/>
            </w:r>
            <w:r>
              <w:rPr>
                <w:rFonts w:hint="eastAsia" w:ascii="宋体" w:hAnsi="宋体" w:eastAsia="宋体" w:cs="宋体"/>
                <w:sz w:val="22"/>
                <w:szCs w:val="22"/>
              </w:rPr>
              <w:t>4、海绵： 定型海绵带座壳</w:t>
            </w:r>
            <w:r>
              <w:rPr>
                <w:rFonts w:hint="eastAsia" w:ascii="宋体" w:hAnsi="宋体" w:eastAsia="宋体" w:cs="宋体"/>
                <w:sz w:val="22"/>
                <w:szCs w:val="22"/>
              </w:rPr>
              <w:br w:type="textWrapping"/>
            </w:r>
            <w:r>
              <w:rPr>
                <w:rFonts w:hint="eastAsia" w:ascii="宋体" w:hAnsi="宋体" w:eastAsia="宋体" w:cs="宋体"/>
                <w:sz w:val="22"/>
                <w:szCs w:val="22"/>
              </w:rPr>
              <w:t>5、底盘： 中班蝴蝶</w:t>
            </w:r>
            <w:r>
              <w:rPr>
                <w:rFonts w:hint="eastAsia" w:ascii="宋体" w:hAnsi="宋体" w:eastAsia="宋体" w:cs="宋体"/>
                <w:sz w:val="22"/>
                <w:szCs w:val="22"/>
              </w:rPr>
              <w:br w:type="textWrapping"/>
            </w:r>
            <w:r>
              <w:rPr>
                <w:rFonts w:hint="eastAsia" w:ascii="宋体" w:hAnsi="宋体" w:eastAsia="宋体" w:cs="宋体"/>
                <w:sz w:val="22"/>
                <w:szCs w:val="22"/>
              </w:rPr>
              <w:t>6、气杆:  100拉5气杆</w:t>
            </w:r>
            <w:r>
              <w:rPr>
                <w:rFonts w:hint="eastAsia" w:ascii="宋体" w:hAnsi="宋体" w:eastAsia="宋体" w:cs="宋体"/>
                <w:sz w:val="22"/>
                <w:szCs w:val="22"/>
              </w:rPr>
              <w:br w:type="textWrapping"/>
            </w:r>
            <w:r>
              <w:rPr>
                <w:rFonts w:hint="eastAsia" w:ascii="宋体" w:hAnsi="宋体" w:eastAsia="宋体" w:cs="宋体"/>
                <w:sz w:val="22"/>
                <w:szCs w:val="22"/>
              </w:rPr>
              <w:t xml:space="preserve">7、脚：面包尼龙脚                        </w:t>
            </w:r>
            <w:r>
              <w:rPr>
                <w:rFonts w:hint="eastAsia" w:ascii="宋体" w:hAnsi="宋体" w:eastAsia="宋体" w:cs="宋体"/>
                <w:sz w:val="22"/>
                <w:szCs w:val="22"/>
              </w:rPr>
              <w:br w:type="textWrapping"/>
            </w:r>
            <w:r>
              <w:rPr>
                <w:rFonts w:hint="eastAsia" w:ascii="宋体" w:hAnsi="宋体" w:eastAsia="宋体" w:cs="宋体"/>
                <w:sz w:val="22"/>
                <w:szCs w:val="22"/>
              </w:rPr>
              <w:t>8、脚轮： 55#黑轮</w:t>
            </w:r>
          </w:p>
        </w:tc>
      </w:tr>
      <w:tr w14:paraId="302F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675" w:type="dxa"/>
            <w:tcBorders>
              <w:tl2br w:val="nil"/>
              <w:tr2bl w:val="nil"/>
            </w:tcBorders>
            <w:shd w:val="clear" w:color="auto" w:fill="auto"/>
            <w:vAlign w:val="center"/>
          </w:tcPr>
          <w:p w14:paraId="73A553F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w:t>
            </w:r>
          </w:p>
        </w:tc>
        <w:tc>
          <w:tcPr>
            <w:tcW w:w="1236" w:type="dxa"/>
            <w:tcBorders>
              <w:tl2br w:val="nil"/>
              <w:tr2bl w:val="nil"/>
            </w:tcBorders>
            <w:shd w:val="clear" w:color="auto" w:fill="auto"/>
            <w:vAlign w:val="center"/>
          </w:tcPr>
          <w:p w14:paraId="2893E23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洽谈桌</w:t>
            </w:r>
          </w:p>
        </w:tc>
        <w:tc>
          <w:tcPr>
            <w:tcW w:w="7175" w:type="dxa"/>
            <w:tcBorders>
              <w:tl2br w:val="nil"/>
              <w:tr2bl w:val="nil"/>
            </w:tcBorders>
            <w:shd w:val="clear" w:color="auto" w:fill="auto"/>
            <w:vAlign w:val="center"/>
          </w:tcPr>
          <w:p w14:paraId="4C59E83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1、白蜡木实木桌面</w:t>
            </w:r>
            <w:r>
              <w:rPr>
                <w:rFonts w:hint="eastAsia" w:ascii="宋体" w:hAnsi="宋体" w:eastAsia="宋体" w:cs="宋体"/>
                <w:sz w:val="22"/>
                <w:szCs w:val="22"/>
              </w:rPr>
              <w:br w:type="textWrapping"/>
            </w:r>
            <w:r>
              <w:rPr>
                <w:rFonts w:hint="eastAsia" w:ascii="宋体" w:hAnsi="宋体" w:eastAsia="宋体" w:cs="宋体"/>
                <w:sz w:val="22"/>
                <w:szCs w:val="22"/>
              </w:rPr>
              <w:t>2、不锈钢底座</w:t>
            </w:r>
            <w:r>
              <w:rPr>
                <w:rFonts w:hint="eastAsia" w:ascii="宋体" w:hAnsi="宋体" w:eastAsia="宋体" w:cs="宋体"/>
                <w:sz w:val="22"/>
                <w:szCs w:val="22"/>
              </w:rPr>
              <w:br w:type="textWrapping"/>
            </w:r>
            <w:r>
              <w:rPr>
                <w:rFonts w:hint="eastAsia" w:ascii="宋体" w:hAnsi="宋体" w:eastAsia="宋体" w:cs="宋体"/>
                <w:sz w:val="22"/>
                <w:szCs w:val="22"/>
              </w:rPr>
              <w:t>3、环保净味漆</w:t>
            </w:r>
          </w:p>
        </w:tc>
      </w:tr>
      <w:tr w14:paraId="3FE9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2301842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7</w:t>
            </w:r>
          </w:p>
        </w:tc>
        <w:tc>
          <w:tcPr>
            <w:tcW w:w="1236" w:type="dxa"/>
            <w:tcBorders>
              <w:tl2br w:val="nil"/>
              <w:tr2bl w:val="nil"/>
            </w:tcBorders>
            <w:shd w:val="clear" w:color="auto" w:fill="auto"/>
            <w:vAlign w:val="center"/>
          </w:tcPr>
          <w:p w14:paraId="0C369D9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洽谈椅</w:t>
            </w:r>
          </w:p>
        </w:tc>
        <w:tc>
          <w:tcPr>
            <w:tcW w:w="7175" w:type="dxa"/>
            <w:tcBorders>
              <w:tl2br w:val="nil"/>
              <w:tr2bl w:val="nil"/>
            </w:tcBorders>
            <w:shd w:val="clear" w:color="auto" w:fill="auto"/>
            <w:vAlign w:val="center"/>
          </w:tcPr>
          <w:p w14:paraId="264854C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3A210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trPr>
        <w:tc>
          <w:tcPr>
            <w:tcW w:w="675" w:type="dxa"/>
            <w:tcBorders>
              <w:tl2br w:val="nil"/>
              <w:tr2bl w:val="nil"/>
            </w:tcBorders>
            <w:shd w:val="clear" w:color="auto" w:fill="auto"/>
            <w:vAlign w:val="center"/>
          </w:tcPr>
          <w:p w14:paraId="019D6E1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8</w:t>
            </w:r>
          </w:p>
        </w:tc>
        <w:tc>
          <w:tcPr>
            <w:tcW w:w="1236" w:type="dxa"/>
            <w:tcBorders>
              <w:tl2br w:val="nil"/>
              <w:tr2bl w:val="nil"/>
            </w:tcBorders>
            <w:shd w:val="clear" w:color="auto" w:fill="auto"/>
            <w:vAlign w:val="center"/>
          </w:tcPr>
          <w:p w14:paraId="0F94BF2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职员椅</w:t>
            </w:r>
          </w:p>
        </w:tc>
        <w:tc>
          <w:tcPr>
            <w:tcW w:w="7175" w:type="dxa"/>
            <w:tcBorders>
              <w:tl2br w:val="nil"/>
              <w:tr2bl w:val="nil"/>
            </w:tcBorders>
            <w:shd w:val="clear" w:color="auto" w:fill="auto"/>
            <w:vAlign w:val="center"/>
          </w:tcPr>
          <w:p w14:paraId="5875CC0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 xml:space="preserve">1、背框： PP料背框 </w:t>
            </w:r>
            <w:r>
              <w:rPr>
                <w:rFonts w:hint="eastAsia" w:ascii="宋体" w:hAnsi="宋体" w:eastAsia="宋体" w:cs="宋体"/>
                <w:sz w:val="22"/>
                <w:szCs w:val="22"/>
              </w:rPr>
              <w:br w:type="textWrapping"/>
            </w:r>
            <w:r>
              <w:rPr>
                <w:rFonts w:hint="eastAsia" w:ascii="宋体" w:hAnsi="宋体" w:eastAsia="宋体" w:cs="宋体"/>
                <w:sz w:val="22"/>
                <w:szCs w:val="22"/>
              </w:rPr>
              <w:t>2、扶手： 可收翻扶手</w:t>
            </w:r>
            <w:r>
              <w:rPr>
                <w:rFonts w:hint="eastAsia" w:ascii="宋体" w:hAnsi="宋体" w:eastAsia="宋体" w:cs="宋体"/>
                <w:sz w:val="22"/>
                <w:szCs w:val="22"/>
              </w:rPr>
              <w:br w:type="textWrapping"/>
            </w:r>
            <w:r>
              <w:rPr>
                <w:rFonts w:hint="eastAsia" w:ascii="宋体" w:hAnsi="宋体" w:eastAsia="宋体" w:cs="宋体"/>
                <w:sz w:val="22"/>
                <w:szCs w:val="22"/>
              </w:rPr>
              <w:t>3、腰包： 固定腰包</w:t>
            </w:r>
            <w:r>
              <w:rPr>
                <w:rFonts w:hint="eastAsia" w:ascii="宋体" w:hAnsi="宋体" w:eastAsia="宋体" w:cs="宋体"/>
                <w:sz w:val="22"/>
                <w:szCs w:val="22"/>
              </w:rPr>
              <w:br w:type="textWrapping"/>
            </w:r>
            <w:r>
              <w:rPr>
                <w:rFonts w:hint="eastAsia" w:ascii="宋体" w:hAnsi="宋体" w:eastAsia="宋体" w:cs="宋体"/>
                <w:sz w:val="22"/>
                <w:szCs w:val="22"/>
              </w:rPr>
              <w:t>4、海绵： 定型海绵带座壳</w:t>
            </w:r>
            <w:r>
              <w:rPr>
                <w:rFonts w:hint="eastAsia" w:ascii="宋体" w:hAnsi="宋体" w:eastAsia="宋体" w:cs="宋体"/>
                <w:sz w:val="22"/>
                <w:szCs w:val="22"/>
              </w:rPr>
              <w:br w:type="textWrapping"/>
            </w:r>
            <w:r>
              <w:rPr>
                <w:rFonts w:hint="eastAsia" w:ascii="宋体" w:hAnsi="宋体" w:eastAsia="宋体" w:cs="宋体"/>
                <w:sz w:val="22"/>
                <w:szCs w:val="22"/>
              </w:rPr>
              <w:t>5、底盘： 中班蝴蝶</w:t>
            </w:r>
            <w:r>
              <w:rPr>
                <w:rFonts w:hint="eastAsia" w:ascii="宋体" w:hAnsi="宋体" w:eastAsia="宋体" w:cs="宋体"/>
                <w:sz w:val="22"/>
                <w:szCs w:val="22"/>
              </w:rPr>
              <w:br w:type="textWrapping"/>
            </w:r>
            <w:r>
              <w:rPr>
                <w:rFonts w:hint="eastAsia" w:ascii="宋体" w:hAnsi="宋体" w:eastAsia="宋体" w:cs="宋体"/>
                <w:sz w:val="22"/>
                <w:szCs w:val="22"/>
              </w:rPr>
              <w:t>6、气杆:  100拉5气杆</w:t>
            </w:r>
            <w:r>
              <w:rPr>
                <w:rFonts w:hint="eastAsia" w:ascii="宋体" w:hAnsi="宋体" w:eastAsia="宋体" w:cs="宋体"/>
                <w:sz w:val="22"/>
                <w:szCs w:val="22"/>
              </w:rPr>
              <w:br w:type="textWrapping"/>
            </w:r>
            <w:r>
              <w:rPr>
                <w:rFonts w:hint="eastAsia" w:ascii="宋体" w:hAnsi="宋体" w:eastAsia="宋体" w:cs="宋体"/>
                <w:sz w:val="22"/>
                <w:szCs w:val="22"/>
              </w:rPr>
              <w:t xml:space="preserve">7、脚：面包尼龙脚                        </w:t>
            </w:r>
            <w:r>
              <w:rPr>
                <w:rFonts w:hint="eastAsia" w:ascii="宋体" w:hAnsi="宋体" w:eastAsia="宋体" w:cs="宋体"/>
                <w:sz w:val="22"/>
                <w:szCs w:val="22"/>
              </w:rPr>
              <w:br w:type="textWrapping"/>
            </w:r>
            <w:r>
              <w:rPr>
                <w:rFonts w:hint="eastAsia" w:ascii="宋体" w:hAnsi="宋体" w:eastAsia="宋体" w:cs="宋体"/>
                <w:sz w:val="22"/>
                <w:szCs w:val="22"/>
              </w:rPr>
              <w:t>8、脚轮： 55#黑轮</w:t>
            </w:r>
          </w:p>
        </w:tc>
      </w:tr>
      <w:tr w14:paraId="062F4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000000" w:fill="FFFFFF"/>
            <w:vAlign w:val="center"/>
          </w:tcPr>
          <w:p w14:paraId="205DE00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9</w:t>
            </w:r>
          </w:p>
        </w:tc>
        <w:tc>
          <w:tcPr>
            <w:tcW w:w="1236" w:type="dxa"/>
            <w:tcBorders>
              <w:tl2br w:val="nil"/>
              <w:tr2bl w:val="nil"/>
            </w:tcBorders>
            <w:shd w:val="clear" w:color="000000" w:fill="FFFFFF"/>
            <w:vAlign w:val="center"/>
          </w:tcPr>
          <w:p w14:paraId="4C691D6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餐桌</w:t>
            </w:r>
          </w:p>
        </w:tc>
        <w:tc>
          <w:tcPr>
            <w:tcW w:w="7175" w:type="dxa"/>
            <w:tcBorders>
              <w:tl2br w:val="nil"/>
              <w:tr2bl w:val="nil"/>
            </w:tcBorders>
            <w:shd w:val="clear" w:color="000000" w:fill="FFFFFF"/>
            <w:vAlign w:val="center"/>
          </w:tcPr>
          <w:p w14:paraId="779ABC1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1、台面15mm岩板，贴15mm底板</w:t>
            </w:r>
            <w:r>
              <w:rPr>
                <w:rFonts w:hint="eastAsia" w:ascii="宋体" w:hAnsi="宋体" w:eastAsia="宋体" w:cs="宋体"/>
                <w:sz w:val="22"/>
                <w:szCs w:val="22"/>
              </w:rPr>
              <w:br w:type="textWrapping"/>
            </w:r>
            <w:r>
              <w:rPr>
                <w:rFonts w:hint="eastAsia" w:ascii="宋体" w:hAnsi="宋体" w:eastAsia="宋体" w:cs="宋体"/>
                <w:sz w:val="22"/>
                <w:szCs w:val="22"/>
              </w:rPr>
              <w:t>2、不锈钢底盘</w:t>
            </w:r>
            <w:r>
              <w:rPr>
                <w:rFonts w:hint="eastAsia" w:ascii="宋体" w:hAnsi="宋体" w:eastAsia="宋体" w:cs="宋体"/>
                <w:sz w:val="22"/>
                <w:szCs w:val="22"/>
              </w:rPr>
              <w:br w:type="textWrapping"/>
            </w:r>
            <w:r>
              <w:rPr>
                <w:rFonts w:hint="eastAsia" w:ascii="宋体" w:hAnsi="宋体" w:eastAsia="宋体" w:cs="宋体"/>
                <w:sz w:val="22"/>
                <w:szCs w:val="22"/>
              </w:rPr>
              <w:t>3、立柱：1.0不锈钢，φ76</w:t>
            </w:r>
            <w:r>
              <w:rPr>
                <w:rFonts w:hint="eastAsia" w:ascii="宋体" w:hAnsi="宋体" w:eastAsia="宋体" w:cs="宋体"/>
                <w:sz w:val="22"/>
                <w:szCs w:val="22"/>
              </w:rPr>
              <w:br w:type="textWrapping"/>
            </w:r>
            <w:r>
              <w:rPr>
                <w:rFonts w:hint="eastAsia" w:ascii="宋体" w:hAnsi="宋体" w:eastAsia="宋体" w:cs="宋体"/>
                <w:sz w:val="22"/>
                <w:szCs w:val="22"/>
              </w:rPr>
              <w:t>4、顶托：300*300mm</w:t>
            </w:r>
          </w:p>
        </w:tc>
      </w:tr>
      <w:tr w14:paraId="620A1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5F84518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10</w:t>
            </w:r>
          </w:p>
        </w:tc>
        <w:tc>
          <w:tcPr>
            <w:tcW w:w="1236" w:type="dxa"/>
            <w:tcBorders>
              <w:tl2br w:val="nil"/>
              <w:tr2bl w:val="nil"/>
            </w:tcBorders>
            <w:shd w:val="clear" w:color="auto" w:fill="auto"/>
            <w:vAlign w:val="center"/>
          </w:tcPr>
          <w:p w14:paraId="72388F9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餐椅</w:t>
            </w:r>
          </w:p>
        </w:tc>
        <w:tc>
          <w:tcPr>
            <w:tcW w:w="7175" w:type="dxa"/>
            <w:tcBorders>
              <w:tl2br w:val="nil"/>
              <w:tr2bl w:val="nil"/>
            </w:tcBorders>
            <w:shd w:val="clear" w:color="auto" w:fill="auto"/>
            <w:vAlign w:val="center"/>
          </w:tcPr>
          <w:p w14:paraId="7EE9951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1、白蜡木实木牛角椅</w:t>
            </w:r>
            <w:r>
              <w:rPr>
                <w:rFonts w:hint="eastAsia" w:ascii="宋体" w:hAnsi="宋体" w:eastAsia="宋体" w:cs="宋体"/>
                <w:sz w:val="22"/>
                <w:szCs w:val="22"/>
              </w:rPr>
              <w:br w:type="textWrapping"/>
            </w:r>
            <w:r>
              <w:rPr>
                <w:rFonts w:hint="eastAsia" w:ascii="宋体" w:hAnsi="宋体" w:eastAsia="宋体" w:cs="宋体"/>
                <w:sz w:val="22"/>
                <w:szCs w:val="22"/>
              </w:rPr>
              <w:t>2、皮质座包，高密高回弹海绵</w:t>
            </w:r>
          </w:p>
        </w:tc>
      </w:tr>
      <w:tr w14:paraId="550BD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3" w:hRule="atLeast"/>
        </w:trPr>
        <w:tc>
          <w:tcPr>
            <w:tcW w:w="675" w:type="dxa"/>
            <w:tcBorders>
              <w:tl2br w:val="nil"/>
              <w:tr2bl w:val="nil"/>
            </w:tcBorders>
            <w:shd w:val="clear" w:color="auto" w:fill="auto"/>
            <w:vAlign w:val="center"/>
          </w:tcPr>
          <w:p w14:paraId="37968A1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11</w:t>
            </w:r>
          </w:p>
        </w:tc>
        <w:tc>
          <w:tcPr>
            <w:tcW w:w="1236" w:type="dxa"/>
            <w:tcBorders>
              <w:tl2br w:val="nil"/>
              <w:tr2bl w:val="nil"/>
            </w:tcBorders>
            <w:shd w:val="clear" w:color="auto" w:fill="auto"/>
            <w:vAlign w:val="center"/>
          </w:tcPr>
          <w:p w14:paraId="253B847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餐桌</w:t>
            </w:r>
          </w:p>
        </w:tc>
        <w:tc>
          <w:tcPr>
            <w:tcW w:w="7175" w:type="dxa"/>
            <w:tcBorders>
              <w:tl2br w:val="nil"/>
              <w:tr2bl w:val="nil"/>
            </w:tcBorders>
            <w:shd w:val="clear" w:color="auto" w:fill="auto"/>
            <w:vAlign w:val="center"/>
          </w:tcPr>
          <w:p w14:paraId="7756B93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1、主材料采用进口橡胶木制作；</w:t>
            </w:r>
            <w:r>
              <w:rPr>
                <w:rFonts w:hint="eastAsia" w:ascii="宋体" w:hAnsi="宋体" w:eastAsia="宋体" w:cs="宋体"/>
                <w:sz w:val="22"/>
                <w:szCs w:val="22"/>
              </w:rPr>
              <w:br w:type="textWrapping"/>
            </w:r>
            <w:r>
              <w:rPr>
                <w:rFonts w:hint="eastAsia" w:ascii="宋体" w:hAnsi="宋体" w:eastAsia="宋体" w:cs="宋体"/>
                <w:sz w:val="22"/>
                <w:szCs w:val="22"/>
              </w:rPr>
              <w:t>2、台面面板采用实木多层板贴木皮，板材下附有全实木框架，谨防台面变形；</w:t>
            </w:r>
            <w:r>
              <w:rPr>
                <w:rFonts w:hint="eastAsia" w:ascii="宋体" w:hAnsi="宋体" w:eastAsia="宋体" w:cs="宋体"/>
                <w:sz w:val="22"/>
                <w:szCs w:val="22"/>
              </w:rPr>
              <w:br w:type="textWrapping"/>
            </w:r>
            <w:r>
              <w:rPr>
                <w:rFonts w:hint="eastAsia" w:ascii="宋体" w:hAnsi="宋体" w:eastAsia="宋体" w:cs="宋体"/>
                <w:sz w:val="22"/>
                <w:szCs w:val="22"/>
              </w:rPr>
              <w:t>3、转盘为广西白大理石仿天然石纹理树脂饰面；</w:t>
            </w:r>
            <w:r>
              <w:rPr>
                <w:rFonts w:hint="eastAsia" w:ascii="宋体" w:hAnsi="宋体" w:eastAsia="宋体" w:cs="宋体"/>
                <w:sz w:val="22"/>
                <w:szCs w:val="22"/>
              </w:rPr>
              <w:br w:type="textWrapping"/>
            </w:r>
            <w:r>
              <w:rPr>
                <w:rFonts w:hint="eastAsia" w:ascii="宋体" w:hAnsi="宋体" w:eastAsia="宋体" w:cs="宋体"/>
                <w:sz w:val="22"/>
                <w:szCs w:val="22"/>
              </w:rPr>
              <w:t>4、底座附有不锈钢包边底框；</w:t>
            </w:r>
            <w:r>
              <w:rPr>
                <w:rFonts w:hint="eastAsia" w:ascii="宋体" w:hAnsi="宋体" w:eastAsia="宋体" w:cs="宋体"/>
                <w:sz w:val="22"/>
                <w:szCs w:val="22"/>
              </w:rPr>
              <w:br w:type="textWrapping"/>
            </w:r>
            <w:r>
              <w:rPr>
                <w:rFonts w:hint="eastAsia" w:ascii="宋体" w:hAnsi="宋体" w:eastAsia="宋体" w:cs="宋体"/>
                <w:sz w:val="22"/>
                <w:szCs w:val="22"/>
              </w:rPr>
              <w:t>5、转盘电动结构，可以正反转.  遥控控制；</w:t>
            </w:r>
            <w:r>
              <w:rPr>
                <w:rFonts w:hint="eastAsia" w:ascii="宋体" w:hAnsi="宋体" w:eastAsia="宋体" w:cs="宋体"/>
                <w:sz w:val="22"/>
                <w:szCs w:val="22"/>
              </w:rPr>
              <w:br w:type="textWrapping"/>
            </w:r>
            <w:r>
              <w:rPr>
                <w:rFonts w:hint="eastAsia" w:ascii="宋体" w:hAnsi="宋体" w:eastAsia="宋体" w:cs="宋体"/>
                <w:sz w:val="22"/>
                <w:szCs w:val="22"/>
              </w:rPr>
              <w:t>6、内部落地钢架结构超强承重</w:t>
            </w:r>
          </w:p>
        </w:tc>
      </w:tr>
      <w:tr w14:paraId="7503E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675" w:type="dxa"/>
            <w:tcBorders>
              <w:tl2br w:val="nil"/>
              <w:tr2bl w:val="nil"/>
            </w:tcBorders>
            <w:shd w:val="clear" w:color="auto" w:fill="auto"/>
            <w:vAlign w:val="center"/>
          </w:tcPr>
          <w:p w14:paraId="42E34A4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12</w:t>
            </w:r>
          </w:p>
        </w:tc>
        <w:tc>
          <w:tcPr>
            <w:tcW w:w="1236" w:type="dxa"/>
            <w:tcBorders>
              <w:tl2br w:val="nil"/>
              <w:tr2bl w:val="nil"/>
            </w:tcBorders>
            <w:shd w:val="clear" w:color="auto" w:fill="auto"/>
            <w:vAlign w:val="center"/>
          </w:tcPr>
          <w:p w14:paraId="24A62B5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餐椅</w:t>
            </w:r>
          </w:p>
        </w:tc>
        <w:tc>
          <w:tcPr>
            <w:tcW w:w="7175" w:type="dxa"/>
            <w:tcBorders>
              <w:tl2br w:val="nil"/>
              <w:tr2bl w:val="nil"/>
            </w:tcBorders>
            <w:shd w:val="clear" w:color="auto" w:fill="auto"/>
            <w:vAlign w:val="center"/>
          </w:tcPr>
          <w:p w14:paraId="15DA5BE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1、实木</w:t>
            </w:r>
            <w:r>
              <w:rPr>
                <w:rFonts w:hint="eastAsia" w:ascii="宋体" w:hAnsi="宋体" w:eastAsia="宋体" w:cs="宋体"/>
                <w:sz w:val="22"/>
                <w:szCs w:val="22"/>
              </w:rPr>
              <w:br w:type="textWrapping"/>
            </w:r>
            <w:r>
              <w:rPr>
                <w:rFonts w:hint="eastAsia" w:ascii="宋体" w:hAnsi="宋体" w:eastAsia="宋体" w:cs="宋体"/>
                <w:sz w:val="22"/>
                <w:szCs w:val="22"/>
              </w:rPr>
              <w:t>2、超纤皮座包</w:t>
            </w:r>
            <w:r>
              <w:rPr>
                <w:rFonts w:hint="eastAsia" w:ascii="宋体" w:hAnsi="宋体" w:eastAsia="宋体" w:cs="宋体"/>
                <w:sz w:val="22"/>
                <w:szCs w:val="22"/>
              </w:rPr>
              <w:br w:type="textWrapping"/>
            </w:r>
            <w:r>
              <w:rPr>
                <w:rFonts w:hint="eastAsia" w:ascii="宋体" w:hAnsi="宋体" w:eastAsia="宋体" w:cs="宋体"/>
                <w:sz w:val="22"/>
                <w:szCs w:val="22"/>
              </w:rPr>
              <w:t>3、环保净味油漆</w:t>
            </w:r>
            <w:r>
              <w:rPr>
                <w:rFonts w:hint="eastAsia" w:ascii="宋体" w:hAnsi="宋体" w:eastAsia="宋体" w:cs="宋体"/>
                <w:sz w:val="22"/>
                <w:szCs w:val="22"/>
              </w:rPr>
              <w:br w:type="textWrapping"/>
            </w:r>
            <w:r>
              <w:rPr>
                <w:rFonts w:hint="eastAsia" w:ascii="宋体" w:hAnsi="宋体" w:eastAsia="宋体" w:cs="宋体"/>
                <w:sz w:val="22"/>
                <w:szCs w:val="22"/>
              </w:rPr>
              <w:t>4、优质高密高弹海绵</w:t>
            </w:r>
          </w:p>
        </w:tc>
      </w:tr>
      <w:tr w14:paraId="14824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3" w:hRule="atLeast"/>
        </w:trPr>
        <w:tc>
          <w:tcPr>
            <w:tcW w:w="675" w:type="dxa"/>
            <w:tcBorders>
              <w:tl2br w:val="nil"/>
              <w:tr2bl w:val="nil"/>
            </w:tcBorders>
            <w:shd w:val="clear" w:color="auto" w:fill="auto"/>
            <w:vAlign w:val="center"/>
          </w:tcPr>
          <w:p w14:paraId="322C811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13</w:t>
            </w:r>
          </w:p>
        </w:tc>
        <w:tc>
          <w:tcPr>
            <w:tcW w:w="1236" w:type="dxa"/>
            <w:tcBorders>
              <w:tl2br w:val="nil"/>
              <w:tr2bl w:val="nil"/>
            </w:tcBorders>
            <w:shd w:val="clear" w:color="auto" w:fill="auto"/>
            <w:vAlign w:val="center"/>
          </w:tcPr>
          <w:p w14:paraId="7061045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三位沙发</w:t>
            </w:r>
          </w:p>
        </w:tc>
        <w:tc>
          <w:tcPr>
            <w:tcW w:w="7175" w:type="dxa"/>
            <w:tcBorders>
              <w:tl2br w:val="nil"/>
              <w:tr2bl w:val="nil"/>
            </w:tcBorders>
            <w:shd w:val="clear" w:color="auto" w:fill="auto"/>
            <w:vAlign w:val="center"/>
          </w:tcPr>
          <w:p w14:paraId="54EFF47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7、外框架：白蜡木实木或橡胶木实木。</w:t>
            </w:r>
          </w:p>
        </w:tc>
      </w:tr>
      <w:tr w14:paraId="57231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675" w:type="dxa"/>
            <w:tcBorders>
              <w:tl2br w:val="nil"/>
              <w:tr2bl w:val="nil"/>
            </w:tcBorders>
            <w:shd w:val="clear" w:color="auto" w:fill="auto"/>
            <w:vAlign w:val="center"/>
          </w:tcPr>
          <w:p w14:paraId="65D3B58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14</w:t>
            </w:r>
          </w:p>
        </w:tc>
        <w:tc>
          <w:tcPr>
            <w:tcW w:w="1236" w:type="dxa"/>
            <w:tcBorders>
              <w:tl2br w:val="nil"/>
              <w:tr2bl w:val="nil"/>
            </w:tcBorders>
            <w:shd w:val="clear" w:color="auto" w:fill="auto"/>
            <w:vAlign w:val="center"/>
          </w:tcPr>
          <w:p w14:paraId="05E8F8C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单位沙发</w:t>
            </w:r>
          </w:p>
        </w:tc>
        <w:tc>
          <w:tcPr>
            <w:tcW w:w="7175" w:type="dxa"/>
            <w:tcBorders>
              <w:tl2br w:val="nil"/>
              <w:tr2bl w:val="nil"/>
            </w:tcBorders>
            <w:shd w:val="clear" w:color="auto" w:fill="auto"/>
            <w:vAlign w:val="center"/>
          </w:tcPr>
          <w:p w14:paraId="559BDAB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7、外框架：白蜡木实木或橡胶木实木。</w:t>
            </w:r>
          </w:p>
        </w:tc>
      </w:tr>
      <w:tr w14:paraId="3C554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774B2C2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15</w:t>
            </w:r>
          </w:p>
        </w:tc>
        <w:tc>
          <w:tcPr>
            <w:tcW w:w="1236" w:type="dxa"/>
            <w:tcBorders>
              <w:tl2br w:val="nil"/>
              <w:tr2bl w:val="nil"/>
            </w:tcBorders>
            <w:shd w:val="clear" w:color="auto" w:fill="auto"/>
            <w:vAlign w:val="center"/>
          </w:tcPr>
          <w:p w14:paraId="19E9B8A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茶几</w:t>
            </w:r>
          </w:p>
        </w:tc>
        <w:tc>
          <w:tcPr>
            <w:tcW w:w="7175" w:type="dxa"/>
            <w:tcBorders>
              <w:tl2br w:val="nil"/>
              <w:tr2bl w:val="nil"/>
            </w:tcBorders>
            <w:shd w:val="clear" w:color="auto" w:fill="auto"/>
            <w:vAlign w:val="center"/>
          </w:tcPr>
          <w:p w14:paraId="365D821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1、白蜡木或橡胶木实木</w:t>
            </w:r>
            <w:r>
              <w:rPr>
                <w:rFonts w:hint="eastAsia" w:ascii="宋体" w:hAnsi="宋体" w:eastAsia="宋体" w:cs="宋体"/>
                <w:sz w:val="22"/>
                <w:szCs w:val="22"/>
              </w:rPr>
              <w:br w:type="textWrapping"/>
            </w:r>
            <w:r>
              <w:rPr>
                <w:rFonts w:hint="eastAsia" w:ascii="宋体" w:hAnsi="宋体" w:eastAsia="宋体" w:cs="宋体"/>
                <w:sz w:val="22"/>
                <w:szCs w:val="22"/>
              </w:rPr>
              <w:t>2、环保净味油漆</w:t>
            </w:r>
          </w:p>
        </w:tc>
      </w:tr>
      <w:tr w14:paraId="1DF97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trPr>
        <w:tc>
          <w:tcPr>
            <w:tcW w:w="675" w:type="dxa"/>
            <w:tcBorders>
              <w:tl2br w:val="nil"/>
              <w:tr2bl w:val="nil"/>
            </w:tcBorders>
            <w:shd w:val="clear" w:color="auto" w:fill="auto"/>
            <w:vAlign w:val="center"/>
          </w:tcPr>
          <w:p w14:paraId="2DF0185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30</w:t>
            </w:r>
          </w:p>
        </w:tc>
        <w:tc>
          <w:tcPr>
            <w:tcW w:w="1236" w:type="dxa"/>
            <w:tcBorders>
              <w:tl2br w:val="nil"/>
              <w:tr2bl w:val="nil"/>
            </w:tcBorders>
            <w:shd w:val="clear" w:color="auto" w:fill="auto"/>
            <w:vAlign w:val="center"/>
          </w:tcPr>
          <w:p w14:paraId="6EE1F2E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上下铺</w:t>
            </w:r>
          </w:p>
        </w:tc>
        <w:tc>
          <w:tcPr>
            <w:tcW w:w="7175" w:type="dxa"/>
            <w:tcBorders>
              <w:tl2br w:val="nil"/>
              <w:tr2bl w:val="nil"/>
            </w:tcBorders>
            <w:shd w:val="clear" w:color="auto" w:fill="auto"/>
            <w:vAlign w:val="center"/>
          </w:tcPr>
          <w:p w14:paraId="37C2632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1、上下铺为柜体与碳钢结合的折叠床</w:t>
            </w:r>
            <w:r>
              <w:rPr>
                <w:rFonts w:hint="eastAsia" w:ascii="宋体" w:hAnsi="宋体" w:eastAsia="宋体" w:cs="宋体"/>
                <w:sz w:val="22"/>
                <w:szCs w:val="22"/>
              </w:rPr>
              <w:br w:type="textWrapping"/>
            </w:r>
            <w:r>
              <w:rPr>
                <w:rFonts w:hint="eastAsia" w:ascii="宋体" w:hAnsi="宋体" w:eastAsia="宋体" w:cs="宋体"/>
                <w:sz w:val="22"/>
                <w:szCs w:val="22"/>
              </w:rPr>
              <w:t>2、柜体材质为E0级实木多层板，厚18mm</w:t>
            </w:r>
            <w:r>
              <w:rPr>
                <w:rFonts w:hint="eastAsia" w:ascii="宋体" w:hAnsi="宋体" w:eastAsia="宋体" w:cs="宋体"/>
                <w:sz w:val="22"/>
                <w:szCs w:val="22"/>
              </w:rPr>
              <w:br w:type="textWrapping"/>
            </w:r>
            <w:r>
              <w:rPr>
                <w:rFonts w:hint="eastAsia" w:ascii="宋体" w:hAnsi="宋体" w:eastAsia="宋体" w:cs="宋体"/>
                <w:sz w:val="22"/>
                <w:szCs w:val="22"/>
              </w:rPr>
              <w:t>3、柜体深350mm</w:t>
            </w:r>
            <w:r>
              <w:rPr>
                <w:rFonts w:hint="eastAsia" w:ascii="宋体" w:hAnsi="宋体" w:eastAsia="宋体" w:cs="宋体"/>
                <w:sz w:val="22"/>
                <w:szCs w:val="22"/>
              </w:rPr>
              <w:br w:type="textWrapping"/>
            </w:r>
            <w:r>
              <w:rPr>
                <w:rFonts w:hint="eastAsia" w:ascii="宋体" w:hAnsi="宋体" w:eastAsia="宋体" w:cs="宋体"/>
                <w:sz w:val="22"/>
                <w:szCs w:val="22"/>
              </w:rPr>
              <w:t>4、床架尺寸1900*900</w:t>
            </w:r>
            <w:r>
              <w:rPr>
                <w:rFonts w:hint="eastAsia" w:ascii="宋体" w:hAnsi="宋体" w:eastAsia="宋体" w:cs="宋体"/>
                <w:sz w:val="22"/>
                <w:szCs w:val="22"/>
              </w:rPr>
              <w:br w:type="textWrapping"/>
            </w:r>
            <w:r>
              <w:rPr>
                <w:rFonts w:hint="eastAsia" w:ascii="宋体" w:hAnsi="宋体" w:eastAsia="宋体" w:cs="宋体"/>
                <w:sz w:val="22"/>
                <w:szCs w:val="22"/>
              </w:rPr>
              <w:t>5、两张床均可折叠进柜体，折叠后美观大方</w:t>
            </w:r>
            <w:r>
              <w:rPr>
                <w:rFonts w:hint="eastAsia" w:ascii="宋体" w:hAnsi="宋体" w:eastAsia="宋体" w:cs="宋体"/>
                <w:sz w:val="22"/>
                <w:szCs w:val="22"/>
              </w:rPr>
              <w:br w:type="textWrapping"/>
            </w:r>
            <w:r>
              <w:rPr>
                <w:rFonts w:hint="eastAsia" w:ascii="宋体" w:hAnsi="宋体" w:eastAsia="宋体" w:cs="宋体"/>
                <w:sz w:val="22"/>
                <w:szCs w:val="22"/>
              </w:rPr>
              <w:t>6、承重力强，两侧均加装有支撑杆，确保上下床的稳固及安全性</w:t>
            </w:r>
            <w:r>
              <w:rPr>
                <w:rFonts w:hint="eastAsia" w:ascii="宋体" w:hAnsi="宋体" w:eastAsia="宋体" w:cs="宋体"/>
                <w:sz w:val="22"/>
                <w:szCs w:val="22"/>
              </w:rPr>
              <w:br w:type="textWrapping"/>
            </w:r>
            <w:r>
              <w:rPr>
                <w:rFonts w:hint="eastAsia" w:ascii="宋体" w:hAnsi="宋体" w:eastAsia="宋体" w:cs="宋体"/>
                <w:sz w:val="22"/>
                <w:szCs w:val="22"/>
              </w:rPr>
              <w:t>7、床架五金材质：碳钢，25＊50mm的方管 壁厚1.5mm</w:t>
            </w:r>
          </w:p>
          <w:p w14:paraId="6D3178F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8、优质排骨架</w:t>
            </w:r>
          </w:p>
        </w:tc>
      </w:tr>
      <w:tr w14:paraId="791BE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07979CC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31</w:t>
            </w:r>
          </w:p>
        </w:tc>
        <w:tc>
          <w:tcPr>
            <w:tcW w:w="1236" w:type="dxa"/>
            <w:tcBorders>
              <w:tl2br w:val="nil"/>
              <w:tr2bl w:val="nil"/>
            </w:tcBorders>
            <w:shd w:val="clear" w:color="auto" w:fill="auto"/>
            <w:vAlign w:val="center"/>
          </w:tcPr>
          <w:p w14:paraId="5E6551A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6FFA870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1、所有板材均采用背板9厘，其余18厘的E0级实木多层夹板，符合国家环保标准，防潮，耐用，不变形。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4.配铝合金挂衣杆</w:t>
            </w:r>
          </w:p>
        </w:tc>
      </w:tr>
      <w:tr w14:paraId="3104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3DD00E2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32</w:t>
            </w:r>
          </w:p>
        </w:tc>
        <w:tc>
          <w:tcPr>
            <w:tcW w:w="1236" w:type="dxa"/>
            <w:tcBorders>
              <w:tl2br w:val="nil"/>
              <w:tr2bl w:val="nil"/>
            </w:tcBorders>
            <w:shd w:val="clear" w:color="auto" w:fill="auto"/>
            <w:vAlign w:val="center"/>
          </w:tcPr>
          <w:p w14:paraId="71BAAAA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2132B2E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1、所有板材均采用背板9厘，其余18厘的E0级多层实木夹板，符合国家环保标准，防潮，耐用，不变形。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4.配铝合金挂衣杆</w:t>
            </w:r>
          </w:p>
        </w:tc>
      </w:tr>
      <w:tr w14:paraId="134C9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259C6F3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33</w:t>
            </w:r>
          </w:p>
        </w:tc>
        <w:tc>
          <w:tcPr>
            <w:tcW w:w="1236" w:type="dxa"/>
            <w:tcBorders>
              <w:tl2br w:val="nil"/>
              <w:tr2bl w:val="nil"/>
            </w:tcBorders>
            <w:shd w:val="clear" w:color="auto" w:fill="auto"/>
            <w:vAlign w:val="center"/>
          </w:tcPr>
          <w:p w14:paraId="7D649CF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洽谈桌</w:t>
            </w:r>
          </w:p>
        </w:tc>
        <w:tc>
          <w:tcPr>
            <w:tcW w:w="7175" w:type="dxa"/>
            <w:tcBorders>
              <w:tl2br w:val="nil"/>
              <w:tr2bl w:val="nil"/>
            </w:tcBorders>
            <w:shd w:val="clear" w:color="auto" w:fill="auto"/>
            <w:vAlign w:val="center"/>
          </w:tcPr>
          <w:p w14:paraId="17E6FB8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1、面材：优质E0级MFC板，耐磨、耐高温、易清洁，PVC封边</w:t>
            </w:r>
            <w:r>
              <w:rPr>
                <w:rFonts w:hint="eastAsia" w:ascii="宋体" w:hAnsi="宋体" w:eastAsia="宋体" w:cs="宋体"/>
                <w:sz w:val="22"/>
                <w:szCs w:val="22"/>
              </w:rPr>
              <w:br w:type="textWrapping"/>
            </w:r>
            <w:r>
              <w:rPr>
                <w:rFonts w:hint="eastAsia" w:ascii="宋体" w:hAnsi="宋体" w:eastAsia="宋体" w:cs="宋体"/>
                <w:sz w:val="22"/>
                <w:szCs w:val="22"/>
              </w:rPr>
              <w:t>2、台架：静电喷涂。</w:t>
            </w:r>
          </w:p>
        </w:tc>
      </w:tr>
      <w:tr w14:paraId="05A2E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7BB07E3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34</w:t>
            </w:r>
          </w:p>
        </w:tc>
        <w:tc>
          <w:tcPr>
            <w:tcW w:w="1236" w:type="dxa"/>
            <w:tcBorders>
              <w:tl2br w:val="nil"/>
              <w:tr2bl w:val="nil"/>
            </w:tcBorders>
            <w:shd w:val="clear" w:color="auto" w:fill="auto"/>
            <w:vAlign w:val="center"/>
          </w:tcPr>
          <w:p w14:paraId="3CE67FD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洽谈椅</w:t>
            </w:r>
          </w:p>
        </w:tc>
        <w:tc>
          <w:tcPr>
            <w:tcW w:w="7175" w:type="dxa"/>
            <w:tcBorders>
              <w:tl2br w:val="nil"/>
              <w:tr2bl w:val="nil"/>
            </w:tcBorders>
            <w:shd w:val="clear" w:color="auto" w:fill="auto"/>
            <w:vAlign w:val="center"/>
          </w:tcPr>
          <w:p w14:paraId="71C3F53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1、环保中沙PP材质，耐磨耐用，防水耐污，环保无气味。</w:t>
            </w:r>
            <w:r>
              <w:rPr>
                <w:rFonts w:hint="eastAsia" w:ascii="宋体" w:hAnsi="宋体" w:eastAsia="宋体" w:cs="宋体"/>
                <w:sz w:val="22"/>
                <w:szCs w:val="22"/>
              </w:rPr>
              <w:br w:type="textWrapping"/>
            </w:r>
            <w:r>
              <w:rPr>
                <w:rFonts w:hint="eastAsia" w:ascii="宋体" w:hAnsi="宋体" w:eastAsia="宋体" w:cs="宋体"/>
                <w:sz w:val="22"/>
                <w:szCs w:val="22"/>
              </w:rPr>
              <w:t>2、A级榉木实木脚，质地坚硬，纹理紧致新密，承重力强。</w:t>
            </w:r>
          </w:p>
        </w:tc>
      </w:tr>
      <w:tr w14:paraId="29745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675" w:type="dxa"/>
            <w:tcBorders>
              <w:tl2br w:val="nil"/>
              <w:tr2bl w:val="nil"/>
            </w:tcBorders>
            <w:shd w:val="clear" w:color="auto" w:fill="auto"/>
            <w:vAlign w:val="center"/>
          </w:tcPr>
          <w:p w14:paraId="56872C5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35</w:t>
            </w:r>
          </w:p>
        </w:tc>
        <w:tc>
          <w:tcPr>
            <w:tcW w:w="1236" w:type="dxa"/>
            <w:tcBorders>
              <w:tl2br w:val="nil"/>
              <w:tr2bl w:val="nil"/>
            </w:tcBorders>
            <w:shd w:val="clear" w:color="auto" w:fill="auto"/>
            <w:vAlign w:val="center"/>
          </w:tcPr>
          <w:p w14:paraId="1ABC3CA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上下铺</w:t>
            </w:r>
          </w:p>
        </w:tc>
        <w:tc>
          <w:tcPr>
            <w:tcW w:w="7175" w:type="dxa"/>
            <w:tcBorders>
              <w:tl2br w:val="nil"/>
              <w:tr2bl w:val="nil"/>
            </w:tcBorders>
            <w:shd w:val="clear" w:color="auto" w:fill="auto"/>
            <w:vAlign w:val="center"/>
          </w:tcPr>
          <w:p w14:paraId="543838E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1、上下铺为柜体与碳钢结合的折叠床</w:t>
            </w:r>
            <w:r>
              <w:rPr>
                <w:rFonts w:hint="eastAsia" w:ascii="宋体" w:hAnsi="宋体" w:eastAsia="宋体" w:cs="宋体"/>
                <w:sz w:val="22"/>
                <w:szCs w:val="22"/>
              </w:rPr>
              <w:br w:type="textWrapping"/>
            </w:r>
            <w:r>
              <w:rPr>
                <w:rFonts w:hint="eastAsia" w:ascii="宋体" w:hAnsi="宋体" w:eastAsia="宋体" w:cs="宋体"/>
                <w:sz w:val="22"/>
                <w:szCs w:val="22"/>
              </w:rPr>
              <w:t>2、柜体材质为E0级实木多层板，厚18mm</w:t>
            </w:r>
            <w:r>
              <w:rPr>
                <w:rFonts w:hint="eastAsia" w:ascii="宋体" w:hAnsi="宋体" w:eastAsia="宋体" w:cs="宋体"/>
                <w:sz w:val="22"/>
                <w:szCs w:val="22"/>
              </w:rPr>
              <w:br w:type="textWrapping"/>
            </w:r>
            <w:r>
              <w:rPr>
                <w:rFonts w:hint="eastAsia" w:ascii="宋体" w:hAnsi="宋体" w:eastAsia="宋体" w:cs="宋体"/>
                <w:sz w:val="22"/>
                <w:szCs w:val="22"/>
              </w:rPr>
              <w:t>3、柜体深350mm</w:t>
            </w:r>
            <w:r>
              <w:rPr>
                <w:rFonts w:hint="eastAsia" w:ascii="宋体" w:hAnsi="宋体" w:eastAsia="宋体" w:cs="宋体"/>
                <w:sz w:val="22"/>
                <w:szCs w:val="22"/>
              </w:rPr>
              <w:br w:type="textWrapping"/>
            </w:r>
            <w:r>
              <w:rPr>
                <w:rFonts w:hint="eastAsia" w:ascii="宋体" w:hAnsi="宋体" w:eastAsia="宋体" w:cs="宋体"/>
                <w:sz w:val="22"/>
                <w:szCs w:val="22"/>
              </w:rPr>
              <w:t>4、床架尺寸1900*900</w:t>
            </w:r>
            <w:r>
              <w:rPr>
                <w:rFonts w:hint="eastAsia" w:ascii="宋体" w:hAnsi="宋体" w:eastAsia="宋体" w:cs="宋体"/>
                <w:sz w:val="22"/>
                <w:szCs w:val="22"/>
              </w:rPr>
              <w:br w:type="textWrapping"/>
            </w:r>
            <w:r>
              <w:rPr>
                <w:rFonts w:hint="eastAsia" w:ascii="宋体" w:hAnsi="宋体" w:eastAsia="宋体" w:cs="宋体"/>
                <w:sz w:val="22"/>
                <w:szCs w:val="22"/>
              </w:rPr>
              <w:t>5、两张床均可折叠进柜体，折叠后美观大方</w:t>
            </w:r>
            <w:r>
              <w:rPr>
                <w:rFonts w:hint="eastAsia" w:ascii="宋体" w:hAnsi="宋体" w:eastAsia="宋体" w:cs="宋体"/>
                <w:sz w:val="22"/>
                <w:szCs w:val="22"/>
              </w:rPr>
              <w:br w:type="textWrapping"/>
            </w:r>
            <w:r>
              <w:rPr>
                <w:rFonts w:hint="eastAsia" w:ascii="宋体" w:hAnsi="宋体" w:eastAsia="宋体" w:cs="宋体"/>
                <w:sz w:val="22"/>
                <w:szCs w:val="22"/>
              </w:rPr>
              <w:t>6、承重力强，两侧均加装有支撑杆，确保上下床的稳固及安全性</w:t>
            </w:r>
            <w:r>
              <w:rPr>
                <w:rFonts w:hint="eastAsia" w:ascii="宋体" w:hAnsi="宋体" w:eastAsia="宋体" w:cs="宋体"/>
                <w:sz w:val="22"/>
                <w:szCs w:val="22"/>
              </w:rPr>
              <w:br w:type="textWrapping"/>
            </w:r>
            <w:r>
              <w:rPr>
                <w:rFonts w:hint="eastAsia" w:ascii="宋体" w:hAnsi="宋体" w:eastAsia="宋体" w:cs="宋体"/>
                <w:sz w:val="22"/>
                <w:szCs w:val="22"/>
              </w:rPr>
              <w:t>7、床架五金材质：碳钢，25＊50mm的方管 壁厚1.5mm</w:t>
            </w:r>
          </w:p>
          <w:p w14:paraId="426EA31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8、优质排骨架</w:t>
            </w:r>
          </w:p>
        </w:tc>
      </w:tr>
      <w:tr w14:paraId="6CEE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6E9FE03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36</w:t>
            </w:r>
          </w:p>
        </w:tc>
        <w:tc>
          <w:tcPr>
            <w:tcW w:w="1236" w:type="dxa"/>
            <w:tcBorders>
              <w:tl2br w:val="nil"/>
              <w:tr2bl w:val="nil"/>
            </w:tcBorders>
            <w:shd w:val="clear" w:color="auto" w:fill="auto"/>
            <w:vAlign w:val="center"/>
          </w:tcPr>
          <w:p w14:paraId="06697BF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17C49E0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061C9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07E0B1A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37</w:t>
            </w:r>
          </w:p>
        </w:tc>
        <w:tc>
          <w:tcPr>
            <w:tcW w:w="1236" w:type="dxa"/>
            <w:tcBorders>
              <w:tl2br w:val="nil"/>
              <w:tr2bl w:val="nil"/>
            </w:tcBorders>
            <w:shd w:val="clear" w:color="auto" w:fill="auto"/>
            <w:vAlign w:val="center"/>
          </w:tcPr>
          <w:p w14:paraId="520B84E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1EF708E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0C26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1164C6E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38</w:t>
            </w:r>
          </w:p>
        </w:tc>
        <w:tc>
          <w:tcPr>
            <w:tcW w:w="1236" w:type="dxa"/>
            <w:tcBorders>
              <w:tl2br w:val="nil"/>
              <w:tr2bl w:val="nil"/>
            </w:tcBorders>
            <w:shd w:val="clear" w:color="auto" w:fill="auto"/>
            <w:vAlign w:val="center"/>
          </w:tcPr>
          <w:p w14:paraId="622FDF9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洽谈桌</w:t>
            </w:r>
          </w:p>
        </w:tc>
        <w:tc>
          <w:tcPr>
            <w:tcW w:w="7175" w:type="dxa"/>
            <w:tcBorders>
              <w:tl2br w:val="nil"/>
              <w:tr2bl w:val="nil"/>
            </w:tcBorders>
            <w:shd w:val="clear" w:color="auto" w:fill="auto"/>
            <w:vAlign w:val="center"/>
          </w:tcPr>
          <w:p w14:paraId="61A182D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1、面材：优质E0级MFC板，耐磨、耐高温、易清洁，PVC封边</w:t>
            </w:r>
            <w:r>
              <w:rPr>
                <w:rFonts w:hint="eastAsia" w:ascii="宋体" w:hAnsi="宋体" w:eastAsia="宋体" w:cs="宋体"/>
                <w:sz w:val="22"/>
                <w:szCs w:val="22"/>
              </w:rPr>
              <w:br w:type="textWrapping"/>
            </w:r>
            <w:r>
              <w:rPr>
                <w:rFonts w:hint="eastAsia" w:ascii="宋体" w:hAnsi="宋体" w:eastAsia="宋体" w:cs="宋体"/>
                <w:sz w:val="22"/>
                <w:szCs w:val="22"/>
              </w:rPr>
              <w:t>2、台架：静电喷涂。</w:t>
            </w:r>
          </w:p>
        </w:tc>
      </w:tr>
      <w:tr w14:paraId="7CB81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3235321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39</w:t>
            </w:r>
          </w:p>
        </w:tc>
        <w:tc>
          <w:tcPr>
            <w:tcW w:w="1236" w:type="dxa"/>
            <w:tcBorders>
              <w:tl2br w:val="nil"/>
              <w:tr2bl w:val="nil"/>
            </w:tcBorders>
            <w:shd w:val="clear" w:color="auto" w:fill="auto"/>
            <w:vAlign w:val="center"/>
          </w:tcPr>
          <w:p w14:paraId="3DCF5E1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洽谈椅</w:t>
            </w:r>
          </w:p>
        </w:tc>
        <w:tc>
          <w:tcPr>
            <w:tcW w:w="7175" w:type="dxa"/>
            <w:tcBorders>
              <w:tl2br w:val="nil"/>
              <w:tr2bl w:val="nil"/>
            </w:tcBorders>
            <w:shd w:val="clear" w:color="auto" w:fill="auto"/>
            <w:vAlign w:val="center"/>
          </w:tcPr>
          <w:p w14:paraId="5758977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1、环保中沙PP材质，耐磨耐用，防水耐污，环保无气味。</w:t>
            </w:r>
            <w:r>
              <w:rPr>
                <w:rFonts w:hint="eastAsia" w:ascii="宋体" w:hAnsi="宋体" w:eastAsia="宋体" w:cs="宋体"/>
                <w:sz w:val="22"/>
                <w:szCs w:val="22"/>
              </w:rPr>
              <w:br w:type="textWrapping"/>
            </w:r>
            <w:r>
              <w:rPr>
                <w:rFonts w:hint="eastAsia" w:ascii="宋体" w:hAnsi="宋体" w:eastAsia="宋体" w:cs="宋体"/>
                <w:sz w:val="22"/>
                <w:szCs w:val="22"/>
              </w:rPr>
              <w:t>2、A级榉木实木脚，质地坚硬，纹理紧致新密，承重力强。</w:t>
            </w:r>
          </w:p>
        </w:tc>
      </w:tr>
      <w:tr w14:paraId="118B5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675" w:type="dxa"/>
            <w:tcBorders>
              <w:tl2br w:val="nil"/>
              <w:tr2bl w:val="nil"/>
            </w:tcBorders>
            <w:shd w:val="clear" w:color="auto" w:fill="auto"/>
            <w:vAlign w:val="center"/>
          </w:tcPr>
          <w:p w14:paraId="3CCAB94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40</w:t>
            </w:r>
          </w:p>
        </w:tc>
        <w:tc>
          <w:tcPr>
            <w:tcW w:w="1236" w:type="dxa"/>
            <w:tcBorders>
              <w:tl2br w:val="nil"/>
              <w:tr2bl w:val="nil"/>
            </w:tcBorders>
            <w:shd w:val="clear" w:color="auto" w:fill="auto"/>
            <w:vAlign w:val="center"/>
          </w:tcPr>
          <w:p w14:paraId="483306D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上下铺</w:t>
            </w:r>
          </w:p>
        </w:tc>
        <w:tc>
          <w:tcPr>
            <w:tcW w:w="7175" w:type="dxa"/>
            <w:tcBorders>
              <w:tl2br w:val="nil"/>
              <w:tr2bl w:val="nil"/>
            </w:tcBorders>
            <w:shd w:val="clear" w:color="auto" w:fill="auto"/>
            <w:vAlign w:val="center"/>
          </w:tcPr>
          <w:p w14:paraId="1D008D9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1、上下铺为柜体与碳钢结合的折叠床</w:t>
            </w:r>
            <w:r>
              <w:rPr>
                <w:rFonts w:hint="eastAsia" w:ascii="宋体" w:hAnsi="宋体" w:eastAsia="宋体" w:cs="宋体"/>
                <w:sz w:val="22"/>
                <w:szCs w:val="22"/>
              </w:rPr>
              <w:br w:type="textWrapping"/>
            </w:r>
            <w:r>
              <w:rPr>
                <w:rFonts w:hint="eastAsia" w:ascii="宋体" w:hAnsi="宋体" w:eastAsia="宋体" w:cs="宋体"/>
                <w:sz w:val="22"/>
                <w:szCs w:val="22"/>
              </w:rPr>
              <w:t>2、柜体材质为E0级多层实木板，厚18mm</w:t>
            </w:r>
            <w:r>
              <w:rPr>
                <w:rFonts w:hint="eastAsia" w:ascii="宋体" w:hAnsi="宋体" w:eastAsia="宋体" w:cs="宋体"/>
                <w:sz w:val="22"/>
                <w:szCs w:val="22"/>
              </w:rPr>
              <w:br w:type="textWrapping"/>
            </w:r>
            <w:r>
              <w:rPr>
                <w:rFonts w:hint="eastAsia" w:ascii="宋体" w:hAnsi="宋体" w:eastAsia="宋体" w:cs="宋体"/>
                <w:sz w:val="22"/>
                <w:szCs w:val="22"/>
              </w:rPr>
              <w:t>3、柜体深350mm</w:t>
            </w:r>
            <w:r>
              <w:rPr>
                <w:rFonts w:hint="eastAsia" w:ascii="宋体" w:hAnsi="宋体" w:eastAsia="宋体" w:cs="宋体"/>
                <w:sz w:val="22"/>
                <w:szCs w:val="22"/>
              </w:rPr>
              <w:br w:type="textWrapping"/>
            </w:r>
            <w:r>
              <w:rPr>
                <w:rFonts w:hint="eastAsia" w:ascii="宋体" w:hAnsi="宋体" w:eastAsia="宋体" w:cs="宋体"/>
                <w:sz w:val="22"/>
                <w:szCs w:val="22"/>
              </w:rPr>
              <w:t>4、床架尺寸1900*900</w:t>
            </w:r>
            <w:r>
              <w:rPr>
                <w:rFonts w:hint="eastAsia" w:ascii="宋体" w:hAnsi="宋体" w:eastAsia="宋体" w:cs="宋体"/>
                <w:sz w:val="22"/>
                <w:szCs w:val="22"/>
              </w:rPr>
              <w:br w:type="textWrapping"/>
            </w:r>
            <w:r>
              <w:rPr>
                <w:rFonts w:hint="eastAsia" w:ascii="宋体" w:hAnsi="宋体" w:eastAsia="宋体" w:cs="宋体"/>
                <w:sz w:val="22"/>
                <w:szCs w:val="22"/>
              </w:rPr>
              <w:t>5、两张床均可折叠进柜体，折叠后美观大方</w:t>
            </w:r>
            <w:r>
              <w:rPr>
                <w:rFonts w:hint="eastAsia" w:ascii="宋体" w:hAnsi="宋体" w:eastAsia="宋体" w:cs="宋体"/>
                <w:sz w:val="22"/>
                <w:szCs w:val="22"/>
              </w:rPr>
              <w:br w:type="textWrapping"/>
            </w:r>
            <w:r>
              <w:rPr>
                <w:rFonts w:hint="eastAsia" w:ascii="宋体" w:hAnsi="宋体" w:eastAsia="宋体" w:cs="宋体"/>
                <w:sz w:val="22"/>
                <w:szCs w:val="22"/>
              </w:rPr>
              <w:t>6、承重力强，两侧均加装有支撑杆，确保上下床的稳固及安全性</w:t>
            </w:r>
            <w:r>
              <w:rPr>
                <w:rFonts w:hint="eastAsia" w:ascii="宋体" w:hAnsi="宋体" w:eastAsia="宋体" w:cs="宋体"/>
                <w:sz w:val="22"/>
                <w:szCs w:val="22"/>
              </w:rPr>
              <w:br w:type="textWrapping"/>
            </w:r>
            <w:r>
              <w:rPr>
                <w:rFonts w:hint="eastAsia" w:ascii="宋体" w:hAnsi="宋体" w:eastAsia="宋体" w:cs="宋体"/>
                <w:sz w:val="22"/>
                <w:szCs w:val="22"/>
              </w:rPr>
              <w:t>7、床架五金材质：碳钢，25＊50mm的方管 壁厚1.5mm</w:t>
            </w:r>
          </w:p>
          <w:p w14:paraId="689AB12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8、优质排骨架</w:t>
            </w:r>
          </w:p>
        </w:tc>
      </w:tr>
      <w:tr w14:paraId="372F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294F6CA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41</w:t>
            </w:r>
          </w:p>
        </w:tc>
        <w:tc>
          <w:tcPr>
            <w:tcW w:w="1236" w:type="dxa"/>
            <w:tcBorders>
              <w:tl2br w:val="nil"/>
              <w:tr2bl w:val="nil"/>
            </w:tcBorders>
            <w:shd w:val="clear" w:color="auto" w:fill="auto"/>
            <w:vAlign w:val="center"/>
          </w:tcPr>
          <w:p w14:paraId="6708EDB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5C940FD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14A1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3F0C104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42</w:t>
            </w:r>
          </w:p>
        </w:tc>
        <w:tc>
          <w:tcPr>
            <w:tcW w:w="1236" w:type="dxa"/>
            <w:tcBorders>
              <w:tl2br w:val="nil"/>
              <w:tr2bl w:val="nil"/>
            </w:tcBorders>
            <w:shd w:val="clear" w:color="auto" w:fill="auto"/>
            <w:vAlign w:val="center"/>
          </w:tcPr>
          <w:p w14:paraId="4CD8C11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独立衣柜</w:t>
            </w:r>
          </w:p>
        </w:tc>
        <w:tc>
          <w:tcPr>
            <w:tcW w:w="7175" w:type="dxa"/>
            <w:tcBorders>
              <w:tl2br w:val="nil"/>
              <w:tr2bl w:val="nil"/>
            </w:tcBorders>
            <w:shd w:val="clear" w:color="auto" w:fill="auto"/>
            <w:vAlign w:val="center"/>
          </w:tcPr>
          <w:p w14:paraId="3273842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35391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675" w:type="dxa"/>
            <w:tcBorders>
              <w:tl2br w:val="nil"/>
              <w:tr2bl w:val="nil"/>
            </w:tcBorders>
            <w:shd w:val="clear" w:color="auto" w:fill="auto"/>
            <w:vAlign w:val="center"/>
          </w:tcPr>
          <w:p w14:paraId="045C936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43</w:t>
            </w:r>
          </w:p>
        </w:tc>
        <w:tc>
          <w:tcPr>
            <w:tcW w:w="1236" w:type="dxa"/>
            <w:tcBorders>
              <w:tl2br w:val="nil"/>
              <w:tr2bl w:val="nil"/>
            </w:tcBorders>
            <w:shd w:val="clear" w:color="auto" w:fill="auto"/>
            <w:vAlign w:val="center"/>
          </w:tcPr>
          <w:p w14:paraId="6E8E9DB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洽谈桌</w:t>
            </w:r>
          </w:p>
        </w:tc>
        <w:tc>
          <w:tcPr>
            <w:tcW w:w="7175" w:type="dxa"/>
            <w:tcBorders>
              <w:tl2br w:val="nil"/>
              <w:tr2bl w:val="nil"/>
            </w:tcBorders>
            <w:shd w:val="clear" w:color="auto" w:fill="auto"/>
            <w:vAlign w:val="center"/>
          </w:tcPr>
          <w:p w14:paraId="70457F7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1、面材：优质E0级MFC板，耐磨、耐高温、易清洁，PVC封边</w:t>
            </w:r>
            <w:r>
              <w:rPr>
                <w:rFonts w:hint="eastAsia" w:ascii="宋体" w:hAnsi="宋体" w:eastAsia="宋体" w:cs="宋体"/>
                <w:sz w:val="22"/>
                <w:szCs w:val="22"/>
              </w:rPr>
              <w:br w:type="textWrapping"/>
            </w:r>
            <w:r>
              <w:rPr>
                <w:rFonts w:hint="eastAsia" w:ascii="宋体" w:hAnsi="宋体" w:eastAsia="宋体" w:cs="宋体"/>
                <w:sz w:val="22"/>
                <w:szCs w:val="22"/>
              </w:rPr>
              <w:t>2、台架：静电喷涂。</w:t>
            </w:r>
          </w:p>
        </w:tc>
      </w:tr>
      <w:tr w14:paraId="58F06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675" w:type="dxa"/>
            <w:tcBorders>
              <w:tl2br w:val="nil"/>
              <w:tr2bl w:val="nil"/>
            </w:tcBorders>
            <w:shd w:val="clear" w:color="auto" w:fill="auto"/>
            <w:vAlign w:val="center"/>
          </w:tcPr>
          <w:p w14:paraId="6ADF15C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44</w:t>
            </w:r>
          </w:p>
        </w:tc>
        <w:tc>
          <w:tcPr>
            <w:tcW w:w="1236" w:type="dxa"/>
            <w:tcBorders>
              <w:tl2br w:val="nil"/>
              <w:tr2bl w:val="nil"/>
            </w:tcBorders>
            <w:shd w:val="clear" w:color="auto" w:fill="auto"/>
            <w:vAlign w:val="center"/>
          </w:tcPr>
          <w:p w14:paraId="0B52FE3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洽谈椅</w:t>
            </w:r>
          </w:p>
        </w:tc>
        <w:tc>
          <w:tcPr>
            <w:tcW w:w="7175" w:type="dxa"/>
            <w:tcBorders>
              <w:tl2br w:val="nil"/>
              <w:tr2bl w:val="nil"/>
            </w:tcBorders>
            <w:shd w:val="clear" w:color="auto" w:fill="auto"/>
            <w:vAlign w:val="center"/>
          </w:tcPr>
          <w:p w14:paraId="09F00B5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1、环保中沙PP材质，耐磨耐用，防水耐污，环保无气味。</w:t>
            </w:r>
            <w:r>
              <w:rPr>
                <w:rFonts w:hint="eastAsia" w:ascii="宋体" w:hAnsi="宋体" w:eastAsia="宋体" w:cs="宋体"/>
                <w:sz w:val="22"/>
                <w:szCs w:val="22"/>
              </w:rPr>
              <w:br w:type="textWrapping"/>
            </w:r>
            <w:r>
              <w:rPr>
                <w:rFonts w:hint="eastAsia" w:ascii="宋体" w:hAnsi="宋体" w:eastAsia="宋体" w:cs="宋体"/>
                <w:sz w:val="22"/>
                <w:szCs w:val="22"/>
              </w:rPr>
              <w:t>2、A级榉木实木脚，质地坚硬，纹理紧致新密，承重力强。</w:t>
            </w:r>
          </w:p>
        </w:tc>
      </w:tr>
      <w:tr w14:paraId="6CBD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75" w:type="dxa"/>
            <w:tcBorders>
              <w:tl2br w:val="nil"/>
              <w:tr2bl w:val="nil"/>
            </w:tcBorders>
            <w:shd w:val="clear" w:color="auto" w:fill="auto"/>
            <w:vAlign w:val="center"/>
          </w:tcPr>
          <w:p w14:paraId="19BD3B8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45</w:t>
            </w:r>
          </w:p>
        </w:tc>
        <w:tc>
          <w:tcPr>
            <w:tcW w:w="1236" w:type="dxa"/>
            <w:tcBorders>
              <w:tl2br w:val="nil"/>
              <w:tr2bl w:val="nil"/>
            </w:tcBorders>
            <w:shd w:val="clear" w:color="auto" w:fill="auto"/>
            <w:vAlign w:val="center"/>
          </w:tcPr>
          <w:p w14:paraId="0BA1B65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床（卧室）</w:t>
            </w:r>
          </w:p>
        </w:tc>
        <w:tc>
          <w:tcPr>
            <w:tcW w:w="7175" w:type="dxa"/>
            <w:tcBorders>
              <w:tl2br w:val="nil"/>
              <w:tr2bl w:val="nil"/>
            </w:tcBorders>
            <w:shd w:val="clear" w:color="auto" w:fill="auto"/>
            <w:vAlign w:val="center"/>
          </w:tcPr>
          <w:p w14:paraId="55DBCFB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1、真皮皮床</w:t>
            </w:r>
            <w:r>
              <w:rPr>
                <w:rFonts w:hint="eastAsia" w:ascii="宋体" w:hAnsi="宋体" w:eastAsia="宋体" w:cs="宋体"/>
                <w:sz w:val="22"/>
                <w:szCs w:val="22"/>
              </w:rPr>
              <w:br w:type="textWrapping"/>
            </w:r>
            <w:r>
              <w:rPr>
                <w:rFonts w:hint="eastAsia" w:ascii="宋体" w:hAnsi="宋体" w:eastAsia="宋体" w:cs="宋体"/>
                <w:sz w:val="22"/>
                <w:szCs w:val="22"/>
              </w:rPr>
              <w:t>2、优质排骨架</w:t>
            </w:r>
          </w:p>
        </w:tc>
      </w:tr>
      <w:tr w14:paraId="25FE1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3642377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46</w:t>
            </w:r>
          </w:p>
        </w:tc>
        <w:tc>
          <w:tcPr>
            <w:tcW w:w="1236" w:type="dxa"/>
            <w:tcBorders>
              <w:tl2br w:val="nil"/>
              <w:tr2bl w:val="nil"/>
            </w:tcBorders>
            <w:shd w:val="clear" w:color="auto" w:fill="auto"/>
            <w:vAlign w:val="center"/>
          </w:tcPr>
          <w:p w14:paraId="2557179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衣柜（卧室）</w:t>
            </w:r>
          </w:p>
        </w:tc>
        <w:tc>
          <w:tcPr>
            <w:tcW w:w="7175" w:type="dxa"/>
            <w:tcBorders>
              <w:tl2br w:val="nil"/>
              <w:tr2bl w:val="nil"/>
            </w:tcBorders>
            <w:shd w:val="clear" w:color="auto" w:fill="auto"/>
            <w:vAlign w:val="center"/>
          </w:tcPr>
          <w:p w14:paraId="1931C92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5753A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2064A66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47</w:t>
            </w:r>
          </w:p>
        </w:tc>
        <w:tc>
          <w:tcPr>
            <w:tcW w:w="1236" w:type="dxa"/>
            <w:tcBorders>
              <w:tl2br w:val="nil"/>
              <w:tr2bl w:val="nil"/>
            </w:tcBorders>
            <w:shd w:val="clear" w:color="auto" w:fill="auto"/>
            <w:vAlign w:val="center"/>
          </w:tcPr>
          <w:p w14:paraId="50505AD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衣柜（卧室）</w:t>
            </w:r>
          </w:p>
        </w:tc>
        <w:tc>
          <w:tcPr>
            <w:tcW w:w="7175" w:type="dxa"/>
            <w:tcBorders>
              <w:tl2br w:val="nil"/>
              <w:tr2bl w:val="nil"/>
            </w:tcBorders>
            <w:shd w:val="clear" w:color="auto" w:fill="auto"/>
            <w:vAlign w:val="center"/>
          </w:tcPr>
          <w:p w14:paraId="35BAB8E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288C7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3F0D3C7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48</w:t>
            </w:r>
          </w:p>
        </w:tc>
        <w:tc>
          <w:tcPr>
            <w:tcW w:w="1236" w:type="dxa"/>
            <w:tcBorders>
              <w:tl2br w:val="nil"/>
              <w:tr2bl w:val="nil"/>
            </w:tcBorders>
            <w:shd w:val="clear" w:color="auto" w:fill="auto"/>
            <w:vAlign w:val="center"/>
          </w:tcPr>
          <w:p w14:paraId="79D5462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衣柜（卧室）</w:t>
            </w:r>
          </w:p>
        </w:tc>
        <w:tc>
          <w:tcPr>
            <w:tcW w:w="7175" w:type="dxa"/>
            <w:tcBorders>
              <w:tl2br w:val="nil"/>
              <w:tr2bl w:val="nil"/>
            </w:tcBorders>
            <w:shd w:val="clear" w:color="auto" w:fill="auto"/>
            <w:vAlign w:val="center"/>
          </w:tcPr>
          <w:p w14:paraId="05F1CE8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1、所有板材均采用背板9厘，其余18厘E0级多层实木夹板，符合国家环保标准，防潮，耐用，不变形。</w:t>
            </w:r>
            <w:r>
              <w:rPr>
                <w:rFonts w:hint="eastAsia" w:ascii="宋体" w:hAnsi="宋体" w:eastAsia="宋体" w:cs="宋体"/>
                <w:sz w:val="22"/>
                <w:szCs w:val="22"/>
              </w:rPr>
              <w:br w:type="textWrapping"/>
            </w:r>
            <w:r>
              <w:rPr>
                <w:rFonts w:hint="eastAsia" w:ascii="宋体" w:hAnsi="宋体" w:eastAsia="宋体" w:cs="宋体"/>
                <w:sz w:val="22"/>
                <w:szCs w:val="22"/>
              </w:rPr>
              <w:t>2.采用PVC封边条，表面平滑、耐磨性强，抗氧化，不翘边。</w:t>
            </w:r>
            <w:r>
              <w:rPr>
                <w:rFonts w:hint="eastAsia" w:ascii="宋体" w:hAnsi="宋体" w:eastAsia="宋体" w:cs="宋体"/>
                <w:sz w:val="22"/>
                <w:szCs w:val="22"/>
              </w:rPr>
              <w:br w:type="textWrapping"/>
            </w:r>
            <w:r>
              <w:rPr>
                <w:rFonts w:hint="eastAsia" w:ascii="宋体" w:hAnsi="宋体" w:eastAsia="宋体" w:cs="宋体"/>
                <w:sz w:val="22"/>
                <w:szCs w:val="22"/>
              </w:rPr>
              <w:t>3.门铰采用冷轧钢缓冲门铰，保障十万次开合，静音，承重性强</w:t>
            </w:r>
            <w:r>
              <w:rPr>
                <w:rFonts w:hint="eastAsia" w:ascii="宋体" w:hAnsi="宋体" w:eastAsia="宋体" w:cs="宋体"/>
                <w:sz w:val="22"/>
                <w:szCs w:val="22"/>
              </w:rPr>
              <w:br w:type="textWrapping"/>
            </w:r>
            <w:r>
              <w:rPr>
                <w:rFonts w:hint="eastAsia" w:ascii="宋体" w:hAnsi="宋体" w:eastAsia="宋体" w:cs="宋体"/>
                <w:sz w:val="22"/>
                <w:szCs w:val="22"/>
              </w:rPr>
              <w:t>4.配铝合金挂杆</w:t>
            </w:r>
          </w:p>
        </w:tc>
      </w:tr>
      <w:tr w14:paraId="5ECA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675" w:type="dxa"/>
            <w:tcBorders>
              <w:tl2br w:val="nil"/>
              <w:tr2bl w:val="nil"/>
            </w:tcBorders>
            <w:shd w:val="clear" w:color="auto" w:fill="auto"/>
            <w:vAlign w:val="center"/>
          </w:tcPr>
          <w:p w14:paraId="2EDF83C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49</w:t>
            </w:r>
          </w:p>
        </w:tc>
        <w:tc>
          <w:tcPr>
            <w:tcW w:w="1236" w:type="dxa"/>
            <w:tcBorders>
              <w:tl2br w:val="nil"/>
              <w:tr2bl w:val="nil"/>
            </w:tcBorders>
            <w:shd w:val="clear" w:color="auto" w:fill="auto"/>
            <w:vAlign w:val="center"/>
          </w:tcPr>
          <w:p w14:paraId="4FD013E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办公桌（卧室）</w:t>
            </w:r>
          </w:p>
        </w:tc>
        <w:tc>
          <w:tcPr>
            <w:tcW w:w="7175" w:type="dxa"/>
            <w:tcBorders>
              <w:tl2br w:val="nil"/>
              <w:tr2bl w:val="nil"/>
            </w:tcBorders>
            <w:shd w:val="clear" w:color="auto" w:fill="auto"/>
            <w:vAlign w:val="center"/>
          </w:tcPr>
          <w:p w14:paraId="7C9798B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1、实木写字桌</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5165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675" w:type="dxa"/>
            <w:tcBorders>
              <w:tl2br w:val="nil"/>
              <w:tr2bl w:val="nil"/>
            </w:tcBorders>
            <w:shd w:val="clear" w:color="auto" w:fill="auto"/>
            <w:vAlign w:val="center"/>
          </w:tcPr>
          <w:p w14:paraId="2332F04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50</w:t>
            </w:r>
          </w:p>
        </w:tc>
        <w:tc>
          <w:tcPr>
            <w:tcW w:w="1236" w:type="dxa"/>
            <w:tcBorders>
              <w:tl2br w:val="nil"/>
              <w:tr2bl w:val="nil"/>
            </w:tcBorders>
            <w:shd w:val="clear" w:color="auto" w:fill="auto"/>
            <w:vAlign w:val="center"/>
          </w:tcPr>
          <w:p w14:paraId="74377D5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办公椅（卧室）</w:t>
            </w:r>
          </w:p>
        </w:tc>
        <w:tc>
          <w:tcPr>
            <w:tcW w:w="7175" w:type="dxa"/>
            <w:tcBorders>
              <w:tl2br w:val="nil"/>
              <w:tr2bl w:val="nil"/>
            </w:tcBorders>
            <w:shd w:val="clear" w:color="auto" w:fill="auto"/>
            <w:vAlign w:val="center"/>
          </w:tcPr>
          <w:p w14:paraId="0FD09EB8">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1、实木凳</w:t>
            </w:r>
            <w:r>
              <w:rPr>
                <w:rFonts w:hint="eastAsia" w:ascii="宋体" w:hAnsi="宋体" w:eastAsia="宋体" w:cs="宋体"/>
                <w:sz w:val="22"/>
                <w:szCs w:val="22"/>
              </w:rPr>
              <w:br w:type="textWrapping"/>
            </w:r>
            <w:r>
              <w:rPr>
                <w:rFonts w:hint="eastAsia" w:ascii="宋体" w:hAnsi="宋体" w:eastAsia="宋体" w:cs="宋体"/>
                <w:sz w:val="22"/>
                <w:szCs w:val="22"/>
              </w:rPr>
              <w:t>2、环保净味漆</w:t>
            </w:r>
            <w:r>
              <w:rPr>
                <w:rFonts w:hint="eastAsia" w:ascii="宋体" w:hAnsi="宋体" w:eastAsia="宋体" w:cs="宋体"/>
                <w:sz w:val="22"/>
                <w:szCs w:val="22"/>
              </w:rPr>
              <w:br w:type="textWrapping"/>
            </w:r>
            <w:r>
              <w:rPr>
                <w:rFonts w:hint="eastAsia" w:ascii="宋体" w:hAnsi="宋体" w:eastAsia="宋体" w:cs="宋体"/>
                <w:sz w:val="22"/>
                <w:szCs w:val="22"/>
              </w:rPr>
              <w:t>3、高弹高密海绵座包</w:t>
            </w:r>
            <w:r>
              <w:rPr>
                <w:rFonts w:hint="eastAsia" w:ascii="宋体" w:hAnsi="宋体" w:eastAsia="宋体" w:cs="宋体"/>
                <w:sz w:val="22"/>
                <w:szCs w:val="22"/>
              </w:rPr>
              <w:br w:type="textWrapping"/>
            </w:r>
            <w:r>
              <w:rPr>
                <w:rFonts w:hint="eastAsia" w:ascii="宋体" w:hAnsi="宋体" w:eastAsia="宋体" w:cs="宋体"/>
                <w:sz w:val="22"/>
                <w:szCs w:val="22"/>
              </w:rPr>
              <w:t>4、超纤皮软包</w:t>
            </w:r>
          </w:p>
        </w:tc>
      </w:tr>
      <w:tr w14:paraId="6E0E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5" w:type="dxa"/>
            <w:tcBorders>
              <w:tl2br w:val="nil"/>
              <w:tr2bl w:val="nil"/>
            </w:tcBorders>
            <w:shd w:val="clear" w:color="auto" w:fill="auto"/>
            <w:vAlign w:val="center"/>
          </w:tcPr>
          <w:p w14:paraId="45E3C83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51</w:t>
            </w:r>
          </w:p>
        </w:tc>
        <w:tc>
          <w:tcPr>
            <w:tcW w:w="1236" w:type="dxa"/>
            <w:tcBorders>
              <w:tl2br w:val="nil"/>
              <w:tr2bl w:val="nil"/>
            </w:tcBorders>
            <w:shd w:val="clear" w:color="auto" w:fill="auto"/>
            <w:vAlign w:val="center"/>
          </w:tcPr>
          <w:p w14:paraId="4E84325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洽谈桌（客厅）</w:t>
            </w:r>
          </w:p>
        </w:tc>
        <w:tc>
          <w:tcPr>
            <w:tcW w:w="7175" w:type="dxa"/>
            <w:tcBorders>
              <w:tl2br w:val="nil"/>
              <w:tr2bl w:val="nil"/>
            </w:tcBorders>
            <w:shd w:val="clear" w:color="auto" w:fill="auto"/>
            <w:vAlign w:val="center"/>
          </w:tcPr>
          <w:p w14:paraId="408CA12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1、白蜡木实木或金花梨木实木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79B5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5" w:type="dxa"/>
            <w:tcBorders>
              <w:tl2br w:val="nil"/>
              <w:tr2bl w:val="nil"/>
            </w:tcBorders>
            <w:shd w:val="clear" w:color="auto" w:fill="auto"/>
            <w:vAlign w:val="center"/>
          </w:tcPr>
          <w:p w14:paraId="33E78BE1">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52</w:t>
            </w:r>
          </w:p>
        </w:tc>
        <w:tc>
          <w:tcPr>
            <w:tcW w:w="1236" w:type="dxa"/>
            <w:tcBorders>
              <w:tl2br w:val="nil"/>
              <w:tr2bl w:val="nil"/>
            </w:tcBorders>
            <w:shd w:val="clear" w:color="auto" w:fill="auto"/>
            <w:vAlign w:val="center"/>
          </w:tcPr>
          <w:p w14:paraId="54EE0E7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洽谈椅（客厅）</w:t>
            </w:r>
          </w:p>
        </w:tc>
        <w:tc>
          <w:tcPr>
            <w:tcW w:w="7175" w:type="dxa"/>
            <w:tcBorders>
              <w:tl2br w:val="nil"/>
              <w:tr2bl w:val="nil"/>
            </w:tcBorders>
            <w:shd w:val="clear" w:color="auto" w:fill="auto"/>
            <w:vAlign w:val="center"/>
          </w:tcPr>
          <w:p w14:paraId="4BAE530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1、白蜡木实木或金花梨木实木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r>
              <w:rPr>
                <w:rFonts w:hint="eastAsia" w:ascii="宋体" w:hAnsi="宋体" w:eastAsia="宋体" w:cs="宋体"/>
                <w:sz w:val="22"/>
                <w:szCs w:val="22"/>
              </w:rPr>
              <w:br w:type="textWrapping"/>
            </w:r>
            <w:r>
              <w:rPr>
                <w:rFonts w:hint="eastAsia" w:ascii="宋体" w:hAnsi="宋体" w:eastAsia="宋体" w:cs="宋体"/>
                <w:sz w:val="22"/>
                <w:szCs w:val="22"/>
              </w:rPr>
              <w:t>3、高弹高密海绵座包</w:t>
            </w:r>
            <w:r>
              <w:rPr>
                <w:rFonts w:hint="eastAsia" w:ascii="宋体" w:hAnsi="宋体" w:eastAsia="宋体" w:cs="宋体"/>
                <w:sz w:val="22"/>
                <w:szCs w:val="22"/>
              </w:rPr>
              <w:br w:type="textWrapping"/>
            </w:r>
            <w:r>
              <w:rPr>
                <w:rFonts w:hint="eastAsia" w:ascii="宋体" w:hAnsi="宋体" w:eastAsia="宋体" w:cs="宋体"/>
                <w:sz w:val="22"/>
                <w:szCs w:val="22"/>
              </w:rPr>
              <w:t>4、布艺软包座面</w:t>
            </w:r>
          </w:p>
        </w:tc>
      </w:tr>
      <w:tr w14:paraId="7B29E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5" w:type="dxa"/>
            <w:tcBorders>
              <w:tl2br w:val="nil"/>
              <w:tr2bl w:val="nil"/>
            </w:tcBorders>
            <w:shd w:val="clear" w:color="auto" w:fill="auto"/>
            <w:vAlign w:val="center"/>
          </w:tcPr>
          <w:p w14:paraId="396A68D0">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53</w:t>
            </w:r>
          </w:p>
        </w:tc>
        <w:tc>
          <w:tcPr>
            <w:tcW w:w="1236" w:type="dxa"/>
            <w:tcBorders>
              <w:tl2br w:val="nil"/>
              <w:tr2bl w:val="nil"/>
            </w:tcBorders>
            <w:shd w:val="clear" w:color="auto" w:fill="auto"/>
            <w:vAlign w:val="center"/>
          </w:tcPr>
          <w:p w14:paraId="4243D53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双人沙发</w:t>
            </w:r>
          </w:p>
        </w:tc>
        <w:tc>
          <w:tcPr>
            <w:tcW w:w="7175" w:type="dxa"/>
            <w:tcBorders>
              <w:tl2br w:val="nil"/>
              <w:tr2bl w:val="nil"/>
            </w:tcBorders>
            <w:shd w:val="clear" w:color="auto" w:fill="auto"/>
            <w:vAlign w:val="center"/>
          </w:tcPr>
          <w:p w14:paraId="3F56ACA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1、超纤皮软包</w:t>
            </w:r>
            <w:r>
              <w:rPr>
                <w:rFonts w:hint="eastAsia" w:ascii="宋体" w:hAnsi="宋体" w:eastAsia="宋体" w:cs="宋体"/>
                <w:sz w:val="22"/>
                <w:szCs w:val="22"/>
              </w:rPr>
              <w:br w:type="textWrapping"/>
            </w:r>
            <w:r>
              <w:rPr>
                <w:rFonts w:hint="eastAsia" w:ascii="宋体" w:hAnsi="宋体" w:eastAsia="宋体" w:cs="宋体"/>
                <w:sz w:val="22"/>
                <w:szCs w:val="22"/>
              </w:rPr>
              <w:t>2、高密高弹海绵</w:t>
            </w:r>
            <w:r>
              <w:rPr>
                <w:rFonts w:hint="eastAsia" w:ascii="宋体" w:hAnsi="宋体" w:eastAsia="宋体" w:cs="宋体"/>
                <w:sz w:val="22"/>
                <w:szCs w:val="22"/>
              </w:rPr>
              <w:br w:type="textWrapping"/>
            </w:r>
            <w:r>
              <w:rPr>
                <w:rFonts w:hint="eastAsia" w:ascii="宋体" w:hAnsi="宋体" w:eastAsia="宋体" w:cs="宋体"/>
                <w:sz w:val="22"/>
                <w:szCs w:val="22"/>
              </w:rPr>
              <w:t>3、实木脚架</w:t>
            </w:r>
          </w:p>
        </w:tc>
      </w:tr>
      <w:tr w14:paraId="0646D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5" w:type="dxa"/>
            <w:tcBorders>
              <w:tl2br w:val="nil"/>
              <w:tr2bl w:val="nil"/>
            </w:tcBorders>
            <w:shd w:val="clear" w:color="auto" w:fill="auto"/>
            <w:vAlign w:val="center"/>
          </w:tcPr>
          <w:p w14:paraId="10DE4BB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54</w:t>
            </w:r>
          </w:p>
        </w:tc>
        <w:tc>
          <w:tcPr>
            <w:tcW w:w="1236" w:type="dxa"/>
            <w:tcBorders>
              <w:tl2br w:val="nil"/>
              <w:tr2bl w:val="nil"/>
            </w:tcBorders>
            <w:shd w:val="clear" w:color="auto" w:fill="auto"/>
            <w:vAlign w:val="center"/>
          </w:tcPr>
          <w:p w14:paraId="3B0AEF2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茶几</w:t>
            </w:r>
          </w:p>
        </w:tc>
        <w:tc>
          <w:tcPr>
            <w:tcW w:w="7175" w:type="dxa"/>
            <w:tcBorders>
              <w:tl2br w:val="nil"/>
              <w:tr2bl w:val="nil"/>
            </w:tcBorders>
            <w:shd w:val="clear" w:color="auto" w:fill="auto"/>
            <w:vAlign w:val="center"/>
          </w:tcPr>
          <w:p w14:paraId="2D85EFA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1、白蜡木实木或金花梨木实木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696F7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trPr>
        <w:tc>
          <w:tcPr>
            <w:tcW w:w="675" w:type="dxa"/>
            <w:tcBorders>
              <w:tl2br w:val="nil"/>
              <w:tr2bl w:val="nil"/>
            </w:tcBorders>
            <w:shd w:val="clear" w:color="auto" w:fill="auto"/>
            <w:vAlign w:val="center"/>
          </w:tcPr>
          <w:p w14:paraId="66C10FD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55</w:t>
            </w:r>
          </w:p>
        </w:tc>
        <w:tc>
          <w:tcPr>
            <w:tcW w:w="1236" w:type="dxa"/>
            <w:tcBorders>
              <w:tl2br w:val="nil"/>
              <w:tr2bl w:val="nil"/>
            </w:tcBorders>
            <w:shd w:val="clear" w:color="auto" w:fill="auto"/>
            <w:vAlign w:val="center"/>
          </w:tcPr>
          <w:p w14:paraId="178A352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主席台条桌</w:t>
            </w:r>
          </w:p>
        </w:tc>
        <w:tc>
          <w:tcPr>
            <w:tcW w:w="7175" w:type="dxa"/>
            <w:tcBorders>
              <w:tl2br w:val="nil"/>
              <w:tr2bl w:val="nil"/>
            </w:tcBorders>
            <w:shd w:val="clear" w:color="auto" w:fill="auto"/>
            <w:vAlign w:val="center"/>
          </w:tcPr>
          <w:p w14:paraId="2C26D96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1、基材：符合E0级标准的MFC板；</w:t>
            </w:r>
            <w:r>
              <w:rPr>
                <w:rFonts w:hint="eastAsia" w:ascii="宋体" w:hAnsi="宋体" w:eastAsia="宋体" w:cs="宋体"/>
                <w:sz w:val="22"/>
                <w:szCs w:val="22"/>
              </w:rPr>
              <w:br w:type="textWrapping"/>
            </w:r>
            <w:r>
              <w:rPr>
                <w:rFonts w:hint="eastAsia" w:ascii="宋体" w:hAnsi="宋体" w:eastAsia="宋体" w:cs="宋体"/>
                <w:sz w:val="22"/>
                <w:szCs w:val="22"/>
              </w:rPr>
              <w:t>2、台面厚度：25mm，同色封边；</w:t>
            </w:r>
            <w:r>
              <w:rPr>
                <w:rFonts w:hint="eastAsia" w:ascii="宋体" w:hAnsi="宋体" w:eastAsia="宋体" w:cs="宋体"/>
                <w:sz w:val="22"/>
                <w:szCs w:val="22"/>
              </w:rPr>
              <w:br w:type="textWrapping"/>
            </w:r>
            <w:r>
              <w:rPr>
                <w:rFonts w:hint="eastAsia" w:ascii="宋体" w:hAnsi="宋体" w:eastAsia="宋体" w:cs="宋体"/>
                <w:sz w:val="22"/>
                <w:szCs w:val="22"/>
              </w:rPr>
              <w:t>3、五金：采用国内优质五金配件</w:t>
            </w:r>
            <w:r>
              <w:rPr>
                <w:rFonts w:hint="eastAsia" w:ascii="宋体" w:hAnsi="宋体" w:eastAsia="宋体" w:cs="宋体"/>
                <w:sz w:val="22"/>
                <w:szCs w:val="22"/>
              </w:rPr>
              <w:br w:type="textWrapping"/>
            </w:r>
            <w:r>
              <w:rPr>
                <w:rFonts w:hint="eastAsia" w:ascii="宋体" w:hAnsi="宋体" w:eastAsia="宋体" w:cs="宋体"/>
                <w:sz w:val="22"/>
                <w:szCs w:val="22"/>
              </w:rPr>
              <w:t>4、尺寸：5000*600*750</w:t>
            </w:r>
          </w:p>
        </w:tc>
      </w:tr>
      <w:tr w14:paraId="6CA7E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7450C13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56</w:t>
            </w:r>
          </w:p>
        </w:tc>
        <w:tc>
          <w:tcPr>
            <w:tcW w:w="1236" w:type="dxa"/>
            <w:tcBorders>
              <w:tl2br w:val="nil"/>
              <w:tr2bl w:val="nil"/>
            </w:tcBorders>
            <w:shd w:val="clear" w:color="auto" w:fill="auto"/>
            <w:vAlign w:val="center"/>
          </w:tcPr>
          <w:p w14:paraId="5911EA2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职员椅</w:t>
            </w:r>
          </w:p>
        </w:tc>
        <w:tc>
          <w:tcPr>
            <w:tcW w:w="7175" w:type="dxa"/>
            <w:tcBorders>
              <w:tl2br w:val="nil"/>
              <w:tr2bl w:val="nil"/>
            </w:tcBorders>
            <w:shd w:val="clear" w:color="auto" w:fill="auto"/>
            <w:vAlign w:val="center"/>
          </w:tcPr>
          <w:p w14:paraId="1F50751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1、专业办公网布饰面</w:t>
            </w:r>
            <w:r>
              <w:rPr>
                <w:rFonts w:hint="eastAsia" w:ascii="宋体" w:hAnsi="宋体" w:eastAsia="宋体" w:cs="宋体"/>
                <w:sz w:val="22"/>
                <w:szCs w:val="22"/>
              </w:rPr>
              <w:br w:type="textWrapping"/>
            </w:r>
            <w:r>
              <w:rPr>
                <w:rFonts w:hint="eastAsia" w:ascii="宋体" w:hAnsi="宋体" w:eastAsia="宋体" w:cs="宋体"/>
                <w:sz w:val="22"/>
                <w:szCs w:val="22"/>
              </w:rPr>
              <w:t>2、黑色PA尼龙+玻纤椅背</w:t>
            </w:r>
            <w:r>
              <w:rPr>
                <w:rFonts w:hint="eastAsia" w:ascii="宋体" w:hAnsi="宋体" w:eastAsia="宋体" w:cs="宋体"/>
                <w:sz w:val="22"/>
                <w:szCs w:val="22"/>
              </w:rPr>
              <w:br w:type="textWrapping"/>
            </w:r>
            <w:r>
              <w:rPr>
                <w:rFonts w:hint="eastAsia" w:ascii="宋体" w:hAnsi="宋体" w:eastAsia="宋体" w:cs="宋体"/>
                <w:sz w:val="22"/>
                <w:szCs w:val="22"/>
              </w:rPr>
              <w:t>3、PP固定扶手</w:t>
            </w:r>
            <w:r>
              <w:rPr>
                <w:rFonts w:hint="eastAsia" w:ascii="宋体" w:hAnsi="宋体" w:eastAsia="宋体" w:cs="宋体"/>
                <w:sz w:val="22"/>
                <w:szCs w:val="22"/>
              </w:rPr>
              <w:br w:type="textWrapping"/>
            </w:r>
            <w:r>
              <w:rPr>
                <w:rFonts w:hint="eastAsia" w:ascii="宋体" w:hAnsi="宋体" w:eastAsia="宋体" w:cs="宋体"/>
                <w:sz w:val="22"/>
                <w:szCs w:val="22"/>
              </w:rPr>
              <w:t>4、高密度高回弹力原生海绵</w:t>
            </w:r>
            <w:r>
              <w:rPr>
                <w:rFonts w:hint="eastAsia" w:ascii="宋体" w:hAnsi="宋体" w:eastAsia="宋体" w:cs="宋体"/>
                <w:sz w:val="22"/>
                <w:szCs w:val="22"/>
              </w:rPr>
              <w:br w:type="textWrapping"/>
            </w:r>
            <w:r>
              <w:rPr>
                <w:rFonts w:hint="eastAsia" w:ascii="宋体" w:hAnsi="宋体" w:eastAsia="宋体" w:cs="宋体"/>
                <w:sz w:val="22"/>
                <w:szCs w:val="22"/>
              </w:rPr>
              <w:t>5、1.5厚度25圆管黑色烤漆弓形架</w:t>
            </w:r>
            <w:r>
              <w:rPr>
                <w:rFonts w:hint="eastAsia" w:ascii="宋体" w:hAnsi="宋体" w:eastAsia="宋体" w:cs="宋体"/>
                <w:sz w:val="22"/>
                <w:szCs w:val="22"/>
              </w:rPr>
              <w:br w:type="textWrapping"/>
            </w:r>
            <w:r>
              <w:rPr>
                <w:rFonts w:hint="eastAsia" w:ascii="宋体" w:hAnsi="宋体" w:eastAsia="宋体" w:cs="宋体"/>
                <w:sz w:val="22"/>
                <w:szCs w:val="22"/>
              </w:rPr>
              <w:t>6、尺寸：常规</w:t>
            </w:r>
          </w:p>
        </w:tc>
      </w:tr>
      <w:tr w14:paraId="595AF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0189E84B">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57</w:t>
            </w:r>
          </w:p>
        </w:tc>
        <w:tc>
          <w:tcPr>
            <w:tcW w:w="1236" w:type="dxa"/>
            <w:tcBorders>
              <w:tl2br w:val="nil"/>
              <w:tr2bl w:val="nil"/>
            </w:tcBorders>
            <w:shd w:val="clear" w:color="auto" w:fill="auto"/>
            <w:vAlign w:val="center"/>
          </w:tcPr>
          <w:p w14:paraId="22A12564">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前排联排桌椅</w:t>
            </w:r>
          </w:p>
        </w:tc>
        <w:tc>
          <w:tcPr>
            <w:tcW w:w="7175" w:type="dxa"/>
            <w:tcBorders>
              <w:tl2br w:val="nil"/>
              <w:tr2bl w:val="nil"/>
            </w:tcBorders>
            <w:shd w:val="clear" w:color="auto" w:fill="auto"/>
            <w:vAlign w:val="center"/>
          </w:tcPr>
          <w:p w14:paraId="755BFF2E">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cs="宋体"/>
                <w:sz w:val="22"/>
                <w:szCs w:val="22"/>
                <w:lang w:val="en-US" w:eastAsia="zh-CN"/>
              </w:rPr>
              <w:t>1、1、</w:t>
            </w:r>
            <w:r>
              <w:rPr>
                <w:rFonts w:hint="eastAsia" w:ascii="宋体" w:hAnsi="宋体" w:eastAsia="宋体" w:cs="宋体"/>
                <w:sz w:val="22"/>
                <w:szCs w:val="22"/>
              </w:rPr>
              <w:t>优质写字板，采用优质25MM三聚氰胺板(贴防火板)；</w:t>
            </w:r>
          </w:p>
          <w:p w14:paraId="4F8E3941">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cs="宋体"/>
                <w:sz w:val="22"/>
                <w:szCs w:val="22"/>
                <w:lang w:val="en-US" w:eastAsia="zh-CN"/>
              </w:rPr>
              <w:t>2、2、</w:t>
            </w:r>
            <w:r>
              <w:rPr>
                <w:rFonts w:hint="eastAsia" w:ascii="宋体" w:hAnsi="宋体" w:eastAsia="宋体" w:cs="宋体"/>
                <w:sz w:val="22"/>
                <w:szCs w:val="22"/>
              </w:rPr>
              <w:t>优质坐背板，其材采用优质多层成型板，面压榉木色防火板，背厚度为10MM，座厚度为15MM；立柱脚，采用铝合金一体压铸成型，表面经喷涂处理；</w:t>
            </w:r>
          </w:p>
          <w:p w14:paraId="4AB36D5B">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cs="宋体"/>
                <w:sz w:val="22"/>
                <w:szCs w:val="22"/>
                <w:lang w:val="en-US" w:eastAsia="zh-CN"/>
              </w:rPr>
              <w:t>3、3、</w:t>
            </w:r>
            <w:r>
              <w:rPr>
                <w:rFonts w:hint="eastAsia" w:ascii="宋体" w:hAnsi="宋体" w:eastAsia="宋体" w:cs="宋体"/>
                <w:sz w:val="22"/>
                <w:szCs w:val="22"/>
              </w:rPr>
              <w:t>成熟工艺，采用优质面板，面压防火板;</w:t>
            </w:r>
          </w:p>
          <w:p w14:paraId="1B244440">
            <w:pPr>
              <w:pStyle w:val="299"/>
              <w:keepNext w:val="0"/>
              <w:keepLines w:val="0"/>
              <w:pageBreakBefore w:val="0"/>
              <w:numPr>
                <w:numId w:val="0"/>
              </w:numPr>
              <w:kinsoku/>
              <w:wordWrap/>
              <w:overflowPunct/>
              <w:topLinePunct w:val="0"/>
              <w:autoSpaceDE/>
              <w:autoSpaceDN/>
              <w:bidi w:val="0"/>
              <w:adjustRightInd/>
              <w:snapToGrid/>
              <w:spacing w:line="360" w:lineRule="exact"/>
              <w:jc w:val="left"/>
              <w:textAlignment w:val="auto"/>
              <w:rPr>
                <w:rFonts w:hint="eastAsia" w:ascii="宋体" w:hAnsi="宋体" w:eastAsia="宋体" w:cs="宋体"/>
                <w:sz w:val="22"/>
                <w:szCs w:val="22"/>
              </w:rPr>
            </w:pPr>
            <w:r>
              <w:rPr>
                <w:rFonts w:hint="eastAsia" w:ascii="宋体" w:hAnsi="宋体" w:cs="宋体"/>
                <w:sz w:val="22"/>
                <w:szCs w:val="22"/>
                <w:lang w:val="en-US" w:eastAsia="zh-CN"/>
              </w:rPr>
              <w:t>4、</w:t>
            </w:r>
            <w:r>
              <w:rPr>
                <w:rFonts w:hint="eastAsia" w:ascii="宋体" w:hAnsi="宋体" w:eastAsia="宋体" w:cs="宋体"/>
                <w:sz w:val="22"/>
                <w:szCs w:val="22"/>
              </w:rPr>
              <w:t>采用自动弹起机制，成品美观结实</w:t>
            </w:r>
          </w:p>
        </w:tc>
      </w:tr>
      <w:tr w14:paraId="27292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12EF470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58</w:t>
            </w:r>
          </w:p>
        </w:tc>
        <w:tc>
          <w:tcPr>
            <w:tcW w:w="1236" w:type="dxa"/>
            <w:tcBorders>
              <w:tl2br w:val="nil"/>
              <w:tr2bl w:val="nil"/>
            </w:tcBorders>
            <w:shd w:val="clear" w:color="auto" w:fill="auto"/>
            <w:vAlign w:val="center"/>
          </w:tcPr>
          <w:p w14:paraId="00857DB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中排联排桌椅</w:t>
            </w:r>
          </w:p>
        </w:tc>
        <w:tc>
          <w:tcPr>
            <w:tcW w:w="7175" w:type="dxa"/>
            <w:tcBorders>
              <w:tl2br w:val="nil"/>
              <w:tr2bl w:val="nil"/>
            </w:tcBorders>
            <w:shd w:val="clear" w:color="auto" w:fill="auto"/>
            <w:vAlign w:val="center"/>
          </w:tcPr>
          <w:p w14:paraId="53424DB8">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优</w:t>
            </w:r>
            <w:r>
              <w:rPr>
                <w:rFonts w:hint="eastAsia" w:ascii="宋体" w:hAnsi="宋体" w:cs="宋体"/>
                <w:sz w:val="22"/>
                <w:szCs w:val="22"/>
                <w:lang w:val="en-US" w:eastAsia="zh-CN"/>
              </w:rPr>
              <w:t>1、</w:t>
            </w:r>
            <w:r>
              <w:rPr>
                <w:rFonts w:hint="eastAsia" w:ascii="宋体" w:hAnsi="宋体" w:eastAsia="宋体" w:cs="宋体"/>
                <w:sz w:val="22"/>
                <w:szCs w:val="22"/>
              </w:rPr>
              <w:t>质写字板，采用优质25MM三聚氰胺板(贴防火板)；</w:t>
            </w:r>
          </w:p>
          <w:p w14:paraId="0904C1C3">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优</w:t>
            </w:r>
            <w:r>
              <w:rPr>
                <w:rFonts w:hint="eastAsia" w:ascii="宋体" w:hAnsi="宋体" w:cs="宋体"/>
                <w:sz w:val="22"/>
                <w:szCs w:val="22"/>
                <w:lang w:val="en-US" w:eastAsia="zh-CN"/>
              </w:rPr>
              <w:t>2、</w:t>
            </w:r>
            <w:r>
              <w:rPr>
                <w:rFonts w:hint="eastAsia" w:ascii="宋体" w:hAnsi="宋体" w:eastAsia="宋体" w:cs="宋体"/>
                <w:sz w:val="22"/>
                <w:szCs w:val="22"/>
              </w:rPr>
              <w:t>质坐背板，其材采用优质多层成型板，面压榉木色防火板，背厚度为10MM，座厚度为15MM；立柱脚，采用铝合金一体压铸成型，表面经喷涂处理；</w:t>
            </w:r>
          </w:p>
          <w:p w14:paraId="4A910335">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成</w:t>
            </w:r>
            <w:r>
              <w:rPr>
                <w:rFonts w:hint="eastAsia" w:ascii="宋体" w:hAnsi="宋体" w:cs="宋体"/>
                <w:sz w:val="22"/>
                <w:szCs w:val="22"/>
                <w:lang w:val="en-US" w:eastAsia="zh-CN"/>
              </w:rPr>
              <w:t>3、</w:t>
            </w:r>
            <w:r>
              <w:rPr>
                <w:rFonts w:hint="eastAsia" w:ascii="宋体" w:hAnsi="宋体" w:eastAsia="宋体" w:cs="宋体"/>
                <w:sz w:val="22"/>
                <w:szCs w:val="22"/>
              </w:rPr>
              <w:t>熟工艺，采用优质面板，面压防火板;</w:t>
            </w:r>
          </w:p>
          <w:p w14:paraId="1C348D9B">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采</w:t>
            </w:r>
            <w:r>
              <w:rPr>
                <w:rFonts w:hint="eastAsia" w:ascii="宋体" w:hAnsi="宋体" w:cs="宋体"/>
                <w:sz w:val="22"/>
                <w:szCs w:val="22"/>
                <w:lang w:val="en-US" w:eastAsia="zh-CN"/>
              </w:rPr>
              <w:t>4、</w:t>
            </w:r>
            <w:r>
              <w:rPr>
                <w:rFonts w:hint="eastAsia" w:ascii="宋体" w:hAnsi="宋体" w:eastAsia="宋体" w:cs="宋体"/>
                <w:sz w:val="22"/>
                <w:szCs w:val="22"/>
              </w:rPr>
              <w:t>用自动弹起机制，成品美观结实</w:t>
            </w:r>
          </w:p>
        </w:tc>
      </w:tr>
      <w:tr w14:paraId="1D20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75" w:type="dxa"/>
            <w:tcBorders>
              <w:tl2br w:val="nil"/>
              <w:tr2bl w:val="nil"/>
            </w:tcBorders>
            <w:shd w:val="clear" w:color="auto" w:fill="auto"/>
            <w:vAlign w:val="center"/>
          </w:tcPr>
          <w:p w14:paraId="7109A6F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59</w:t>
            </w:r>
          </w:p>
        </w:tc>
        <w:tc>
          <w:tcPr>
            <w:tcW w:w="1236" w:type="dxa"/>
            <w:tcBorders>
              <w:tl2br w:val="nil"/>
              <w:tr2bl w:val="nil"/>
            </w:tcBorders>
            <w:shd w:val="clear" w:color="auto" w:fill="auto"/>
            <w:vAlign w:val="center"/>
          </w:tcPr>
          <w:p w14:paraId="1A56F91C">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后排联排桌椅</w:t>
            </w:r>
          </w:p>
        </w:tc>
        <w:tc>
          <w:tcPr>
            <w:tcW w:w="7175" w:type="dxa"/>
            <w:tcBorders>
              <w:tl2br w:val="nil"/>
              <w:tr2bl w:val="nil"/>
            </w:tcBorders>
            <w:shd w:val="clear" w:color="auto" w:fill="auto"/>
            <w:vAlign w:val="center"/>
          </w:tcPr>
          <w:p w14:paraId="750BE86E">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优</w:t>
            </w:r>
            <w:r>
              <w:rPr>
                <w:rFonts w:hint="eastAsia" w:ascii="宋体" w:hAnsi="宋体" w:cs="宋体"/>
                <w:sz w:val="22"/>
                <w:szCs w:val="22"/>
                <w:lang w:val="en-US" w:eastAsia="zh-CN"/>
              </w:rPr>
              <w:t>1、</w:t>
            </w:r>
            <w:r>
              <w:rPr>
                <w:rFonts w:hint="eastAsia" w:ascii="宋体" w:hAnsi="宋体" w:eastAsia="宋体" w:cs="宋体"/>
                <w:sz w:val="22"/>
                <w:szCs w:val="22"/>
              </w:rPr>
              <w:t>质写字板，采用优质25MM三聚氰胺板(贴防火板)；</w:t>
            </w:r>
          </w:p>
          <w:p w14:paraId="0E4CE7F9">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优</w:t>
            </w:r>
            <w:r>
              <w:rPr>
                <w:rFonts w:hint="eastAsia" w:ascii="宋体" w:hAnsi="宋体" w:cs="宋体"/>
                <w:sz w:val="22"/>
                <w:szCs w:val="22"/>
                <w:lang w:val="en-US" w:eastAsia="zh-CN"/>
              </w:rPr>
              <w:t>2、</w:t>
            </w:r>
            <w:r>
              <w:rPr>
                <w:rFonts w:hint="eastAsia" w:ascii="宋体" w:hAnsi="宋体" w:eastAsia="宋体" w:cs="宋体"/>
                <w:sz w:val="22"/>
                <w:szCs w:val="22"/>
              </w:rPr>
              <w:t>质坐背板，其材采用优质多层成型板，面压榉木色防火板，背厚度为10MM，座厚度为15MM；立柱脚，采用铝合金一体压铸成型，表面经喷涂处理；</w:t>
            </w:r>
          </w:p>
          <w:p w14:paraId="428EFA70">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成</w:t>
            </w:r>
            <w:r>
              <w:rPr>
                <w:rFonts w:hint="eastAsia" w:ascii="宋体" w:hAnsi="宋体" w:cs="宋体"/>
                <w:sz w:val="22"/>
                <w:szCs w:val="22"/>
                <w:lang w:val="en-US" w:eastAsia="zh-CN"/>
              </w:rPr>
              <w:t>3、</w:t>
            </w:r>
            <w:r>
              <w:rPr>
                <w:rFonts w:hint="eastAsia" w:ascii="宋体" w:hAnsi="宋体" w:eastAsia="宋体" w:cs="宋体"/>
                <w:sz w:val="22"/>
                <w:szCs w:val="22"/>
              </w:rPr>
              <w:t>熟工艺，采用优质面板，面压防火板;</w:t>
            </w:r>
          </w:p>
          <w:p w14:paraId="159F58DA">
            <w:pPr>
              <w:pStyle w:val="299"/>
              <w:keepNext w:val="0"/>
              <w:keepLines w:val="0"/>
              <w:pageBreakBefore w:val="0"/>
              <w:numPr>
                <w:numId w:val="0"/>
              </w:numPr>
              <w:kinsoku/>
              <w:wordWrap/>
              <w:overflowPunct/>
              <w:topLinePunct w:val="0"/>
              <w:autoSpaceDE/>
              <w:autoSpaceDN/>
              <w:bidi w:val="0"/>
              <w:adjustRightInd/>
              <w:snapToGrid/>
              <w:spacing w:line="360" w:lineRule="exact"/>
              <w:ind w:left="-300" w:leftChars="0"/>
              <w:jc w:val="left"/>
              <w:textAlignment w:val="auto"/>
              <w:rPr>
                <w:rFonts w:hint="eastAsia" w:ascii="宋体" w:hAnsi="宋体" w:eastAsia="宋体" w:cs="宋体"/>
                <w:sz w:val="22"/>
                <w:szCs w:val="22"/>
              </w:rPr>
            </w:pPr>
            <w:r>
              <w:rPr>
                <w:rFonts w:hint="eastAsia" w:ascii="宋体" w:hAnsi="宋体" w:eastAsia="宋体" w:cs="宋体"/>
                <w:sz w:val="22"/>
                <w:szCs w:val="22"/>
              </w:rPr>
              <w:t>采</w:t>
            </w:r>
            <w:r>
              <w:rPr>
                <w:rFonts w:hint="eastAsia" w:ascii="宋体" w:hAnsi="宋体" w:cs="宋体"/>
                <w:sz w:val="22"/>
                <w:szCs w:val="22"/>
                <w:lang w:val="en-US" w:eastAsia="zh-CN"/>
              </w:rPr>
              <w:t>4、</w:t>
            </w:r>
            <w:r>
              <w:rPr>
                <w:rFonts w:hint="eastAsia" w:ascii="宋体" w:hAnsi="宋体" w:eastAsia="宋体" w:cs="宋体"/>
                <w:sz w:val="22"/>
                <w:szCs w:val="22"/>
              </w:rPr>
              <w:t>用自动弹起机制，成品美观结实</w:t>
            </w:r>
          </w:p>
        </w:tc>
      </w:tr>
      <w:tr w14:paraId="61B28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675" w:type="dxa"/>
            <w:tcBorders>
              <w:tl2br w:val="nil"/>
              <w:tr2bl w:val="nil"/>
            </w:tcBorders>
            <w:shd w:val="clear" w:color="auto" w:fill="auto"/>
            <w:vAlign w:val="center"/>
          </w:tcPr>
          <w:p w14:paraId="7F1F59D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60</w:t>
            </w:r>
          </w:p>
        </w:tc>
        <w:tc>
          <w:tcPr>
            <w:tcW w:w="1236" w:type="dxa"/>
            <w:tcBorders>
              <w:tl2br w:val="nil"/>
              <w:tr2bl w:val="nil"/>
            </w:tcBorders>
            <w:shd w:val="clear" w:color="auto" w:fill="auto"/>
            <w:vAlign w:val="center"/>
          </w:tcPr>
          <w:p w14:paraId="70C62BF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茶台</w:t>
            </w:r>
          </w:p>
        </w:tc>
        <w:tc>
          <w:tcPr>
            <w:tcW w:w="7175" w:type="dxa"/>
            <w:tcBorders>
              <w:tl2br w:val="nil"/>
              <w:tr2bl w:val="nil"/>
            </w:tcBorders>
            <w:shd w:val="clear" w:color="auto" w:fill="auto"/>
            <w:vAlign w:val="center"/>
          </w:tcPr>
          <w:p w14:paraId="7D91E95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5FB4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675" w:type="dxa"/>
            <w:tcBorders>
              <w:tl2br w:val="nil"/>
              <w:tr2bl w:val="nil"/>
            </w:tcBorders>
            <w:shd w:val="clear" w:color="auto" w:fill="auto"/>
            <w:vAlign w:val="center"/>
          </w:tcPr>
          <w:p w14:paraId="18589EB3">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61</w:t>
            </w:r>
          </w:p>
        </w:tc>
        <w:tc>
          <w:tcPr>
            <w:tcW w:w="1236" w:type="dxa"/>
            <w:tcBorders>
              <w:tl2br w:val="nil"/>
              <w:tr2bl w:val="nil"/>
            </w:tcBorders>
            <w:shd w:val="clear" w:color="auto" w:fill="auto"/>
            <w:vAlign w:val="center"/>
          </w:tcPr>
          <w:p w14:paraId="1ACCEAA2">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主椅</w:t>
            </w:r>
          </w:p>
        </w:tc>
        <w:tc>
          <w:tcPr>
            <w:tcW w:w="7175" w:type="dxa"/>
            <w:tcBorders>
              <w:tl2br w:val="nil"/>
              <w:tr2bl w:val="nil"/>
            </w:tcBorders>
            <w:shd w:val="clear" w:color="auto" w:fill="auto"/>
            <w:vAlign w:val="center"/>
          </w:tcPr>
          <w:p w14:paraId="425205C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r>
              <w:rPr>
                <w:rFonts w:hint="eastAsia" w:ascii="宋体" w:hAnsi="宋体" w:eastAsia="宋体" w:cs="宋体"/>
                <w:sz w:val="22"/>
                <w:szCs w:val="22"/>
              </w:rPr>
              <w:br w:type="textWrapping"/>
            </w:r>
            <w:r>
              <w:rPr>
                <w:rFonts w:hint="eastAsia" w:ascii="宋体" w:hAnsi="宋体" w:eastAsia="宋体" w:cs="宋体"/>
                <w:sz w:val="22"/>
                <w:szCs w:val="22"/>
              </w:rPr>
              <w:t>3、高弹高密海绵座包</w:t>
            </w:r>
            <w:r>
              <w:rPr>
                <w:rFonts w:hint="eastAsia" w:ascii="宋体" w:hAnsi="宋体" w:eastAsia="宋体" w:cs="宋体"/>
                <w:sz w:val="22"/>
                <w:szCs w:val="22"/>
              </w:rPr>
              <w:br w:type="textWrapping"/>
            </w:r>
            <w:r>
              <w:rPr>
                <w:rFonts w:hint="eastAsia" w:ascii="宋体" w:hAnsi="宋体" w:eastAsia="宋体" w:cs="宋体"/>
                <w:sz w:val="22"/>
                <w:szCs w:val="22"/>
              </w:rPr>
              <w:t>4、布艺软包座面</w:t>
            </w:r>
          </w:p>
        </w:tc>
      </w:tr>
      <w:tr w14:paraId="6FFD2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675" w:type="dxa"/>
            <w:tcBorders>
              <w:tl2br w:val="nil"/>
              <w:tr2bl w:val="nil"/>
            </w:tcBorders>
            <w:shd w:val="clear" w:color="auto" w:fill="auto"/>
            <w:vAlign w:val="center"/>
          </w:tcPr>
          <w:p w14:paraId="1CD1CD0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62</w:t>
            </w:r>
          </w:p>
        </w:tc>
        <w:tc>
          <w:tcPr>
            <w:tcW w:w="1236" w:type="dxa"/>
            <w:tcBorders>
              <w:tl2br w:val="nil"/>
              <w:tr2bl w:val="nil"/>
            </w:tcBorders>
            <w:shd w:val="clear" w:color="auto" w:fill="auto"/>
            <w:vAlign w:val="center"/>
          </w:tcPr>
          <w:p w14:paraId="37B442C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客椅</w:t>
            </w:r>
          </w:p>
        </w:tc>
        <w:tc>
          <w:tcPr>
            <w:tcW w:w="7175" w:type="dxa"/>
            <w:tcBorders>
              <w:tl2br w:val="nil"/>
              <w:tr2bl w:val="nil"/>
            </w:tcBorders>
            <w:shd w:val="clear" w:color="auto" w:fill="auto"/>
            <w:vAlign w:val="center"/>
          </w:tcPr>
          <w:p w14:paraId="19731BC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1、白蜡木实木/金花梨木实木</w:t>
            </w:r>
            <w:r>
              <w:rPr>
                <w:rFonts w:hint="eastAsia" w:ascii="宋体" w:hAnsi="宋体" w:eastAsia="宋体" w:cs="宋体"/>
                <w:sz w:val="22"/>
                <w:szCs w:val="22"/>
              </w:rPr>
              <w:br w:type="textWrapping"/>
            </w:r>
            <w:r>
              <w:rPr>
                <w:rFonts w:hint="eastAsia" w:ascii="宋体" w:hAnsi="宋体" w:eastAsia="宋体" w:cs="宋体"/>
                <w:sz w:val="22"/>
                <w:szCs w:val="22"/>
              </w:rPr>
              <w:t>2、环保净味漆</w:t>
            </w:r>
            <w:r>
              <w:rPr>
                <w:rFonts w:hint="eastAsia" w:ascii="宋体" w:hAnsi="宋体" w:eastAsia="宋体" w:cs="宋体"/>
                <w:sz w:val="22"/>
                <w:szCs w:val="22"/>
              </w:rPr>
              <w:br w:type="textWrapping"/>
            </w:r>
            <w:r>
              <w:rPr>
                <w:rFonts w:hint="eastAsia" w:ascii="宋体" w:hAnsi="宋体" w:eastAsia="宋体" w:cs="宋体"/>
                <w:sz w:val="22"/>
                <w:szCs w:val="22"/>
              </w:rPr>
              <w:t>3、高弹高密海绵座包</w:t>
            </w:r>
            <w:r>
              <w:rPr>
                <w:rFonts w:hint="eastAsia" w:ascii="宋体" w:hAnsi="宋体" w:eastAsia="宋体" w:cs="宋体"/>
                <w:sz w:val="22"/>
                <w:szCs w:val="22"/>
              </w:rPr>
              <w:br w:type="textWrapping"/>
            </w:r>
            <w:r>
              <w:rPr>
                <w:rFonts w:hint="eastAsia" w:ascii="宋体" w:hAnsi="宋体" w:eastAsia="宋体" w:cs="宋体"/>
                <w:sz w:val="22"/>
                <w:szCs w:val="22"/>
              </w:rPr>
              <w:t>4、布艺软包座面</w:t>
            </w:r>
          </w:p>
        </w:tc>
      </w:tr>
      <w:tr w14:paraId="1D097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5EB37FE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63</w:t>
            </w:r>
          </w:p>
        </w:tc>
        <w:tc>
          <w:tcPr>
            <w:tcW w:w="1236" w:type="dxa"/>
            <w:tcBorders>
              <w:tl2br w:val="nil"/>
              <w:tr2bl w:val="nil"/>
            </w:tcBorders>
            <w:shd w:val="clear" w:color="auto" w:fill="auto"/>
            <w:vAlign w:val="center"/>
          </w:tcPr>
          <w:p w14:paraId="273EE8A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三位沙发</w:t>
            </w:r>
          </w:p>
        </w:tc>
        <w:tc>
          <w:tcPr>
            <w:tcW w:w="7175" w:type="dxa"/>
            <w:tcBorders>
              <w:tl2br w:val="nil"/>
              <w:tr2bl w:val="nil"/>
            </w:tcBorders>
            <w:shd w:val="clear" w:color="auto" w:fill="auto"/>
            <w:vAlign w:val="center"/>
          </w:tcPr>
          <w:p w14:paraId="33714FA7">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7、外框架：白蜡木实木或橡胶木实木。</w:t>
            </w:r>
          </w:p>
        </w:tc>
      </w:tr>
      <w:tr w14:paraId="61C4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0" w:hRule="atLeast"/>
        </w:trPr>
        <w:tc>
          <w:tcPr>
            <w:tcW w:w="675" w:type="dxa"/>
            <w:tcBorders>
              <w:tl2br w:val="nil"/>
              <w:tr2bl w:val="nil"/>
            </w:tcBorders>
            <w:shd w:val="clear" w:color="auto" w:fill="auto"/>
            <w:vAlign w:val="center"/>
          </w:tcPr>
          <w:p w14:paraId="0F39A44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64</w:t>
            </w:r>
          </w:p>
        </w:tc>
        <w:tc>
          <w:tcPr>
            <w:tcW w:w="1236" w:type="dxa"/>
            <w:tcBorders>
              <w:tl2br w:val="nil"/>
              <w:tr2bl w:val="nil"/>
            </w:tcBorders>
            <w:shd w:val="clear" w:color="auto" w:fill="auto"/>
            <w:vAlign w:val="center"/>
          </w:tcPr>
          <w:p w14:paraId="315FA4D6">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单位沙发</w:t>
            </w:r>
          </w:p>
        </w:tc>
        <w:tc>
          <w:tcPr>
            <w:tcW w:w="7175" w:type="dxa"/>
            <w:tcBorders>
              <w:tl2br w:val="nil"/>
              <w:tr2bl w:val="nil"/>
            </w:tcBorders>
            <w:shd w:val="clear" w:color="auto" w:fill="auto"/>
            <w:vAlign w:val="center"/>
          </w:tcPr>
          <w:p w14:paraId="3D43814E">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1、面料：高弹性耐磨加厚细腻优质环保超纤皮；经液态浸色及防潮、防污等工艺处理,皮面更加柔软舒适，光泽持久。</w:t>
            </w:r>
            <w:r>
              <w:rPr>
                <w:rFonts w:hint="eastAsia" w:ascii="宋体" w:hAnsi="宋体" w:eastAsia="宋体" w:cs="宋体"/>
                <w:sz w:val="22"/>
                <w:szCs w:val="22"/>
              </w:rPr>
              <w:br w:type="textWrapping"/>
            </w:r>
            <w:r>
              <w:rPr>
                <w:rFonts w:hint="eastAsia" w:ascii="宋体" w:hAnsi="宋体" w:eastAsia="宋体" w:cs="宋体"/>
                <w:sz w:val="22"/>
                <w:szCs w:val="22"/>
              </w:rPr>
              <w:t>2、海绵：采用高密度原生高弹海绵，手感柔软有弹性、不变形；软包为环保公仔棉，柔软有弹性。</w:t>
            </w:r>
            <w:r>
              <w:rPr>
                <w:rFonts w:hint="eastAsia" w:ascii="宋体" w:hAnsi="宋体" w:eastAsia="宋体" w:cs="宋体"/>
                <w:sz w:val="22"/>
                <w:szCs w:val="22"/>
              </w:rPr>
              <w:br w:type="textWrapping"/>
            </w:r>
            <w:r>
              <w:rPr>
                <w:rFonts w:hint="eastAsia" w:ascii="宋体" w:hAnsi="宋体" w:eastAsia="宋体" w:cs="宋体"/>
                <w:sz w:val="22"/>
                <w:szCs w:val="22"/>
              </w:rPr>
              <w:t>3、胶粘： 环保型胶粘剂采用进口橡胶、环保耐热树脂、环保溶剂、优质阻燃材料和特种助剂等主要原料合成，环保无毒、气味小、粘接性能强、阻燃性能好、耐高温、不易粉化。</w:t>
            </w:r>
            <w:r>
              <w:rPr>
                <w:rFonts w:hint="eastAsia" w:ascii="宋体" w:hAnsi="宋体" w:eastAsia="宋体" w:cs="宋体"/>
                <w:sz w:val="22"/>
                <w:szCs w:val="22"/>
              </w:rPr>
              <w:br w:type="textWrapping"/>
            </w:r>
            <w:r>
              <w:rPr>
                <w:rFonts w:hint="eastAsia" w:ascii="宋体" w:hAnsi="宋体" w:eastAsia="宋体" w:cs="宋体"/>
                <w:sz w:val="22"/>
                <w:szCs w:val="22"/>
              </w:rPr>
              <w:t>4、弹簧：高锰蛇形弹簧，弹性好、不变形、强度高。</w:t>
            </w:r>
            <w:r>
              <w:rPr>
                <w:rFonts w:hint="eastAsia" w:ascii="宋体" w:hAnsi="宋体" w:eastAsia="宋体" w:cs="宋体"/>
                <w:sz w:val="22"/>
                <w:szCs w:val="22"/>
              </w:rPr>
              <w:br w:type="textWrapping"/>
            </w:r>
            <w:r>
              <w:rPr>
                <w:rFonts w:hint="eastAsia" w:ascii="宋体" w:hAnsi="宋体" w:eastAsia="宋体" w:cs="宋体"/>
                <w:sz w:val="22"/>
                <w:szCs w:val="22"/>
              </w:rPr>
              <w:t>5、橡筋：采用优质乳胶丝，弹性好、耐老化。</w:t>
            </w:r>
            <w:r>
              <w:rPr>
                <w:rFonts w:hint="eastAsia" w:ascii="宋体" w:hAnsi="宋体" w:eastAsia="宋体" w:cs="宋体"/>
                <w:sz w:val="22"/>
                <w:szCs w:val="22"/>
              </w:rPr>
              <w:br w:type="textWrapping"/>
            </w:r>
            <w:r>
              <w:rPr>
                <w:rFonts w:hint="eastAsia" w:ascii="宋体" w:hAnsi="宋体" w:eastAsia="宋体" w:cs="宋体"/>
                <w:sz w:val="22"/>
                <w:szCs w:val="22"/>
              </w:rPr>
              <w:t>6、内框架：内架木方采用4×5优质环保桉木木方，木方表面平整无虫眼、无树皮、无朽木，长度小于3米弯曲度小于1CM。背、座、扶手封板采用9mm、15mm优质实木多层板结实耐用。</w:t>
            </w:r>
            <w:r>
              <w:rPr>
                <w:rFonts w:hint="eastAsia" w:ascii="宋体" w:hAnsi="宋体" w:eastAsia="宋体" w:cs="宋体"/>
                <w:sz w:val="22"/>
                <w:szCs w:val="22"/>
              </w:rPr>
              <w:br w:type="textWrapping"/>
            </w:r>
            <w:r>
              <w:rPr>
                <w:rFonts w:hint="eastAsia" w:ascii="宋体" w:hAnsi="宋体" w:eastAsia="宋体" w:cs="宋体"/>
                <w:sz w:val="22"/>
                <w:szCs w:val="22"/>
              </w:rPr>
              <w:t>7、外框架：白蜡木实木或橡胶木实木。</w:t>
            </w:r>
          </w:p>
        </w:tc>
      </w:tr>
      <w:tr w14:paraId="34008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46833D59">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65</w:t>
            </w:r>
          </w:p>
        </w:tc>
        <w:tc>
          <w:tcPr>
            <w:tcW w:w="1236" w:type="dxa"/>
            <w:tcBorders>
              <w:tl2br w:val="nil"/>
              <w:tr2bl w:val="nil"/>
            </w:tcBorders>
            <w:shd w:val="clear" w:color="auto" w:fill="auto"/>
            <w:vAlign w:val="center"/>
          </w:tcPr>
          <w:p w14:paraId="33D5562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茶几</w:t>
            </w:r>
          </w:p>
        </w:tc>
        <w:tc>
          <w:tcPr>
            <w:tcW w:w="7175" w:type="dxa"/>
            <w:tcBorders>
              <w:tl2br w:val="nil"/>
              <w:tr2bl w:val="nil"/>
            </w:tcBorders>
            <w:shd w:val="clear" w:color="auto" w:fill="auto"/>
            <w:vAlign w:val="center"/>
          </w:tcPr>
          <w:p w14:paraId="1A57C3D5">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1、白蜡木实木/金花梨木实木茶几</w:t>
            </w:r>
            <w:r>
              <w:rPr>
                <w:rFonts w:hint="eastAsia" w:ascii="宋体" w:hAnsi="宋体" w:eastAsia="宋体" w:cs="宋体"/>
                <w:sz w:val="22"/>
                <w:szCs w:val="22"/>
              </w:rPr>
              <w:br w:type="textWrapping"/>
            </w:r>
            <w:r>
              <w:rPr>
                <w:rFonts w:hint="eastAsia" w:ascii="宋体" w:hAnsi="宋体" w:eastAsia="宋体" w:cs="宋体"/>
                <w:sz w:val="22"/>
                <w:szCs w:val="22"/>
              </w:rPr>
              <w:t>2、环保净味漆</w:t>
            </w:r>
          </w:p>
        </w:tc>
      </w:tr>
      <w:tr w14:paraId="3CBA7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tcBorders>
              <w:tl2br w:val="nil"/>
              <w:tr2bl w:val="nil"/>
            </w:tcBorders>
            <w:shd w:val="clear" w:color="auto" w:fill="auto"/>
            <w:vAlign w:val="center"/>
          </w:tcPr>
          <w:p w14:paraId="1259D15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66</w:t>
            </w:r>
          </w:p>
        </w:tc>
        <w:tc>
          <w:tcPr>
            <w:tcW w:w="1236" w:type="dxa"/>
            <w:tcBorders>
              <w:tl2br w:val="nil"/>
              <w:tr2bl w:val="nil"/>
            </w:tcBorders>
            <w:shd w:val="clear" w:color="auto" w:fill="auto"/>
            <w:vAlign w:val="center"/>
          </w:tcPr>
          <w:p w14:paraId="1AC128DD">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会议桌</w:t>
            </w:r>
          </w:p>
        </w:tc>
        <w:tc>
          <w:tcPr>
            <w:tcW w:w="7175" w:type="dxa"/>
            <w:tcBorders>
              <w:tl2br w:val="nil"/>
              <w:tr2bl w:val="nil"/>
            </w:tcBorders>
            <w:shd w:val="clear" w:color="auto" w:fill="auto"/>
            <w:vAlign w:val="center"/>
          </w:tcPr>
          <w:p w14:paraId="7F495E7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 xml:space="preserve">1、贴面板材：优质三聚氰胺纸 ,甲醛释放限量＜0.05mg/L， </w:t>
            </w:r>
            <w:r>
              <w:rPr>
                <w:rFonts w:hint="eastAsia" w:ascii="宋体" w:hAnsi="宋体" w:eastAsia="宋体" w:cs="宋体"/>
                <w:sz w:val="22"/>
                <w:szCs w:val="22"/>
              </w:rPr>
              <w:br w:type="textWrapping"/>
            </w:r>
            <w:r>
              <w:rPr>
                <w:rFonts w:hint="eastAsia" w:ascii="宋体" w:hAnsi="宋体" w:eastAsia="宋体" w:cs="宋体"/>
                <w:sz w:val="22"/>
                <w:szCs w:val="22"/>
              </w:rPr>
              <w:t>2、基材：采用优质E0级刨花板,优质绿色环保产品,含水率10.8%。</w:t>
            </w:r>
            <w:r>
              <w:rPr>
                <w:rFonts w:hint="eastAsia" w:ascii="宋体" w:hAnsi="宋体" w:eastAsia="宋体" w:cs="宋体"/>
                <w:sz w:val="22"/>
                <w:szCs w:val="22"/>
              </w:rPr>
              <w:br w:type="textWrapping"/>
            </w:r>
            <w:r>
              <w:rPr>
                <w:rFonts w:hint="eastAsia" w:ascii="宋体" w:hAnsi="宋体" w:eastAsia="宋体" w:cs="宋体"/>
                <w:sz w:val="22"/>
                <w:szCs w:val="22"/>
              </w:rPr>
              <w:t xml:space="preserve">3、粘合剂：优质乳胶， </w:t>
            </w:r>
            <w:r>
              <w:rPr>
                <w:rFonts w:hint="eastAsia" w:ascii="宋体" w:hAnsi="宋体" w:eastAsia="宋体" w:cs="宋体"/>
                <w:sz w:val="22"/>
                <w:szCs w:val="22"/>
              </w:rPr>
              <w:br w:type="textWrapping"/>
            </w:r>
            <w:r>
              <w:rPr>
                <w:rFonts w:hint="eastAsia" w:ascii="宋体" w:hAnsi="宋体" w:eastAsia="宋体" w:cs="宋体"/>
                <w:sz w:val="22"/>
                <w:szCs w:val="22"/>
              </w:rPr>
              <w:t xml:space="preserve">4、封边用材：1mm厚PVC胶边，优质热熔胶. </w:t>
            </w:r>
            <w:r>
              <w:rPr>
                <w:rFonts w:hint="eastAsia" w:ascii="宋体" w:hAnsi="宋体" w:eastAsia="宋体" w:cs="宋体"/>
                <w:sz w:val="22"/>
                <w:szCs w:val="22"/>
              </w:rPr>
              <w:br w:type="textWrapping"/>
            </w:r>
            <w:r>
              <w:rPr>
                <w:rFonts w:hint="eastAsia" w:ascii="宋体" w:hAnsi="宋体" w:eastAsia="宋体" w:cs="宋体"/>
                <w:sz w:val="22"/>
                <w:szCs w:val="22"/>
              </w:rPr>
              <w:t>5、优质五金配件；</w:t>
            </w:r>
          </w:p>
        </w:tc>
      </w:tr>
      <w:tr w14:paraId="6C300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675" w:type="dxa"/>
            <w:tcBorders>
              <w:tl2br w:val="nil"/>
              <w:tr2bl w:val="nil"/>
            </w:tcBorders>
            <w:shd w:val="clear" w:color="auto" w:fill="auto"/>
            <w:vAlign w:val="center"/>
          </w:tcPr>
          <w:p w14:paraId="58820D2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67</w:t>
            </w:r>
          </w:p>
        </w:tc>
        <w:tc>
          <w:tcPr>
            <w:tcW w:w="1236" w:type="dxa"/>
            <w:tcBorders>
              <w:tl2br w:val="nil"/>
              <w:tr2bl w:val="nil"/>
            </w:tcBorders>
            <w:shd w:val="clear" w:color="auto" w:fill="auto"/>
            <w:vAlign w:val="center"/>
          </w:tcPr>
          <w:p w14:paraId="103FF10F">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sz w:val="22"/>
                <w:szCs w:val="22"/>
              </w:rPr>
            </w:pPr>
            <w:r>
              <w:rPr>
                <w:rFonts w:hint="eastAsia" w:ascii="宋体" w:hAnsi="宋体" w:eastAsia="宋体" w:cs="宋体"/>
                <w:sz w:val="22"/>
                <w:szCs w:val="22"/>
              </w:rPr>
              <w:t>会议椅</w:t>
            </w:r>
          </w:p>
        </w:tc>
        <w:tc>
          <w:tcPr>
            <w:tcW w:w="7175" w:type="dxa"/>
            <w:tcBorders>
              <w:tl2br w:val="nil"/>
              <w:tr2bl w:val="nil"/>
            </w:tcBorders>
            <w:shd w:val="clear" w:color="auto" w:fill="auto"/>
            <w:vAlign w:val="center"/>
          </w:tcPr>
          <w:p w14:paraId="000F760A">
            <w:pPr>
              <w:keepNext w:val="0"/>
              <w:keepLines w:val="0"/>
              <w:pageBreakBefore w:val="0"/>
              <w:shd w:val="clear" w:color="auto" w:fill="auto"/>
              <w:tabs>
                <w:tab w:val="clear" w:pos="426"/>
              </w:tabs>
              <w:kinsoku/>
              <w:wordWrap/>
              <w:overflowPunct/>
              <w:topLinePunct w:val="0"/>
              <w:autoSpaceDE/>
              <w:autoSpaceDN/>
              <w:bidi w:val="0"/>
              <w:adjustRightInd/>
              <w:snapToGrid/>
              <w:spacing w:line="360" w:lineRule="exact"/>
              <w:ind w:left="0"/>
              <w:jc w:val="left"/>
              <w:textAlignment w:val="auto"/>
              <w:rPr>
                <w:rFonts w:hint="eastAsia" w:ascii="宋体" w:hAnsi="宋体" w:eastAsia="宋体" w:cs="宋体"/>
                <w:sz w:val="22"/>
                <w:szCs w:val="22"/>
              </w:rPr>
            </w:pPr>
            <w:r>
              <w:rPr>
                <w:rFonts w:hint="eastAsia" w:ascii="宋体" w:hAnsi="宋体" w:eastAsia="宋体" w:cs="宋体"/>
                <w:sz w:val="22"/>
                <w:szCs w:val="22"/>
              </w:rPr>
              <w:t>1、专业办公网布饰面</w:t>
            </w:r>
            <w:r>
              <w:rPr>
                <w:rFonts w:hint="eastAsia" w:ascii="宋体" w:hAnsi="宋体" w:eastAsia="宋体" w:cs="宋体"/>
                <w:sz w:val="22"/>
                <w:szCs w:val="22"/>
              </w:rPr>
              <w:br w:type="textWrapping"/>
            </w:r>
            <w:r>
              <w:rPr>
                <w:rFonts w:hint="eastAsia" w:ascii="宋体" w:hAnsi="宋体" w:eastAsia="宋体" w:cs="宋体"/>
                <w:sz w:val="22"/>
                <w:szCs w:val="22"/>
              </w:rPr>
              <w:t>2、黑色PA尼龙+玻纤椅背</w:t>
            </w:r>
            <w:r>
              <w:rPr>
                <w:rFonts w:hint="eastAsia" w:ascii="宋体" w:hAnsi="宋体" w:eastAsia="宋体" w:cs="宋体"/>
                <w:sz w:val="22"/>
                <w:szCs w:val="22"/>
              </w:rPr>
              <w:br w:type="textWrapping"/>
            </w:r>
            <w:r>
              <w:rPr>
                <w:rFonts w:hint="eastAsia" w:ascii="宋体" w:hAnsi="宋体" w:eastAsia="宋体" w:cs="宋体"/>
                <w:sz w:val="22"/>
                <w:szCs w:val="22"/>
              </w:rPr>
              <w:t>3、PP固定扶手</w:t>
            </w:r>
            <w:r>
              <w:rPr>
                <w:rFonts w:hint="eastAsia" w:ascii="宋体" w:hAnsi="宋体" w:eastAsia="宋体" w:cs="宋体"/>
                <w:sz w:val="22"/>
                <w:szCs w:val="22"/>
              </w:rPr>
              <w:br w:type="textWrapping"/>
            </w:r>
            <w:r>
              <w:rPr>
                <w:rFonts w:hint="eastAsia" w:ascii="宋体" w:hAnsi="宋体" w:eastAsia="宋体" w:cs="宋体"/>
                <w:sz w:val="22"/>
                <w:szCs w:val="22"/>
              </w:rPr>
              <w:t>4、高密度高回弹力原生海绵</w:t>
            </w:r>
            <w:r>
              <w:rPr>
                <w:rFonts w:hint="eastAsia" w:ascii="宋体" w:hAnsi="宋体" w:eastAsia="宋体" w:cs="宋体"/>
                <w:sz w:val="22"/>
                <w:szCs w:val="22"/>
              </w:rPr>
              <w:br w:type="textWrapping"/>
            </w:r>
            <w:r>
              <w:rPr>
                <w:rFonts w:hint="eastAsia" w:ascii="宋体" w:hAnsi="宋体" w:eastAsia="宋体" w:cs="宋体"/>
                <w:sz w:val="22"/>
                <w:szCs w:val="22"/>
              </w:rPr>
              <w:t>5、1.5厚度25圆管黑色烤漆弓形架</w:t>
            </w:r>
          </w:p>
        </w:tc>
      </w:tr>
    </w:tbl>
    <w:p w14:paraId="1B78B4DA">
      <w:pPr>
        <w:pStyle w:val="4"/>
        <w:numPr>
          <w:ilvl w:val="0"/>
          <w:numId w:val="0"/>
        </w:numPr>
        <w:jc w:val="center"/>
        <w:rPr>
          <w:sz w:val="24"/>
        </w:rPr>
      </w:pPr>
      <w:bookmarkStart w:id="39" w:name="_Toc22898"/>
    </w:p>
    <w:p w14:paraId="465327C4">
      <w:pPr>
        <w:pStyle w:val="4"/>
        <w:numPr>
          <w:ilvl w:val="0"/>
          <w:numId w:val="0"/>
        </w:numPr>
        <w:jc w:val="center"/>
        <w:rPr>
          <w:sz w:val="24"/>
        </w:rPr>
      </w:pPr>
      <w:r>
        <w:rPr>
          <w:rFonts w:hint="eastAsia"/>
          <w:sz w:val="24"/>
        </w:rPr>
        <w:t>五、商务要求</w:t>
      </w:r>
      <w:bookmarkEnd w:id="39"/>
    </w:p>
    <w:tbl>
      <w:tblPr>
        <w:tblStyle w:val="85"/>
        <w:tblpPr w:leftFromText="180" w:rightFromText="180" w:vertAnchor="text" w:horzAnchor="page" w:tblpX="1761" w:tblpY="737"/>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1764"/>
        <w:gridCol w:w="6504"/>
      </w:tblGrid>
      <w:tr w14:paraId="108FD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7F297233">
            <w:pPr>
              <w:spacing w:line="360" w:lineRule="exact"/>
              <w:jc w:val="center"/>
              <w:rPr>
                <w:rFonts w:hint="eastAsia" w:hAnsi="宋体"/>
                <w:b/>
                <w:sz w:val="22"/>
                <w:szCs w:val="22"/>
              </w:rPr>
            </w:pPr>
            <w:bookmarkStart w:id="40" w:name="_Toc120892145"/>
            <w:bookmarkStart w:id="41" w:name="_Toc145666465"/>
            <w:bookmarkStart w:id="42" w:name="_Toc152759234"/>
            <w:r>
              <w:rPr>
                <w:rFonts w:hint="eastAsia" w:hAnsi="宋体"/>
                <w:b/>
                <w:sz w:val="22"/>
                <w:szCs w:val="22"/>
              </w:rPr>
              <w:t>序号</w:t>
            </w:r>
          </w:p>
        </w:tc>
        <w:tc>
          <w:tcPr>
            <w:tcW w:w="971" w:type="pct"/>
            <w:vAlign w:val="center"/>
          </w:tcPr>
          <w:p w14:paraId="740F1339">
            <w:pPr>
              <w:spacing w:line="360" w:lineRule="exact"/>
              <w:jc w:val="center"/>
              <w:rPr>
                <w:rFonts w:hint="eastAsia" w:hAnsi="宋体"/>
                <w:b/>
                <w:sz w:val="22"/>
                <w:szCs w:val="22"/>
              </w:rPr>
            </w:pPr>
            <w:r>
              <w:rPr>
                <w:rFonts w:hint="eastAsia" w:hAnsi="宋体"/>
                <w:b/>
                <w:sz w:val="22"/>
                <w:szCs w:val="22"/>
              </w:rPr>
              <w:t>目录</w:t>
            </w:r>
          </w:p>
        </w:tc>
        <w:tc>
          <w:tcPr>
            <w:tcW w:w="3580" w:type="pct"/>
            <w:vAlign w:val="center"/>
          </w:tcPr>
          <w:p w14:paraId="016165ED">
            <w:pPr>
              <w:spacing w:line="360" w:lineRule="exact"/>
              <w:jc w:val="center"/>
              <w:rPr>
                <w:rFonts w:hint="eastAsia" w:hAnsi="宋体"/>
                <w:b/>
                <w:sz w:val="22"/>
                <w:szCs w:val="22"/>
              </w:rPr>
            </w:pPr>
            <w:r>
              <w:rPr>
                <w:rFonts w:hint="eastAsia" w:hAnsi="宋体"/>
                <w:b/>
                <w:sz w:val="22"/>
                <w:szCs w:val="22"/>
              </w:rPr>
              <w:t>商务需求</w:t>
            </w:r>
          </w:p>
        </w:tc>
      </w:tr>
      <w:tr w14:paraId="2BB1D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00" w:type="pct"/>
            <w:gridSpan w:val="3"/>
          </w:tcPr>
          <w:p w14:paraId="7A47B32E">
            <w:pPr>
              <w:spacing w:line="360" w:lineRule="exact"/>
              <w:rPr>
                <w:rFonts w:hint="eastAsia" w:hAnsi="宋体"/>
                <w:b/>
                <w:sz w:val="22"/>
                <w:szCs w:val="22"/>
              </w:rPr>
            </w:pPr>
            <w:r>
              <w:rPr>
                <w:rFonts w:hint="eastAsia" w:hAnsi="宋体"/>
                <w:b/>
                <w:sz w:val="22"/>
                <w:szCs w:val="22"/>
              </w:rPr>
              <w:t>（一）免费保修期内售后服务要求</w:t>
            </w:r>
          </w:p>
        </w:tc>
      </w:tr>
      <w:tr w14:paraId="1E41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448" w:type="pct"/>
            <w:vAlign w:val="center"/>
          </w:tcPr>
          <w:p w14:paraId="5FD5FE58">
            <w:pPr>
              <w:spacing w:line="360" w:lineRule="exact"/>
              <w:jc w:val="center"/>
              <w:rPr>
                <w:rFonts w:hint="eastAsia" w:hAnsi="宋体"/>
                <w:b/>
                <w:sz w:val="22"/>
                <w:szCs w:val="22"/>
              </w:rPr>
            </w:pPr>
            <w:r>
              <w:rPr>
                <w:rFonts w:hint="eastAsia" w:hAnsi="宋体"/>
                <w:b/>
                <w:sz w:val="22"/>
                <w:szCs w:val="22"/>
              </w:rPr>
              <w:t>1</w:t>
            </w:r>
          </w:p>
        </w:tc>
        <w:tc>
          <w:tcPr>
            <w:tcW w:w="971" w:type="pct"/>
            <w:vAlign w:val="center"/>
          </w:tcPr>
          <w:p w14:paraId="2F8B5A13">
            <w:pPr>
              <w:spacing w:line="360" w:lineRule="exact"/>
              <w:jc w:val="center"/>
              <w:rPr>
                <w:rFonts w:hint="eastAsia" w:hAnsi="宋体"/>
                <w:sz w:val="22"/>
                <w:szCs w:val="22"/>
              </w:rPr>
            </w:pPr>
            <w:r>
              <w:rPr>
                <w:rFonts w:hint="eastAsia" w:hAnsi="宋体"/>
                <w:sz w:val="22"/>
                <w:szCs w:val="22"/>
              </w:rPr>
              <w:t>免费保修期</w:t>
            </w:r>
          </w:p>
        </w:tc>
        <w:tc>
          <w:tcPr>
            <w:tcW w:w="3580" w:type="pct"/>
          </w:tcPr>
          <w:p w14:paraId="100B5828">
            <w:pPr>
              <w:spacing w:line="360" w:lineRule="exact"/>
              <w:rPr>
                <w:rFonts w:hint="eastAsia" w:hAnsi="宋体"/>
                <w:b/>
                <w:sz w:val="22"/>
                <w:szCs w:val="22"/>
              </w:rPr>
            </w:pPr>
            <w:r>
              <w:rPr>
                <w:rFonts w:hint="eastAsia" w:hAnsi="宋体"/>
                <w:sz w:val="22"/>
                <w:szCs w:val="22"/>
              </w:rPr>
              <w:t>★</w:t>
            </w:r>
            <w:r>
              <w:rPr>
                <w:rFonts w:hint="eastAsia" w:hAnsi="宋体"/>
                <w:bCs/>
                <w:sz w:val="22"/>
                <w:szCs w:val="22"/>
              </w:rPr>
              <w:t>货物免费保修期至少</w:t>
            </w:r>
            <w:r>
              <w:rPr>
                <w:rFonts w:hint="eastAsia" w:hAnsi="宋体"/>
                <w:bCs/>
                <w:sz w:val="22"/>
                <w:szCs w:val="22"/>
                <w:u w:val="single"/>
              </w:rPr>
              <w:t>3</w:t>
            </w:r>
            <w:r>
              <w:rPr>
                <w:rFonts w:hint="eastAsia" w:hAnsi="宋体"/>
                <w:bCs/>
                <w:sz w:val="22"/>
                <w:szCs w:val="22"/>
              </w:rPr>
              <w:t>年，时间自最终验收合格并交付使用之日起计算。</w:t>
            </w:r>
          </w:p>
        </w:tc>
      </w:tr>
      <w:tr w14:paraId="49EBD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48" w:type="pct"/>
            <w:vAlign w:val="center"/>
          </w:tcPr>
          <w:p w14:paraId="59B36E6C">
            <w:pPr>
              <w:spacing w:line="360" w:lineRule="exact"/>
              <w:jc w:val="center"/>
              <w:rPr>
                <w:rFonts w:hint="eastAsia" w:hAnsi="宋体"/>
                <w:b/>
                <w:sz w:val="22"/>
                <w:szCs w:val="22"/>
              </w:rPr>
            </w:pPr>
            <w:r>
              <w:rPr>
                <w:rFonts w:hint="eastAsia" w:hAnsi="宋体"/>
                <w:b/>
                <w:sz w:val="22"/>
                <w:szCs w:val="22"/>
              </w:rPr>
              <w:t>2</w:t>
            </w:r>
          </w:p>
        </w:tc>
        <w:tc>
          <w:tcPr>
            <w:tcW w:w="971" w:type="pct"/>
          </w:tcPr>
          <w:p w14:paraId="53A0013F">
            <w:pPr>
              <w:spacing w:line="360" w:lineRule="exact"/>
              <w:jc w:val="center"/>
              <w:rPr>
                <w:rFonts w:hint="eastAsia" w:hAnsi="宋体"/>
                <w:sz w:val="22"/>
                <w:szCs w:val="22"/>
              </w:rPr>
            </w:pPr>
            <w:r>
              <w:rPr>
                <w:rFonts w:hint="eastAsia" w:hAnsi="宋体"/>
                <w:sz w:val="22"/>
                <w:szCs w:val="22"/>
              </w:rPr>
              <w:t>维修响应及故障解决时间</w:t>
            </w:r>
          </w:p>
        </w:tc>
        <w:tc>
          <w:tcPr>
            <w:tcW w:w="3580" w:type="pct"/>
          </w:tcPr>
          <w:p w14:paraId="3C5CA9D3">
            <w:pPr>
              <w:spacing w:line="360" w:lineRule="exact"/>
              <w:rPr>
                <w:rFonts w:hint="eastAsia" w:hAnsi="宋体"/>
                <w:b/>
                <w:sz w:val="22"/>
                <w:szCs w:val="22"/>
              </w:rPr>
            </w:pPr>
            <w:r>
              <w:rPr>
                <w:rFonts w:hint="eastAsia" w:hAnsi="宋体"/>
                <w:bCs/>
                <w:sz w:val="22"/>
                <w:szCs w:val="22"/>
              </w:rPr>
              <w:t>投标人承诺中标后，在保修期内，一旦发生质量问题，投标人保证在接到通知24小时内赶到现场进行修理或更换。</w:t>
            </w:r>
          </w:p>
        </w:tc>
      </w:tr>
      <w:tr w14:paraId="6FEB2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48" w:type="pct"/>
            <w:vAlign w:val="center"/>
          </w:tcPr>
          <w:p w14:paraId="77E224D9">
            <w:pPr>
              <w:spacing w:line="360" w:lineRule="exact"/>
              <w:jc w:val="center"/>
              <w:rPr>
                <w:rFonts w:hint="eastAsia" w:hAnsi="宋体"/>
                <w:b/>
                <w:sz w:val="22"/>
                <w:szCs w:val="22"/>
              </w:rPr>
            </w:pPr>
            <w:r>
              <w:rPr>
                <w:rFonts w:hint="eastAsia" w:hAnsi="宋体"/>
                <w:b/>
                <w:sz w:val="22"/>
                <w:szCs w:val="22"/>
              </w:rPr>
              <w:t>3</w:t>
            </w:r>
          </w:p>
        </w:tc>
        <w:tc>
          <w:tcPr>
            <w:tcW w:w="971" w:type="pct"/>
            <w:vAlign w:val="center"/>
          </w:tcPr>
          <w:p w14:paraId="39AC97E9">
            <w:pPr>
              <w:spacing w:line="360" w:lineRule="exact"/>
              <w:jc w:val="center"/>
              <w:rPr>
                <w:rFonts w:hint="eastAsia" w:hAnsi="宋体"/>
                <w:b/>
                <w:sz w:val="22"/>
                <w:szCs w:val="22"/>
              </w:rPr>
            </w:pPr>
            <w:r>
              <w:rPr>
                <w:rFonts w:hint="eastAsia" w:hAnsi="宋体"/>
                <w:sz w:val="22"/>
                <w:szCs w:val="22"/>
              </w:rPr>
              <w:t>其他</w:t>
            </w:r>
          </w:p>
        </w:tc>
        <w:tc>
          <w:tcPr>
            <w:tcW w:w="3580" w:type="pct"/>
            <w:vAlign w:val="center"/>
          </w:tcPr>
          <w:p w14:paraId="2D4CA1E2">
            <w:pPr>
              <w:spacing w:line="360" w:lineRule="exact"/>
              <w:rPr>
                <w:rFonts w:hint="eastAsia" w:hAnsi="宋体"/>
                <w:b/>
                <w:sz w:val="22"/>
                <w:szCs w:val="22"/>
              </w:rPr>
            </w:pPr>
            <w:r>
              <w:rPr>
                <w:rFonts w:hint="eastAsia" w:hAnsi="宋体"/>
                <w:bCs/>
                <w:sz w:val="22"/>
                <w:szCs w:val="22"/>
              </w:rPr>
              <w:t>投标人中标后，应按其投标文件中的承诺，进行其他售后服务工作。</w:t>
            </w:r>
          </w:p>
        </w:tc>
      </w:tr>
      <w:tr w14:paraId="42033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000" w:type="pct"/>
            <w:gridSpan w:val="3"/>
          </w:tcPr>
          <w:p w14:paraId="2B0D8DBC">
            <w:pPr>
              <w:spacing w:line="360" w:lineRule="exact"/>
              <w:rPr>
                <w:rFonts w:hint="eastAsia" w:hAnsi="宋体"/>
                <w:b/>
                <w:sz w:val="22"/>
                <w:szCs w:val="22"/>
              </w:rPr>
            </w:pPr>
            <w:r>
              <w:rPr>
                <w:rFonts w:hint="eastAsia" w:hAnsi="宋体"/>
                <w:b/>
                <w:sz w:val="22"/>
                <w:szCs w:val="22"/>
              </w:rPr>
              <w:t>（二）其他商务要求</w:t>
            </w:r>
          </w:p>
        </w:tc>
      </w:tr>
      <w:tr w14:paraId="3906F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restart"/>
            <w:vAlign w:val="center"/>
          </w:tcPr>
          <w:p w14:paraId="11AB329D">
            <w:pPr>
              <w:spacing w:line="360" w:lineRule="exact"/>
              <w:jc w:val="center"/>
              <w:rPr>
                <w:rFonts w:hint="eastAsia" w:hAnsi="宋体"/>
                <w:b/>
                <w:sz w:val="22"/>
                <w:szCs w:val="22"/>
              </w:rPr>
            </w:pPr>
            <w:r>
              <w:rPr>
                <w:rFonts w:hint="eastAsia" w:hAnsi="宋体"/>
                <w:b/>
                <w:sz w:val="22"/>
                <w:szCs w:val="22"/>
              </w:rPr>
              <w:t>1</w:t>
            </w:r>
          </w:p>
        </w:tc>
        <w:tc>
          <w:tcPr>
            <w:tcW w:w="971" w:type="pct"/>
            <w:vMerge w:val="restart"/>
            <w:vAlign w:val="center"/>
          </w:tcPr>
          <w:p w14:paraId="6FC171B2">
            <w:pPr>
              <w:spacing w:line="360" w:lineRule="exact"/>
              <w:jc w:val="center"/>
              <w:rPr>
                <w:rFonts w:hint="eastAsia" w:hAnsi="宋体"/>
                <w:sz w:val="22"/>
                <w:szCs w:val="22"/>
              </w:rPr>
            </w:pPr>
            <w:r>
              <w:rPr>
                <w:rFonts w:hint="eastAsia" w:hAnsi="宋体"/>
                <w:sz w:val="22"/>
                <w:szCs w:val="22"/>
              </w:rPr>
              <w:t>关于交货</w:t>
            </w:r>
          </w:p>
        </w:tc>
        <w:tc>
          <w:tcPr>
            <w:tcW w:w="3580" w:type="pct"/>
          </w:tcPr>
          <w:p w14:paraId="6B33B07F">
            <w:pPr>
              <w:spacing w:line="360" w:lineRule="exact"/>
              <w:rPr>
                <w:rFonts w:hint="eastAsia" w:hAnsi="宋体"/>
                <w:b/>
                <w:sz w:val="22"/>
                <w:szCs w:val="22"/>
              </w:rPr>
            </w:pPr>
            <w:r>
              <w:rPr>
                <w:rFonts w:hint="eastAsia" w:hAnsi="宋体"/>
                <w:bCs/>
                <w:sz w:val="22"/>
                <w:szCs w:val="22"/>
              </w:rPr>
              <w:t>1.1</w:t>
            </w:r>
            <w:r>
              <w:rPr>
                <w:rFonts w:hint="eastAsia" w:hAnsi="宋体"/>
                <w:sz w:val="22"/>
                <w:szCs w:val="22"/>
              </w:rPr>
              <w:t>★</w:t>
            </w:r>
            <w:r>
              <w:rPr>
                <w:rFonts w:hint="eastAsia" w:hAnsi="宋体"/>
                <w:bCs/>
                <w:sz w:val="22"/>
                <w:szCs w:val="22"/>
              </w:rPr>
              <w:t>签订合同后</w:t>
            </w:r>
            <w:r>
              <w:rPr>
                <w:rFonts w:hint="eastAsia" w:hAnsi="宋体"/>
                <w:bCs/>
                <w:sz w:val="22"/>
                <w:szCs w:val="22"/>
                <w:u w:val="single"/>
              </w:rPr>
              <w:t xml:space="preserve"> 25 </w:t>
            </w:r>
            <w:r>
              <w:rPr>
                <w:rFonts w:hint="eastAsia" w:hAnsi="宋体"/>
                <w:bCs/>
                <w:sz w:val="22"/>
                <w:szCs w:val="22"/>
              </w:rPr>
              <w:t>天（日历日）内。</w:t>
            </w:r>
          </w:p>
        </w:tc>
      </w:tr>
      <w:tr w14:paraId="0241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48" w:type="pct"/>
            <w:vMerge w:val="continue"/>
            <w:vAlign w:val="center"/>
          </w:tcPr>
          <w:p w14:paraId="5BF06DA9">
            <w:pPr>
              <w:spacing w:line="360" w:lineRule="exact"/>
              <w:jc w:val="center"/>
              <w:rPr>
                <w:rFonts w:hint="eastAsia" w:hAnsi="宋体"/>
                <w:b/>
                <w:sz w:val="22"/>
                <w:szCs w:val="22"/>
              </w:rPr>
            </w:pPr>
          </w:p>
        </w:tc>
        <w:tc>
          <w:tcPr>
            <w:tcW w:w="971" w:type="pct"/>
            <w:vMerge w:val="continue"/>
            <w:vAlign w:val="center"/>
          </w:tcPr>
          <w:p w14:paraId="31ABD73E">
            <w:pPr>
              <w:spacing w:line="360" w:lineRule="exact"/>
              <w:jc w:val="center"/>
              <w:rPr>
                <w:rFonts w:hint="eastAsia" w:hAnsi="宋体"/>
                <w:sz w:val="22"/>
                <w:szCs w:val="22"/>
              </w:rPr>
            </w:pPr>
          </w:p>
        </w:tc>
        <w:tc>
          <w:tcPr>
            <w:tcW w:w="3580" w:type="pct"/>
          </w:tcPr>
          <w:p w14:paraId="286D401D">
            <w:pPr>
              <w:spacing w:line="360" w:lineRule="exact"/>
              <w:rPr>
                <w:rFonts w:hint="eastAsia" w:hAnsi="宋体"/>
                <w:bCs/>
                <w:sz w:val="22"/>
                <w:szCs w:val="22"/>
              </w:rPr>
            </w:pPr>
            <w:r>
              <w:rPr>
                <w:rFonts w:hint="eastAsia" w:hAnsi="宋体"/>
                <w:bCs/>
                <w:sz w:val="22"/>
                <w:szCs w:val="22"/>
              </w:rPr>
              <w:t>1.2投标人中标后，必须承担设备运输、安装调试、验收检测和提供设备操作说明书、图纸等其他类似的义务。</w:t>
            </w:r>
          </w:p>
        </w:tc>
      </w:tr>
      <w:tr w14:paraId="0AAEF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restart"/>
            <w:vAlign w:val="center"/>
          </w:tcPr>
          <w:p w14:paraId="218618CD">
            <w:pPr>
              <w:spacing w:line="360" w:lineRule="exact"/>
              <w:jc w:val="center"/>
              <w:rPr>
                <w:rFonts w:hint="eastAsia" w:hAnsi="宋体"/>
                <w:b/>
                <w:sz w:val="22"/>
                <w:szCs w:val="22"/>
              </w:rPr>
            </w:pPr>
            <w:r>
              <w:rPr>
                <w:rFonts w:hint="eastAsia" w:hAnsi="宋体"/>
                <w:b/>
                <w:sz w:val="22"/>
                <w:szCs w:val="22"/>
              </w:rPr>
              <w:t>2</w:t>
            </w:r>
          </w:p>
        </w:tc>
        <w:tc>
          <w:tcPr>
            <w:tcW w:w="971" w:type="pct"/>
            <w:vMerge w:val="restart"/>
            <w:vAlign w:val="center"/>
          </w:tcPr>
          <w:p w14:paraId="30724273">
            <w:pPr>
              <w:spacing w:line="360" w:lineRule="exact"/>
              <w:jc w:val="center"/>
              <w:rPr>
                <w:rFonts w:hint="eastAsia" w:hAnsi="宋体"/>
                <w:sz w:val="22"/>
                <w:szCs w:val="22"/>
              </w:rPr>
            </w:pPr>
            <w:r>
              <w:rPr>
                <w:rFonts w:hint="eastAsia" w:hAnsi="宋体"/>
                <w:sz w:val="22"/>
                <w:szCs w:val="22"/>
              </w:rPr>
              <w:t>关于验收</w:t>
            </w:r>
          </w:p>
        </w:tc>
        <w:tc>
          <w:tcPr>
            <w:tcW w:w="3580" w:type="pct"/>
          </w:tcPr>
          <w:p w14:paraId="2A6BF551">
            <w:pPr>
              <w:spacing w:line="360" w:lineRule="exact"/>
              <w:rPr>
                <w:rFonts w:hint="eastAsia" w:hAnsi="宋体"/>
                <w:bCs/>
                <w:sz w:val="22"/>
                <w:szCs w:val="22"/>
              </w:rPr>
            </w:pPr>
            <w:r>
              <w:rPr>
                <w:rFonts w:hint="eastAsia" w:hAnsi="宋体"/>
                <w:bCs/>
                <w:sz w:val="22"/>
                <w:szCs w:val="22"/>
              </w:rPr>
              <w:t>2.1投标人中标后，其货物经过双方检验认可后，签署验收报告，产品保修期自验收合格之日起算，由投标人提供产品保修文件。</w:t>
            </w:r>
          </w:p>
        </w:tc>
      </w:tr>
      <w:tr w14:paraId="7860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768B464E">
            <w:pPr>
              <w:spacing w:line="360" w:lineRule="exact"/>
              <w:jc w:val="center"/>
              <w:rPr>
                <w:rFonts w:hint="eastAsia" w:hAnsi="宋体"/>
                <w:b/>
                <w:sz w:val="22"/>
                <w:szCs w:val="22"/>
              </w:rPr>
            </w:pPr>
          </w:p>
        </w:tc>
        <w:tc>
          <w:tcPr>
            <w:tcW w:w="971" w:type="pct"/>
            <w:vMerge w:val="continue"/>
          </w:tcPr>
          <w:p w14:paraId="58150284">
            <w:pPr>
              <w:spacing w:line="360" w:lineRule="exact"/>
              <w:rPr>
                <w:rFonts w:hint="eastAsia" w:hAnsi="宋体"/>
                <w:b/>
                <w:sz w:val="22"/>
                <w:szCs w:val="22"/>
              </w:rPr>
            </w:pPr>
          </w:p>
        </w:tc>
        <w:tc>
          <w:tcPr>
            <w:tcW w:w="3580" w:type="pct"/>
          </w:tcPr>
          <w:p w14:paraId="390E5640">
            <w:pPr>
              <w:spacing w:line="360" w:lineRule="exact"/>
              <w:rPr>
                <w:rFonts w:hint="eastAsia" w:hAnsi="宋体"/>
                <w:bCs/>
                <w:sz w:val="22"/>
                <w:szCs w:val="22"/>
              </w:rPr>
            </w:pPr>
            <w:r>
              <w:rPr>
                <w:rFonts w:hint="eastAsia" w:hAnsi="宋体"/>
                <w:bCs/>
                <w:sz w:val="22"/>
                <w:szCs w:val="22"/>
              </w:rPr>
              <w:t>2.2投标人中标后，当满足以下条件时，采购人才向投标人签发货物验收报告：</w:t>
            </w:r>
          </w:p>
          <w:p w14:paraId="760F95FC">
            <w:pPr>
              <w:tabs>
                <w:tab w:val="left" w:pos="1260"/>
                <w:tab w:val="clear" w:pos="426"/>
              </w:tabs>
              <w:spacing w:line="360" w:lineRule="exact"/>
              <w:rPr>
                <w:rFonts w:hint="eastAsia" w:hAnsi="宋体"/>
                <w:bCs/>
                <w:sz w:val="22"/>
                <w:szCs w:val="22"/>
              </w:rPr>
            </w:pPr>
            <w:r>
              <w:rPr>
                <w:rFonts w:hint="eastAsia" w:hAnsi="宋体"/>
                <w:bCs/>
                <w:sz w:val="22"/>
                <w:szCs w:val="22"/>
              </w:rPr>
              <w:t>a、投标人已按照合同规定提供了全部产品及完整的技术资料。</w:t>
            </w:r>
          </w:p>
          <w:p w14:paraId="4EF9E25A">
            <w:pPr>
              <w:tabs>
                <w:tab w:val="left" w:pos="1260"/>
                <w:tab w:val="clear" w:pos="426"/>
              </w:tabs>
              <w:spacing w:line="360" w:lineRule="exact"/>
              <w:rPr>
                <w:rFonts w:hint="eastAsia" w:hAnsi="宋体"/>
                <w:bCs/>
                <w:sz w:val="22"/>
                <w:szCs w:val="22"/>
              </w:rPr>
            </w:pPr>
            <w:r>
              <w:rPr>
                <w:rFonts w:hint="eastAsia" w:hAnsi="宋体"/>
                <w:bCs/>
                <w:sz w:val="22"/>
                <w:szCs w:val="22"/>
              </w:rPr>
              <w:t>b、货物符合采购文件技术规格书的要求，性能满足要求。</w:t>
            </w:r>
          </w:p>
          <w:p w14:paraId="636D6FA2">
            <w:pPr>
              <w:tabs>
                <w:tab w:val="left" w:pos="1260"/>
                <w:tab w:val="clear" w:pos="426"/>
              </w:tabs>
              <w:spacing w:line="360" w:lineRule="exact"/>
              <w:rPr>
                <w:rFonts w:hint="eastAsia" w:hAnsi="宋体"/>
                <w:bCs/>
                <w:sz w:val="22"/>
                <w:szCs w:val="22"/>
              </w:rPr>
            </w:pPr>
            <w:r>
              <w:rPr>
                <w:rFonts w:hint="eastAsia" w:hAnsi="宋体"/>
                <w:bCs/>
                <w:sz w:val="22"/>
                <w:szCs w:val="22"/>
              </w:rPr>
              <w:t>c、货物具备产品合格证。</w:t>
            </w:r>
          </w:p>
        </w:tc>
      </w:tr>
      <w:tr w14:paraId="17EB0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restart"/>
            <w:vAlign w:val="center"/>
          </w:tcPr>
          <w:p w14:paraId="2AC116C1">
            <w:pPr>
              <w:spacing w:line="360" w:lineRule="exact"/>
              <w:jc w:val="center"/>
              <w:rPr>
                <w:rFonts w:hint="eastAsia" w:hAnsi="宋体"/>
                <w:bCs/>
                <w:sz w:val="22"/>
                <w:szCs w:val="22"/>
              </w:rPr>
            </w:pPr>
            <w:r>
              <w:rPr>
                <w:rFonts w:hint="eastAsia" w:hAnsi="宋体"/>
                <w:bCs/>
                <w:sz w:val="22"/>
                <w:szCs w:val="22"/>
              </w:rPr>
              <w:t>3</w:t>
            </w:r>
          </w:p>
        </w:tc>
        <w:tc>
          <w:tcPr>
            <w:tcW w:w="971" w:type="pct"/>
            <w:vMerge w:val="restart"/>
            <w:vAlign w:val="center"/>
          </w:tcPr>
          <w:p w14:paraId="4C92B3EB">
            <w:pPr>
              <w:spacing w:line="360" w:lineRule="exact"/>
              <w:jc w:val="center"/>
              <w:rPr>
                <w:rFonts w:hint="eastAsia" w:hAnsi="宋体"/>
                <w:bCs/>
                <w:sz w:val="22"/>
                <w:szCs w:val="22"/>
              </w:rPr>
            </w:pPr>
            <w:r>
              <w:rPr>
                <w:rFonts w:hint="eastAsia" w:hAnsi="宋体"/>
                <w:bCs/>
                <w:sz w:val="22"/>
                <w:szCs w:val="22"/>
              </w:rPr>
              <w:t>违约责任</w:t>
            </w:r>
          </w:p>
        </w:tc>
        <w:tc>
          <w:tcPr>
            <w:tcW w:w="3580" w:type="pct"/>
          </w:tcPr>
          <w:p w14:paraId="330D14FD">
            <w:pPr>
              <w:spacing w:line="360" w:lineRule="exact"/>
              <w:rPr>
                <w:rFonts w:hint="eastAsia" w:hAnsi="宋体"/>
                <w:bCs/>
                <w:sz w:val="22"/>
                <w:szCs w:val="22"/>
              </w:rPr>
            </w:pPr>
            <w:r>
              <w:rPr>
                <w:rFonts w:hint="eastAsia" w:hAnsi="宋体"/>
                <w:sz w:val="22"/>
                <w:szCs w:val="22"/>
              </w:rPr>
              <w:t>3.1如</w:t>
            </w:r>
            <w:r>
              <w:rPr>
                <w:rFonts w:hint="eastAsia" w:hAnsi="宋体"/>
                <w:bCs/>
                <w:sz w:val="22"/>
                <w:szCs w:val="22"/>
              </w:rPr>
              <w:t>投标人中标后</w:t>
            </w:r>
            <w:r>
              <w:rPr>
                <w:rFonts w:hint="eastAsia" w:hAnsi="宋体"/>
                <w:sz w:val="22"/>
                <w:szCs w:val="22"/>
              </w:rPr>
              <w:t>未按照投标文件中承诺的时间交货或提供服务，</w:t>
            </w:r>
            <w:r>
              <w:rPr>
                <w:rFonts w:hint="eastAsia" w:hAnsi="宋体"/>
                <w:bCs/>
                <w:sz w:val="22"/>
                <w:szCs w:val="22"/>
              </w:rPr>
              <w:t>投标人</w:t>
            </w:r>
            <w:r>
              <w:rPr>
                <w:rFonts w:hint="eastAsia" w:hAnsi="宋体"/>
                <w:sz w:val="22"/>
                <w:szCs w:val="22"/>
              </w:rPr>
              <w:t>应承担延期交货和延期服务的违约责任，并赔偿采购人因此造成的实际经济损失，采购人有权终止合同。</w:t>
            </w:r>
          </w:p>
        </w:tc>
      </w:tr>
      <w:tr w14:paraId="3FC9C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2E72A3FA">
            <w:pPr>
              <w:spacing w:line="360" w:lineRule="exact"/>
              <w:jc w:val="center"/>
              <w:rPr>
                <w:rFonts w:hint="eastAsia" w:hAnsi="宋体"/>
                <w:bCs/>
                <w:sz w:val="22"/>
                <w:szCs w:val="22"/>
              </w:rPr>
            </w:pPr>
          </w:p>
        </w:tc>
        <w:tc>
          <w:tcPr>
            <w:tcW w:w="971" w:type="pct"/>
            <w:vMerge w:val="continue"/>
            <w:vAlign w:val="center"/>
          </w:tcPr>
          <w:p w14:paraId="7F096BEF">
            <w:pPr>
              <w:spacing w:line="360" w:lineRule="exact"/>
              <w:jc w:val="center"/>
              <w:rPr>
                <w:rFonts w:hint="eastAsia" w:hAnsi="宋体"/>
                <w:bCs/>
                <w:sz w:val="22"/>
                <w:szCs w:val="22"/>
              </w:rPr>
            </w:pPr>
          </w:p>
        </w:tc>
        <w:tc>
          <w:tcPr>
            <w:tcW w:w="3580" w:type="pct"/>
          </w:tcPr>
          <w:p w14:paraId="277E9FEB">
            <w:pPr>
              <w:spacing w:line="360" w:lineRule="exact"/>
              <w:rPr>
                <w:rFonts w:hint="eastAsia" w:hAnsi="宋体"/>
                <w:bCs/>
                <w:sz w:val="22"/>
                <w:szCs w:val="22"/>
              </w:rPr>
            </w:pPr>
            <w:r>
              <w:rPr>
                <w:rFonts w:hint="eastAsia" w:hAnsi="宋体"/>
                <w:bCs/>
                <w:sz w:val="22"/>
                <w:szCs w:val="22"/>
              </w:rPr>
              <w:t xml:space="preserve">3.2投标人中标后所交设备的品种、型号、规格、质量、功能、技术参数等方面不能实质性满足采购文件要求的，采购人有权拒绝收货，投标人向采购人偿付项目采购金额【20】% （10%以上20%以下）的违约金并采取更换、补足等补救措施，致使逾期交付的，还应承担逾期交付的违约责任。 </w:t>
            </w:r>
          </w:p>
        </w:tc>
      </w:tr>
      <w:tr w14:paraId="14C9D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3B57FEE1">
            <w:pPr>
              <w:spacing w:line="360" w:lineRule="exact"/>
              <w:jc w:val="center"/>
              <w:rPr>
                <w:rFonts w:hint="eastAsia" w:hAnsi="宋体"/>
                <w:bCs/>
                <w:sz w:val="22"/>
                <w:szCs w:val="22"/>
              </w:rPr>
            </w:pPr>
          </w:p>
        </w:tc>
        <w:tc>
          <w:tcPr>
            <w:tcW w:w="971" w:type="pct"/>
            <w:vMerge w:val="continue"/>
            <w:vAlign w:val="center"/>
          </w:tcPr>
          <w:p w14:paraId="39D9C825">
            <w:pPr>
              <w:spacing w:line="360" w:lineRule="exact"/>
              <w:jc w:val="center"/>
              <w:rPr>
                <w:rFonts w:hint="eastAsia" w:hAnsi="宋体"/>
                <w:bCs/>
                <w:sz w:val="22"/>
                <w:szCs w:val="22"/>
              </w:rPr>
            </w:pPr>
          </w:p>
        </w:tc>
        <w:tc>
          <w:tcPr>
            <w:tcW w:w="3580" w:type="pct"/>
          </w:tcPr>
          <w:p w14:paraId="72DFF513">
            <w:pPr>
              <w:spacing w:line="360" w:lineRule="exact"/>
              <w:rPr>
                <w:rFonts w:hint="eastAsia" w:hAnsi="宋体"/>
                <w:bCs/>
                <w:sz w:val="22"/>
                <w:szCs w:val="22"/>
              </w:rPr>
            </w:pPr>
            <w:r>
              <w:rPr>
                <w:rFonts w:hint="eastAsia" w:hAnsi="宋体"/>
                <w:bCs/>
                <w:sz w:val="22"/>
                <w:szCs w:val="22"/>
              </w:rPr>
              <w:t>3.3投标人中标后不能交付设备的，投标人向采购人偿付项目采购金额【20】%（10%以上20%以下）的违约金。</w:t>
            </w:r>
          </w:p>
        </w:tc>
      </w:tr>
      <w:tr w14:paraId="39BF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1F6D87CC">
            <w:pPr>
              <w:spacing w:line="360" w:lineRule="exact"/>
              <w:jc w:val="center"/>
              <w:rPr>
                <w:rFonts w:hint="eastAsia" w:hAnsi="宋体"/>
                <w:bCs/>
                <w:sz w:val="22"/>
                <w:szCs w:val="22"/>
              </w:rPr>
            </w:pPr>
          </w:p>
        </w:tc>
        <w:tc>
          <w:tcPr>
            <w:tcW w:w="971" w:type="pct"/>
            <w:vMerge w:val="continue"/>
          </w:tcPr>
          <w:p w14:paraId="47FF6C62">
            <w:pPr>
              <w:spacing w:line="360" w:lineRule="exact"/>
              <w:rPr>
                <w:rFonts w:hint="eastAsia" w:hAnsi="宋体"/>
                <w:bCs/>
                <w:sz w:val="22"/>
                <w:szCs w:val="22"/>
              </w:rPr>
            </w:pPr>
          </w:p>
        </w:tc>
        <w:tc>
          <w:tcPr>
            <w:tcW w:w="3580" w:type="pct"/>
          </w:tcPr>
          <w:p w14:paraId="2CEDCC30">
            <w:pPr>
              <w:spacing w:line="360" w:lineRule="exact"/>
              <w:rPr>
                <w:rFonts w:hint="eastAsia" w:hAnsi="宋体"/>
                <w:bCs/>
                <w:sz w:val="22"/>
                <w:szCs w:val="22"/>
              </w:rPr>
            </w:pPr>
            <w:r>
              <w:rPr>
                <w:rFonts w:hint="eastAsia" w:hAnsi="宋体"/>
                <w:bCs/>
                <w:sz w:val="22"/>
                <w:szCs w:val="22"/>
              </w:rPr>
              <w:t>3.4投标人中标后逾期交付货物的，每逾期1天，投标人向采购人偿付项目采购金额的【5】‰（1‰以上5‰以下）的违约金。如投标人逾期交货达</w:t>
            </w:r>
            <w:r>
              <w:rPr>
                <w:rFonts w:hint="eastAsia" w:hAnsi="宋体"/>
                <w:bCs/>
                <w:sz w:val="22"/>
                <w:szCs w:val="22"/>
                <w:u w:val="single"/>
              </w:rPr>
              <w:t xml:space="preserve"> 3 </w:t>
            </w:r>
            <w:r>
              <w:rPr>
                <w:rFonts w:hint="eastAsia" w:hAnsi="宋体"/>
                <w:bCs/>
                <w:sz w:val="22"/>
                <w:szCs w:val="22"/>
              </w:rPr>
              <w:t>天，采购人有权解除合同。</w:t>
            </w:r>
          </w:p>
        </w:tc>
      </w:tr>
      <w:tr w14:paraId="6A41F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705939C1">
            <w:pPr>
              <w:spacing w:line="360" w:lineRule="exact"/>
              <w:jc w:val="center"/>
              <w:rPr>
                <w:rFonts w:hint="eastAsia" w:hAnsi="宋体"/>
                <w:bCs/>
                <w:sz w:val="22"/>
                <w:szCs w:val="22"/>
              </w:rPr>
            </w:pPr>
          </w:p>
        </w:tc>
        <w:tc>
          <w:tcPr>
            <w:tcW w:w="971" w:type="pct"/>
            <w:vMerge w:val="continue"/>
          </w:tcPr>
          <w:p w14:paraId="2A09910F">
            <w:pPr>
              <w:spacing w:line="360" w:lineRule="exact"/>
              <w:rPr>
                <w:rFonts w:hint="eastAsia" w:hAnsi="宋体"/>
                <w:bCs/>
                <w:sz w:val="22"/>
                <w:szCs w:val="22"/>
              </w:rPr>
            </w:pPr>
          </w:p>
        </w:tc>
        <w:tc>
          <w:tcPr>
            <w:tcW w:w="3580" w:type="pct"/>
          </w:tcPr>
          <w:p w14:paraId="4C0EAE50">
            <w:pPr>
              <w:spacing w:line="360" w:lineRule="exact"/>
              <w:rPr>
                <w:rFonts w:hint="eastAsia" w:hAnsi="宋体"/>
                <w:b/>
                <w:sz w:val="22"/>
                <w:szCs w:val="22"/>
              </w:rPr>
            </w:pPr>
            <w:r>
              <w:rPr>
                <w:rFonts w:hint="eastAsia" w:hAnsi="宋体"/>
                <w:bCs/>
                <w:sz w:val="22"/>
                <w:szCs w:val="22"/>
              </w:rPr>
              <w:t>3.5投标人中标后，在其承诺的或国家规定的质量保证期内（取两者中最长的期限），如经投标人两次维修或更换，货物仍不能达到采购文件要求及投标文件承诺的质量标准，采购人有权退货，投标人应退回全部货款并赔偿采购人因此遭受的损失。</w:t>
            </w:r>
          </w:p>
        </w:tc>
      </w:tr>
      <w:tr w14:paraId="31204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Merge w:val="continue"/>
            <w:vAlign w:val="center"/>
          </w:tcPr>
          <w:p w14:paraId="010481F8">
            <w:pPr>
              <w:spacing w:line="360" w:lineRule="exact"/>
              <w:jc w:val="center"/>
              <w:rPr>
                <w:rFonts w:hint="eastAsia" w:hAnsi="宋体"/>
                <w:bCs/>
                <w:sz w:val="22"/>
                <w:szCs w:val="22"/>
              </w:rPr>
            </w:pPr>
          </w:p>
        </w:tc>
        <w:tc>
          <w:tcPr>
            <w:tcW w:w="971" w:type="pct"/>
            <w:vMerge w:val="continue"/>
          </w:tcPr>
          <w:p w14:paraId="24FAAA2A">
            <w:pPr>
              <w:spacing w:line="360" w:lineRule="exact"/>
              <w:rPr>
                <w:rFonts w:hint="eastAsia" w:hAnsi="宋体"/>
                <w:bCs/>
                <w:sz w:val="22"/>
                <w:szCs w:val="22"/>
              </w:rPr>
            </w:pPr>
          </w:p>
        </w:tc>
        <w:tc>
          <w:tcPr>
            <w:tcW w:w="3580" w:type="pct"/>
          </w:tcPr>
          <w:p w14:paraId="3F5EC109">
            <w:pPr>
              <w:spacing w:line="360" w:lineRule="exact"/>
              <w:rPr>
                <w:rFonts w:hint="eastAsia" w:hAnsi="宋体"/>
                <w:b/>
                <w:sz w:val="22"/>
                <w:szCs w:val="22"/>
              </w:rPr>
            </w:pPr>
            <w:r>
              <w:rPr>
                <w:rFonts w:hint="eastAsia" w:hAnsi="宋体"/>
                <w:bCs/>
                <w:sz w:val="22"/>
                <w:szCs w:val="22"/>
              </w:rPr>
              <w:t>3.6投标人中标后在承担上述一项或多项违约责任后，仍应继续履行合同规定的义务（采购人解除合同的除外）。采购人未能及时追究投标人的任何一项违约责任并不表明采购人放弃追究投标人该项或其他违约责任。</w:t>
            </w:r>
          </w:p>
        </w:tc>
      </w:tr>
      <w:tr w14:paraId="1CB2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Align w:val="center"/>
          </w:tcPr>
          <w:p w14:paraId="3E9B9028">
            <w:pPr>
              <w:spacing w:line="360" w:lineRule="exact"/>
              <w:jc w:val="center"/>
              <w:rPr>
                <w:rFonts w:hint="eastAsia" w:hAnsi="宋体"/>
                <w:bCs/>
                <w:sz w:val="22"/>
                <w:szCs w:val="22"/>
              </w:rPr>
            </w:pPr>
            <w:r>
              <w:rPr>
                <w:rFonts w:hint="eastAsia" w:hAnsi="宋体"/>
                <w:bCs/>
                <w:sz w:val="22"/>
                <w:szCs w:val="22"/>
              </w:rPr>
              <w:t>4</w:t>
            </w:r>
          </w:p>
        </w:tc>
        <w:tc>
          <w:tcPr>
            <w:tcW w:w="971" w:type="pct"/>
            <w:vAlign w:val="center"/>
          </w:tcPr>
          <w:p w14:paraId="70F62E5D">
            <w:pPr>
              <w:spacing w:line="360" w:lineRule="exact"/>
              <w:jc w:val="center"/>
              <w:rPr>
                <w:rFonts w:hint="eastAsia" w:hAnsi="宋体"/>
                <w:bCs/>
                <w:sz w:val="22"/>
                <w:szCs w:val="22"/>
              </w:rPr>
            </w:pPr>
            <w:r>
              <w:rPr>
                <w:rFonts w:hint="eastAsia" w:hAnsi="宋体"/>
                <w:bCs/>
                <w:sz w:val="22"/>
                <w:szCs w:val="22"/>
              </w:rPr>
              <w:t>其他</w:t>
            </w:r>
          </w:p>
        </w:tc>
        <w:tc>
          <w:tcPr>
            <w:tcW w:w="3580" w:type="pct"/>
          </w:tcPr>
          <w:p w14:paraId="2F5D8BD7">
            <w:pPr>
              <w:spacing w:line="360" w:lineRule="exact"/>
              <w:rPr>
                <w:rFonts w:hint="eastAsia" w:hAnsi="宋体"/>
                <w:bCs/>
                <w:sz w:val="22"/>
                <w:szCs w:val="22"/>
              </w:rPr>
            </w:pPr>
            <w:r>
              <w:rPr>
                <w:rFonts w:hint="eastAsia" w:hAnsi="宋体"/>
                <w:bCs/>
                <w:sz w:val="22"/>
                <w:szCs w:val="22"/>
              </w:rPr>
              <w:t>1.投标人中标后应按其投标文件中的承诺，进行其他售后服务工作。</w:t>
            </w:r>
          </w:p>
          <w:p w14:paraId="32CA79DE">
            <w:pPr>
              <w:pStyle w:val="7"/>
              <w:spacing w:line="360" w:lineRule="exact"/>
              <w:ind w:firstLine="0"/>
              <w:rPr>
                <w:sz w:val="22"/>
                <w:szCs w:val="22"/>
              </w:rPr>
            </w:pPr>
            <w:r>
              <w:rPr>
                <w:rFonts w:hint="eastAsia" w:ascii="宋体" w:hAnsi="宋体" w:cs="宋体"/>
                <w:bCs/>
                <w:sz w:val="22"/>
                <w:szCs w:val="22"/>
              </w:rPr>
              <w:t>2.投标人需按照《深圳市市直党政机关办公家具配置标准》等相关规定执行。</w:t>
            </w:r>
          </w:p>
        </w:tc>
      </w:tr>
      <w:tr w14:paraId="48258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Align w:val="center"/>
          </w:tcPr>
          <w:p w14:paraId="75B99E8E">
            <w:pPr>
              <w:spacing w:line="360" w:lineRule="exact"/>
              <w:jc w:val="center"/>
              <w:rPr>
                <w:rFonts w:hint="eastAsia" w:hAnsi="宋体"/>
                <w:bCs/>
                <w:sz w:val="22"/>
                <w:szCs w:val="22"/>
              </w:rPr>
            </w:pPr>
            <w:r>
              <w:rPr>
                <w:rFonts w:hint="eastAsia" w:hAnsi="宋体"/>
                <w:bCs/>
                <w:sz w:val="22"/>
                <w:szCs w:val="22"/>
              </w:rPr>
              <w:t>5</w:t>
            </w:r>
          </w:p>
        </w:tc>
        <w:tc>
          <w:tcPr>
            <w:tcW w:w="971" w:type="pct"/>
            <w:vAlign w:val="center"/>
          </w:tcPr>
          <w:p w14:paraId="6D04A1DF">
            <w:pPr>
              <w:spacing w:line="360" w:lineRule="exact"/>
              <w:jc w:val="center"/>
              <w:rPr>
                <w:rFonts w:hint="eastAsia" w:hAnsi="宋体"/>
                <w:bCs/>
                <w:sz w:val="22"/>
                <w:szCs w:val="22"/>
              </w:rPr>
            </w:pPr>
            <w:r>
              <w:rPr>
                <w:rFonts w:hint="eastAsia" w:hAnsi="宋体"/>
                <w:bCs/>
                <w:sz w:val="22"/>
                <w:szCs w:val="22"/>
              </w:rPr>
              <w:t>报价要求</w:t>
            </w:r>
          </w:p>
        </w:tc>
        <w:tc>
          <w:tcPr>
            <w:tcW w:w="3580" w:type="pct"/>
          </w:tcPr>
          <w:p w14:paraId="65C2E49E">
            <w:pPr>
              <w:spacing w:line="360" w:lineRule="exact"/>
              <w:jc w:val="left"/>
              <w:rPr>
                <w:rFonts w:hint="eastAsia" w:hAnsi="宋体"/>
                <w:bCs/>
                <w:sz w:val="22"/>
                <w:szCs w:val="22"/>
              </w:rPr>
            </w:pPr>
            <w:r>
              <w:rPr>
                <w:rFonts w:hint="eastAsia" w:hAnsi="宋体"/>
                <w:bCs/>
                <w:sz w:val="22"/>
                <w:szCs w:val="22"/>
              </w:rPr>
              <w:t>(1)超过本项目预算价的报价将导致投标无效。</w:t>
            </w:r>
          </w:p>
          <w:p w14:paraId="00C95DF0">
            <w:pPr>
              <w:pStyle w:val="32"/>
              <w:spacing w:line="360" w:lineRule="exact"/>
              <w:jc w:val="left"/>
              <w:rPr>
                <w:rFonts w:hint="eastAsia" w:hAnsi="宋体" w:cs="宋体"/>
                <w:sz w:val="22"/>
                <w:szCs w:val="22"/>
              </w:rPr>
            </w:pPr>
            <w:r>
              <w:rPr>
                <w:rFonts w:hint="eastAsia" w:hAnsi="宋体" w:cs="宋体"/>
                <w:sz w:val="22"/>
                <w:szCs w:val="22"/>
              </w:rPr>
              <w:t>(2)报价要求：投标总价必须是完成该项目的一切费用总和，包括投标费、设备费、运输费、装卸费、保险费、技术培训费、设备安装费、调试费、检测费、国家规定的各项税费等。</w:t>
            </w:r>
          </w:p>
        </w:tc>
      </w:tr>
      <w:tr w14:paraId="0DB2E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48" w:type="pct"/>
            <w:vAlign w:val="center"/>
          </w:tcPr>
          <w:p w14:paraId="61B31CD5">
            <w:pPr>
              <w:spacing w:line="360" w:lineRule="exact"/>
              <w:jc w:val="center"/>
              <w:rPr>
                <w:rFonts w:hint="eastAsia" w:hAnsi="宋体"/>
                <w:bCs/>
                <w:sz w:val="22"/>
                <w:szCs w:val="22"/>
              </w:rPr>
            </w:pPr>
            <w:r>
              <w:rPr>
                <w:rFonts w:hint="eastAsia" w:hAnsi="宋体"/>
                <w:bCs/>
                <w:sz w:val="22"/>
                <w:szCs w:val="22"/>
              </w:rPr>
              <w:t>6</w:t>
            </w:r>
          </w:p>
        </w:tc>
        <w:tc>
          <w:tcPr>
            <w:tcW w:w="971" w:type="pct"/>
            <w:vAlign w:val="center"/>
          </w:tcPr>
          <w:p w14:paraId="2F65FE8E">
            <w:pPr>
              <w:spacing w:line="360" w:lineRule="exact"/>
              <w:jc w:val="center"/>
              <w:rPr>
                <w:rFonts w:hint="eastAsia" w:hAnsi="宋体"/>
                <w:bCs/>
                <w:sz w:val="22"/>
                <w:szCs w:val="22"/>
              </w:rPr>
            </w:pPr>
            <w:r>
              <w:rPr>
                <w:rFonts w:hint="eastAsia" w:hAnsi="宋体"/>
                <w:bCs/>
                <w:sz w:val="22"/>
                <w:szCs w:val="22"/>
              </w:rPr>
              <w:t>付款方式</w:t>
            </w:r>
          </w:p>
        </w:tc>
        <w:tc>
          <w:tcPr>
            <w:tcW w:w="3580" w:type="pct"/>
          </w:tcPr>
          <w:p w14:paraId="76E36BFE">
            <w:pPr>
              <w:pStyle w:val="32"/>
              <w:spacing w:line="360" w:lineRule="exact"/>
              <w:rPr>
                <w:rFonts w:hint="eastAsia" w:hAnsi="宋体" w:cs="宋体"/>
                <w:sz w:val="22"/>
                <w:szCs w:val="22"/>
              </w:rPr>
            </w:pPr>
            <w:r>
              <w:rPr>
                <w:rFonts w:hint="eastAsia" w:hAnsi="宋体" w:cs="宋体"/>
                <w:sz w:val="22"/>
                <w:szCs w:val="22"/>
              </w:rPr>
              <w:t>以财委规定支付，具体以双方合同约定为准。</w:t>
            </w:r>
          </w:p>
        </w:tc>
      </w:tr>
      <w:bookmarkEnd w:id="40"/>
      <w:bookmarkEnd w:id="41"/>
      <w:bookmarkEnd w:id="42"/>
    </w:tbl>
    <w:p w14:paraId="23D675DD">
      <w:pPr>
        <w:adjustRightInd/>
        <w:snapToGrid/>
        <w:spacing w:line="360" w:lineRule="exact"/>
        <w:ind w:firstLine="440" w:firstLineChars="200"/>
        <w:rPr>
          <w:rFonts w:hint="eastAsia" w:hAnsi="宋体"/>
          <w:sz w:val="22"/>
          <w:szCs w:val="22"/>
        </w:rPr>
      </w:pPr>
      <w:r>
        <w:rPr>
          <w:rFonts w:hint="eastAsia" w:hAnsi="宋体"/>
          <w:sz w:val="22"/>
          <w:szCs w:val="22"/>
        </w:rPr>
        <w:t xml:space="preserve"> </w:t>
      </w:r>
    </w:p>
    <w:p w14:paraId="757464F7"/>
    <w:p w14:paraId="0D525517">
      <w:pPr>
        <w:pStyle w:val="4"/>
        <w:numPr>
          <w:ilvl w:val="0"/>
          <w:numId w:val="0"/>
        </w:numPr>
        <w:jc w:val="center"/>
        <w:rPr>
          <w:sz w:val="24"/>
        </w:rPr>
      </w:pPr>
      <w:bookmarkStart w:id="43" w:name="_Toc23424"/>
      <w:r>
        <w:rPr>
          <w:rFonts w:hint="eastAsia"/>
          <w:sz w:val="24"/>
        </w:rPr>
        <w:t>六、政策导向</w:t>
      </w:r>
      <w:bookmarkEnd w:id="43"/>
    </w:p>
    <w:p w14:paraId="2A97027D">
      <w:pPr>
        <w:ind w:firstLine="440" w:firstLineChars="200"/>
        <w:rPr>
          <w:rFonts w:hint="eastAsia" w:hAnsi="宋体"/>
          <w:sz w:val="22"/>
        </w:rPr>
      </w:pPr>
      <w:r>
        <w:rPr>
          <w:rFonts w:hint="eastAsia" w:hAnsi="宋体"/>
          <w:sz w:val="22"/>
        </w:rPr>
        <w:t>（1）投标人提供的服务全部均由优惠主体制造，则对其投标总价给予</w:t>
      </w:r>
      <w:r>
        <w:rPr>
          <w:rFonts w:hint="eastAsia" w:hAnsi="宋体"/>
          <w:b/>
          <w:bCs/>
          <w:sz w:val="22"/>
          <w:u w:val="single"/>
        </w:rPr>
        <w:t xml:space="preserve"> 0% </w:t>
      </w:r>
      <w:r>
        <w:rPr>
          <w:rFonts w:hint="eastAsia" w:hAnsi="宋体"/>
          <w:sz w:val="22"/>
        </w:rPr>
        <w:t>的扣除，用扣除后的价格参与评审。满足多项优惠政策的企业，不重复享受多项价格扣除政策。</w:t>
      </w:r>
    </w:p>
    <w:p w14:paraId="7E47328C">
      <w:pPr>
        <w:ind w:firstLine="440" w:firstLineChars="200"/>
        <w:rPr>
          <w:rFonts w:hint="eastAsia" w:hAnsi="宋体"/>
          <w:sz w:val="22"/>
        </w:rPr>
      </w:pPr>
      <w:r>
        <w:rPr>
          <w:rFonts w:hint="eastAsia" w:hAnsi="宋体"/>
          <w:sz w:val="22"/>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14:paraId="0C6B2D75">
      <w:pPr>
        <w:ind w:firstLine="440" w:firstLineChars="200"/>
        <w:rPr>
          <w:rFonts w:hint="eastAsia" w:hAnsi="宋体"/>
          <w:sz w:val="22"/>
        </w:rPr>
      </w:pPr>
      <w:r>
        <w:rPr>
          <w:rFonts w:hint="eastAsia" w:hAnsi="宋体"/>
          <w:sz w:val="22"/>
        </w:rPr>
        <w:t>（2）根据《工业和信息化部、国家统计局、国家发展和改革委员会、财政部关于印发中小企业划型标准规定的通知》（工信部联企业〔2011〕300 号），本项目采购标的（项目需求）对应的中小企业划分标准所属行业为</w:t>
      </w:r>
      <w:r>
        <w:rPr>
          <w:rFonts w:hint="eastAsia" w:hAnsi="宋体"/>
          <w:sz w:val="22"/>
          <w:u w:val="single"/>
        </w:rPr>
        <w:t xml:space="preserve">  </w:t>
      </w:r>
      <w:r>
        <w:rPr>
          <w:rFonts w:hint="eastAsia" w:hAnsi="宋体"/>
          <w:b/>
          <w:bCs/>
          <w:sz w:val="22"/>
          <w:u w:val="single"/>
        </w:rPr>
        <w:t>工业</w:t>
      </w:r>
      <w:r>
        <w:rPr>
          <w:rFonts w:hint="eastAsia" w:hAnsi="宋体"/>
          <w:sz w:val="22"/>
          <w:u w:val="single"/>
        </w:rPr>
        <w:t xml:space="preserve">  </w:t>
      </w:r>
      <w:r>
        <w:rPr>
          <w:rFonts w:hint="eastAsia" w:hAnsi="宋体"/>
          <w:sz w:val="22"/>
        </w:rPr>
        <w:t>。</w:t>
      </w:r>
    </w:p>
    <w:p w14:paraId="06BB9A14">
      <w:pPr>
        <w:ind w:firstLine="440" w:firstLineChars="200"/>
        <w:rPr>
          <w:rFonts w:hint="eastAsia" w:hAnsi="宋体"/>
          <w:sz w:val="22"/>
        </w:rPr>
      </w:pPr>
      <w:r>
        <w:rPr>
          <w:rFonts w:hint="eastAsia" w:hAnsi="宋体"/>
          <w:sz w:val="22"/>
        </w:rPr>
        <w:t>（3）小型企业、微型企业、残疾人福利性单位作为优惠主体的认定资料为《中小企业声明函》、《残疾人福利性单位声明函》；监狱企业作为优惠主体的认定资料为省级以上监狱管理局、戒毒管理局出具的监狱企业证明文件。声明函样式见本招标文件第一册专用条款第三章“投标文件格式、附件”中“中小企业、残疾人福利性单位和监狱企业政策导向”章节提供的格式）。</w:t>
      </w:r>
    </w:p>
    <w:p w14:paraId="6612AA0F">
      <w:pPr>
        <w:ind w:firstLine="440" w:firstLineChars="200"/>
        <w:rPr>
          <w:sz w:val="22"/>
        </w:rPr>
      </w:pPr>
      <w:r>
        <w:rPr>
          <w:rFonts w:hint="eastAsia" w:hAnsi="宋体"/>
          <w:sz w:val="22"/>
        </w:rPr>
        <w:t>（4）享受价格扣除获得政府采购合同的，小微企业不得将合同分包给大中型企业。</w:t>
      </w:r>
    </w:p>
    <w:p w14:paraId="7512F583">
      <w:r>
        <w:rPr>
          <w:rFonts w:hint="eastAsia"/>
        </w:rPr>
        <w:br w:type="page"/>
      </w:r>
    </w:p>
    <w:p w14:paraId="73618A4A">
      <w:pPr>
        <w:pStyle w:val="62"/>
        <w:tabs>
          <w:tab w:val="clear" w:pos="426"/>
        </w:tabs>
      </w:pPr>
      <w:bookmarkStart w:id="44" w:name="_Toc30795"/>
      <w:r>
        <w:rPr>
          <w:rFonts w:hint="eastAsia"/>
        </w:rPr>
        <w:t>第四章采购合同的签订、履约及验收</w:t>
      </w:r>
      <w:bookmarkEnd w:id="34"/>
      <w:bookmarkEnd w:id="44"/>
    </w:p>
    <w:p w14:paraId="000321B6">
      <w:pPr>
        <w:tabs>
          <w:tab w:val="clear" w:pos="426"/>
        </w:tabs>
        <w:jc w:val="center"/>
        <w:rPr>
          <w:b/>
          <w:sz w:val="24"/>
        </w:rPr>
      </w:pPr>
    </w:p>
    <w:p w14:paraId="1330FB17">
      <w:pPr>
        <w:tabs>
          <w:tab w:val="clear" w:pos="426"/>
        </w:tabs>
        <w:jc w:val="center"/>
        <w:rPr>
          <w:b/>
          <w:sz w:val="24"/>
        </w:rPr>
      </w:pPr>
    </w:p>
    <w:p w14:paraId="591D6F22">
      <w:pPr>
        <w:tabs>
          <w:tab w:val="clear" w:pos="426"/>
        </w:tabs>
        <w:jc w:val="center"/>
        <w:rPr>
          <w:b/>
          <w:sz w:val="24"/>
        </w:rPr>
      </w:pPr>
    </w:p>
    <w:p w14:paraId="593D417B">
      <w:pPr>
        <w:tabs>
          <w:tab w:val="clear" w:pos="426"/>
        </w:tabs>
        <w:jc w:val="center"/>
        <w:rPr>
          <w:b/>
          <w:sz w:val="24"/>
        </w:rPr>
      </w:pPr>
      <w:r>
        <w:rPr>
          <w:rFonts w:hint="eastAsia"/>
          <w:b/>
          <w:sz w:val="24"/>
        </w:rPr>
        <w:t>一、重要提示</w:t>
      </w:r>
    </w:p>
    <w:p w14:paraId="1E05F0D7">
      <w:pPr>
        <w:widowControl w:val="0"/>
        <w:shd w:val="clear" w:color="auto" w:fill="auto"/>
        <w:tabs>
          <w:tab w:val="clear" w:pos="426"/>
        </w:tabs>
        <w:adjustRightInd/>
        <w:snapToGrid/>
        <w:ind w:firstLine="420" w:firstLineChars="200"/>
        <w:rPr>
          <w:rFonts w:cs="Times New Roman"/>
          <w:kern w:val="2"/>
          <w:szCs w:val="21"/>
        </w:rPr>
      </w:pPr>
      <w:bookmarkStart w:id="45" w:name="_Hlk2096823"/>
      <w:r>
        <w:rPr>
          <w:rFonts w:hint="eastAsia" w:cs="Times New Roman"/>
          <w:kern w:val="2"/>
          <w:szCs w:val="21"/>
        </w:rPr>
        <w:t>（一）</w:t>
      </w:r>
      <w:r>
        <w:rPr>
          <w:rFonts w:hint="eastAsia"/>
          <w:szCs w:val="21"/>
        </w:rPr>
        <w:t>中标供应商应在中标通知书发出后立即与采购人取得联系。</w:t>
      </w:r>
      <w:r>
        <w:rPr>
          <w:rFonts w:hint="eastAsia" w:cs="Times New Roman"/>
          <w:kern w:val="2"/>
          <w:szCs w:val="21"/>
        </w:rPr>
        <w:t>中标供应商将于中标通知书发出之日起三十日内，按照招标文件和投标文件内容与采购人签订书面合同，合同书应采用本招标文件规定的合同样本；</w:t>
      </w:r>
    </w:p>
    <w:p w14:paraId="64F523D2">
      <w:pPr>
        <w:widowControl w:val="0"/>
        <w:shd w:val="clear" w:color="auto" w:fill="auto"/>
        <w:tabs>
          <w:tab w:val="clear" w:pos="426"/>
        </w:tabs>
        <w:adjustRightInd/>
        <w:snapToGrid/>
        <w:ind w:firstLine="420" w:firstLineChars="200"/>
        <w:rPr>
          <w:rFonts w:cs="Times New Roman"/>
          <w:kern w:val="2"/>
          <w:szCs w:val="21"/>
        </w:rPr>
      </w:pPr>
      <w:r>
        <w:rPr>
          <w:rFonts w:hint="eastAsia" w:cs="Times New Roman"/>
          <w:kern w:val="2"/>
          <w:szCs w:val="21"/>
        </w:rPr>
        <w:t>（二）中标供应商应当按照合同约定履行义务，完成中标项目，不得将中标项目转让（转包）给他人；</w:t>
      </w:r>
    </w:p>
    <w:p w14:paraId="2B6C2694">
      <w:pPr>
        <w:widowControl w:val="0"/>
        <w:shd w:val="clear" w:color="auto" w:fill="auto"/>
        <w:tabs>
          <w:tab w:val="clear" w:pos="426"/>
        </w:tabs>
        <w:adjustRightInd/>
        <w:snapToGrid/>
        <w:ind w:firstLine="420" w:firstLineChars="200"/>
        <w:rPr>
          <w:rFonts w:cs="Times New Roman"/>
          <w:kern w:val="2"/>
          <w:szCs w:val="21"/>
        </w:rPr>
      </w:pPr>
      <w:r>
        <w:rPr>
          <w:rFonts w:hint="eastAsia" w:cs="Times New Roman"/>
          <w:kern w:val="2"/>
          <w:szCs w:val="21"/>
        </w:rPr>
        <w:t>（三）采购人与中标供应商签订的合同必须遵守本招标文件的合同条件，并且不得更改合同条件。</w:t>
      </w:r>
    </w:p>
    <w:p w14:paraId="6F10B5D5">
      <w:pPr>
        <w:widowControl w:val="0"/>
        <w:shd w:val="clear" w:color="auto" w:fill="auto"/>
        <w:tabs>
          <w:tab w:val="clear" w:pos="426"/>
        </w:tabs>
        <w:adjustRightInd/>
        <w:snapToGrid/>
        <w:ind w:firstLine="420" w:firstLineChars="200"/>
        <w:rPr>
          <w:rFonts w:cs="Times New Roman"/>
          <w:kern w:val="2"/>
          <w:szCs w:val="21"/>
        </w:rPr>
      </w:pPr>
      <w:r>
        <w:rPr>
          <w:rFonts w:hint="eastAsia" w:cs="Times New Roman"/>
          <w:kern w:val="2"/>
          <w:szCs w:val="21"/>
        </w:rPr>
        <w:t>（四）供应商必须诚信投标，对项目需求进行实质性响应。</w:t>
      </w:r>
      <w:bookmarkEnd w:id="45"/>
    </w:p>
    <w:p w14:paraId="6F1CA3D0">
      <w:pPr>
        <w:shd w:val="clear" w:color="auto" w:fill="auto"/>
        <w:tabs>
          <w:tab w:val="clear" w:pos="426"/>
        </w:tabs>
        <w:adjustRightInd/>
        <w:snapToGrid/>
        <w:spacing w:line="240" w:lineRule="auto"/>
        <w:jc w:val="left"/>
        <w:rPr>
          <w:rFonts w:ascii="Times New Roman" w:cs="Times New Roman"/>
          <w:b/>
          <w:kern w:val="2"/>
          <w:sz w:val="24"/>
        </w:rPr>
      </w:pPr>
    </w:p>
    <w:p w14:paraId="38C55115">
      <w:pPr>
        <w:shd w:val="clear" w:color="auto" w:fill="auto"/>
        <w:tabs>
          <w:tab w:val="clear" w:pos="426"/>
        </w:tabs>
        <w:adjustRightInd/>
        <w:snapToGrid/>
        <w:spacing w:line="240" w:lineRule="auto"/>
        <w:jc w:val="left"/>
        <w:rPr>
          <w:rFonts w:ascii="Times New Roman" w:cs="Times New Roman"/>
          <w:b/>
          <w:kern w:val="2"/>
          <w:sz w:val="24"/>
        </w:rPr>
      </w:pPr>
      <w:r>
        <w:rPr>
          <w:rFonts w:ascii="Times New Roman" w:cs="Times New Roman"/>
          <w:b/>
          <w:kern w:val="2"/>
          <w:sz w:val="24"/>
        </w:rPr>
        <w:br w:type="page"/>
      </w:r>
    </w:p>
    <w:p w14:paraId="04C4697A">
      <w:pPr>
        <w:tabs>
          <w:tab w:val="clear" w:pos="426"/>
        </w:tabs>
        <w:ind w:firstLine="482" w:firstLineChars="200"/>
        <w:jc w:val="center"/>
        <w:rPr>
          <w:b/>
          <w:sz w:val="24"/>
        </w:rPr>
      </w:pPr>
      <w:r>
        <w:rPr>
          <w:rFonts w:hint="eastAsia"/>
          <w:b/>
          <w:sz w:val="24"/>
        </w:rPr>
        <w:t>二、合同主要条款及格式</w:t>
      </w:r>
    </w:p>
    <w:bookmarkEnd w:id="20"/>
    <w:bookmarkEnd w:id="21"/>
    <w:p w14:paraId="7E0F0E6F">
      <w:pPr>
        <w:jc w:val="center"/>
        <w:rPr>
          <w:rFonts w:hint="eastAsia" w:hAnsi="宋体"/>
          <w:b/>
          <w:sz w:val="22"/>
          <w:szCs w:val="21"/>
        </w:rPr>
      </w:pPr>
      <w:bookmarkStart w:id="46" w:name="_Toc432592818"/>
      <w:bookmarkStart w:id="47" w:name="_Toc398220526"/>
      <w:r>
        <w:rPr>
          <w:rFonts w:hint="eastAsia" w:hAnsi="宋体"/>
          <w:b/>
          <w:sz w:val="22"/>
          <w:szCs w:val="21"/>
        </w:rPr>
        <w:t>(注：仅供参考，具体条款内容由采购单位和中标单位协商确定。)</w:t>
      </w:r>
    </w:p>
    <w:p w14:paraId="22A9C378">
      <w:pPr>
        <w:pStyle w:val="44"/>
      </w:pPr>
    </w:p>
    <w:p w14:paraId="65BC91E8">
      <w:pPr>
        <w:pStyle w:val="81"/>
        <w:spacing w:before="0"/>
        <w:rPr>
          <w:rFonts w:hint="eastAsia" w:ascii="微软雅黑" w:hAnsi="微软雅黑" w:eastAsia="微软雅黑" w:cs="微软雅黑"/>
          <w:spacing w:val="51"/>
          <w:w w:val="90"/>
          <w:sz w:val="64"/>
          <w:szCs w:val="64"/>
        </w:rPr>
      </w:pPr>
      <w:bookmarkStart w:id="48" w:name="_Toc5690"/>
      <w:r>
        <w:rPr>
          <w:rFonts w:hint="eastAsia" w:ascii="微软雅黑" w:hAnsi="微软雅黑" w:eastAsia="微软雅黑" w:cs="微软雅黑"/>
          <w:spacing w:val="51"/>
          <w:w w:val="90"/>
          <w:sz w:val="44"/>
          <w:szCs w:val="44"/>
        </w:rPr>
        <w:t>广东省深圳市消防救援支队大亚湾特勤大队2024年备勤楼家具采购项目</w:t>
      </w:r>
      <w:bookmarkEnd w:id="48"/>
    </w:p>
    <w:p w14:paraId="0E365DC8">
      <w:pPr>
        <w:pStyle w:val="32"/>
        <w:spacing w:before="3"/>
        <w:rPr>
          <w:rFonts w:hint="eastAsia" w:ascii="仿宋" w:hAnsi="仿宋" w:eastAsia="仿宋"/>
          <w:sz w:val="44"/>
          <w:szCs w:val="44"/>
        </w:rPr>
      </w:pPr>
    </w:p>
    <w:p w14:paraId="56B875BB">
      <w:pPr>
        <w:pStyle w:val="81"/>
        <w:spacing w:line="501" w:lineRule="auto"/>
        <w:ind w:left="3999" w:right="4142"/>
        <w:jc w:val="both"/>
        <w:rPr>
          <w:rFonts w:hint="eastAsia" w:ascii="仿宋" w:hAnsi="仿宋" w:eastAsia="仿宋"/>
          <w:sz w:val="44"/>
          <w:szCs w:val="44"/>
        </w:rPr>
      </w:pPr>
      <w:bookmarkStart w:id="49" w:name="_Toc2030"/>
      <w:r>
        <w:rPr>
          <w:rFonts w:hint="eastAsia" w:ascii="微软雅黑" w:hAnsi="微软雅黑" w:eastAsia="微软雅黑" w:cs="微软雅黑"/>
          <w:sz w:val="44"/>
          <w:szCs w:val="44"/>
        </w:rPr>
        <w:t>合同</w:t>
      </w:r>
      <w:bookmarkEnd w:id="49"/>
    </w:p>
    <w:p w14:paraId="7D8969FC">
      <w:pPr>
        <w:pStyle w:val="32"/>
        <w:rPr>
          <w:rFonts w:hint="eastAsia" w:ascii="仿宋" w:hAnsi="仿宋" w:eastAsia="仿宋"/>
          <w:sz w:val="49"/>
        </w:rPr>
      </w:pPr>
    </w:p>
    <w:p w14:paraId="1BB3EDB2">
      <w:pPr>
        <w:rPr>
          <w:rFonts w:hint="eastAsia" w:ascii="仿宋" w:hAnsi="仿宋" w:eastAsia="仿宋"/>
          <w:b/>
          <w:sz w:val="49"/>
        </w:rPr>
      </w:pPr>
    </w:p>
    <w:p w14:paraId="60B296F6">
      <w:pPr>
        <w:pStyle w:val="32"/>
        <w:rPr>
          <w:rFonts w:hint="eastAsia" w:ascii="仿宋" w:hAnsi="仿宋" w:eastAsia="仿宋"/>
          <w:sz w:val="49"/>
        </w:rPr>
      </w:pPr>
    </w:p>
    <w:p w14:paraId="3E563847"/>
    <w:p w14:paraId="0CB9DEA0">
      <w:pPr>
        <w:tabs>
          <w:tab w:val="left" w:pos="3169"/>
          <w:tab w:val="left" w:pos="3329"/>
          <w:tab w:val="left" w:pos="7809"/>
          <w:tab w:val="clear" w:pos="426"/>
        </w:tabs>
        <w:spacing w:line="324" w:lineRule="auto"/>
        <w:ind w:left="769" w:right="1052"/>
        <w:rPr>
          <w:rFonts w:hint="eastAsia" w:ascii="黑体" w:hAnsi="黑体" w:eastAsia="黑体"/>
          <w:b/>
          <w:spacing w:val="3"/>
          <w:sz w:val="31"/>
          <w:u w:val="single"/>
        </w:rPr>
      </w:pPr>
      <w:r>
        <w:rPr>
          <w:rFonts w:hint="eastAsia" w:ascii="黑体" w:hAnsi="黑体" w:eastAsia="黑体"/>
          <w:b/>
          <w:spacing w:val="3"/>
          <w:sz w:val="31"/>
        </w:rPr>
        <w:t>甲方：</w:t>
      </w:r>
      <w:r>
        <w:rPr>
          <w:rFonts w:hint="eastAsia" w:ascii="黑体" w:hAnsi="黑体" w:eastAsia="黑体"/>
          <w:b/>
          <w:spacing w:val="3"/>
          <w:sz w:val="31"/>
          <w:u w:val="single"/>
        </w:rPr>
        <w:t xml:space="preserve"> 深圳市消防救援支队大亚湾特勤大队   </w:t>
      </w:r>
    </w:p>
    <w:p w14:paraId="519E6A01">
      <w:pPr>
        <w:tabs>
          <w:tab w:val="left" w:pos="3169"/>
          <w:tab w:val="left" w:pos="3329"/>
          <w:tab w:val="left" w:pos="7809"/>
          <w:tab w:val="clear" w:pos="426"/>
        </w:tabs>
        <w:spacing w:line="324" w:lineRule="auto"/>
        <w:ind w:left="769" w:right="1052"/>
        <w:rPr>
          <w:rFonts w:hint="eastAsia" w:ascii="黑体" w:hAnsi="黑体" w:eastAsia="黑体"/>
          <w:b/>
          <w:sz w:val="31"/>
        </w:rPr>
      </w:pPr>
      <w:r>
        <w:rPr>
          <w:rFonts w:hint="eastAsia" w:ascii="黑体" w:hAnsi="黑体" w:eastAsia="黑体"/>
          <w:b/>
          <w:spacing w:val="3"/>
          <w:sz w:val="31"/>
        </w:rPr>
        <w:t>乙方：</w:t>
      </w:r>
      <w:r>
        <w:rPr>
          <w:rFonts w:hint="eastAsia" w:ascii="黑体" w:hAnsi="黑体" w:eastAsia="黑体"/>
          <w:b/>
          <w:spacing w:val="3"/>
          <w:sz w:val="31"/>
          <w:u w:val="single"/>
        </w:rPr>
        <w:t xml:space="preserve"> </w:t>
      </w:r>
      <w:r>
        <w:rPr>
          <w:rFonts w:hint="eastAsia" w:ascii="黑体" w:hAnsi="黑体" w:eastAsia="黑体"/>
          <w:b/>
          <w:spacing w:val="3"/>
          <w:sz w:val="31"/>
          <w:u w:val="single"/>
        </w:rPr>
        <w:tab/>
      </w:r>
      <w:r>
        <w:rPr>
          <w:rFonts w:hint="eastAsia" w:ascii="黑体" w:hAnsi="黑体" w:eastAsia="黑体"/>
          <w:b/>
          <w:spacing w:val="3"/>
          <w:sz w:val="31"/>
          <w:u w:val="single"/>
        </w:rPr>
        <w:tab/>
      </w:r>
      <w:r>
        <w:rPr>
          <w:rFonts w:hint="eastAsia" w:ascii="黑体" w:hAnsi="黑体" w:eastAsia="黑体"/>
          <w:b/>
          <w:spacing w:val="3"/>
          <w:sz w:val="31"/>
          <w:u w:val="single"/>
        </w:rPr>
        <w:t xml:space="preserve">                          </w:t>
      </w:r>
    </w:p>
    <w:p w14:paraId="4615CE56">
      <w:pPr>
        <w:spacing w:line="324" w:lineRule="auto"/>
        <w:rPr>
          <w:rFonts w:hint="eastAsia" w:ascii="仿宋" w:hAnsi="仿宋" w:eastAsia="仿宋"/>
          <w:sz w:val="31"/>
        </w:rPr>
        <w:sectPr>
          <w:footerReference r:id="rId6" w:type="default"/>
          <w:pgSz w:w="11910" w:h="16840"/>
          <w:pgMar w:top="1540" w:right="1360" w:bottom="280" w:left="1680" w:header="720" w:footer="720" w:gutter="0"/>
          <w:pgBorders>
            <w:top w:val="none" w:sz="0" w:space="0"/>
            <w:left w:val="none" w:sz="0" w:space="0"/>
            <w:bottom w:val="none" w:sz="0" w:space="0"/>
            <w:right w:val="none" w:sz="0" w:space="0"/>
          </w:pgBorders>
          <w:pgNumType w:start="1"/>
          <w:cols w:space="720" w:num="1"/>
        </w:sectPr>
      </w:pPr>
    </w:p>
    <w:p w14:paraId="7D009018">
      <w:pPr>
        <w:spacing w:line="276" w:lineRule="auto"/>
        <w:rPr>
          <w:rFonts w:hint="eastAsia" w:hAnsi="宋体"/>
          <w:b/>
          <w:sz w:val="24"/>
        </w:rPr>
      </w:pPr>
      <w:r>
        <w:rPr>
          <w:rFonts w:hint="eastAsia" w:hAnsi="宋体"/>
          <w:b/>
          <w:sz w:val="24"/>
        </w:rPr>
        <w:t xml:space="preserve">甲　　方： </w:t>
      </w:r>
    </w:p>
    <w:p w14:paraId="19A4DA3D">
      <w:pPr>
        <w:spacing w:line="276" w:lineRule="auto"/>
        <w:rPr>
          <w:rFonts w:hint="eastAsia" w:hAnsi="宋体"/>
          <w:sz w:val="24"/>
        </w:rPr>
      </w:pPr>
      <w:r>
        <w:rPr>
          <w:rFonts w:hint="eastAsia" w:hAnsi="宋体"/>
          <w:sz w:val="24"/>
        </w:rPr>
        <w:t>电　　话：　</w:t>
      </w:r>
    </w:p>
    <w:p w14:paraId="645510D4">
      <w:pPr>
        <w:spacing w:line="276" w:lineRule="auto"/>
        <w:rPr>
          <w:rFonts w:hint="eastAsia" w:hAnsi="宋体"/>
          <w:sz w:val="24"/>
        </w:rPr>
      </w:pPr>
      <w:r>
        <w:rPr>
          <w:rFonts w:hint="eastAsia" w:hAnsi="宋体"/>
          <w:sz w:val="24"/>
        </w:rPr>
        <w:t>传　　真：　</w:t>
      </w:r>
    </w:p>
    <w:p w14:paraId="2E737779">
      <w:pPr>
        <w:spacing w:line="276" w:lineRule="auto"/>
        <w:rPr>
          <w:rFonts w:hint="eastAsia" w:hAnsi="宋体"/>
          <w:b/>
          <w:sz w:val="24"/>
          <w:u w:val="single"/>
        </w:rPr>
      </w:pPr>
      <w:r>
        <w:rPr>
          <w:rFonts w:hint="eastAsia" w:hAnsi="宋体"/>
          <w:sz w:val="24"/>
        </w:rPr>
        <w:t>地　　址：</w:t>
      </w:r>
    </w:p>
    <w:p w14:paraId="1EBB2A5C">
      <w:pPr>
        <w:spacing w:line="276" w:lineRule="auto"/>
        <w:rPr>
          <w:rFonts w:hint="eastAsia" w:hAnsi="宋体"/>
          <w:b/>
          <w:sz w:val="24"/>
        </w:rPr>
      </w:pPr>
    </w:p>
    <w:p w14:paraId="0D54D741">
      <w:pPr>
        <w:spacing w:line="276" w:lineRule="auto"/>
        <w:rPr>
          <w:rFonts w:hint="eastAsia" w:hAnsi="宋体"/>
          <w:b/>
          <w:sz w:val="24"/>
        </w:rPr>
      </w:pPr>
    </w:p>
    <w:p w14:paraId="0AD28533">
      <w:pPr>
        <w:spacing w:line="276" w:lineRule="auto"/>
        <w:rPr>
          <w:rFonts w:hint="eastAsia" w:hAnsi="宋体"/>
          <w:b/>
          <w:sz w:val="24"/>
          <w:u w:val="single"/>
        </w:rPr>
      </w:pPr>
      <w:r>
        <w:rPr>
          <w:rFonts w:hint="eastAsia" w:hAnsi="宋体"/>
          <w:b/>
          <w:sz w:val="24"/>
        </w:rPr>
        <w:t>乙　　方：</w:t>
      </w:r>
    </w:p>
    <w:p w14:paraId="494CABED">
      <w:pPr>
        <w:spacing w:line="276" w:lineRule="auto"/>
        <w:rPr>
          <w:rFonts w:hint="eastAsia" w:hAnsi="宋体"/>
          <w:sz w:val="24"/>
        </w:rPr>
      </w:pPr>
      <w:r>
        <w:rPr>
          <w:rFonts w:hint="eastAsia" w:hAnsi="宋体"/>
          <w:sz w:val="24"/>
        </w:rPr>
        <w:t>电　　话：</w:t>
      </w:r>
    </w:p>
    <w:p w14:paraId="1D6C77FE">
      <w:pPr>
        <w:spacing w:line="276" w:lineRule="auto"/>
        <w:rPr>
          <w:rFonts w:hint="eastAsia" w:hAnsi="宋体"/>
          <w:sz w:val="24"/>
        </w:rPr>
      </w:pPr>
      <w:r>
        <w:rPr>
          <w:rFonts w:hint="eastAsia" w:hAnsi="宋体"/>
          <w:sz w:val="24"/>
        </w:rPr>
        <w:t>传　　真：</w:t>
      </w:r>
    </w:p>
    <w:p w14:paraId="65441D65">
      <w:pPr>
        <w:spacing w:line="276" w:lineRule="auto"/>
        <w:rPr>
          <w:rFonts w:hint="eastAsia" w:hAnsi="宋体"/>
          <w:sz w:val="24"/>
        </w:rPr>
      </w:pPr>
      <w:r>
        <w:rPr>
          <w:rFonts w:hint="eastAsia" w:hAnsi="宋体"/>
          <w:sz w:val="24"/>
        </w:rPr>
        <w:t>地　　址：</w:t>
      </w:r>
    </w:p>
    <w:p w14:paraId="01288888">
      <w:pPr>
        <w:spacing w:line="276" w:lineRule="auto"/>
        <w:rPr>
          <w:rFonts w:hint="eastAsia" w:hAnsi="宋体"/>
          <w:b/>
          <w:sz w:val="24"/>
          <w:u w:val="single"/>
        </w:rPr>
      </w:pPr>
      <w:r>
        <w:rPr>
          <w:rFonts w:hint="eastAsia" w:hAnsi="宋体"/>
          <w:sz w:val="24"/>
        </w:rPr>
        <w:t>项目名称：广东省深圳市消防救援支队大亚湾特勤大队2024年备勤楼家具采购项目</w:t>
      </w:r>
    </w:p>
    <w:p w14:paraId="0B0A7EE9">
      <w:pPr>
        <w:spacing w:line="276" w:lineRule="auto"/>
        <w:rPr>
          <w:rFonts w:hint="eastAsia" w:hAnsi="宋体"/>
          <w:b/>
          <w:sz w:val="24"/>
        </w:rPr>
      </w:pPr>
      <w:r>
        <w:rPr>
          <w:rFonts w:hint="eastAsia" w:hAnsi="宋体"/>
          <w:sz w:val="24"/>
        </w:rPr>
        <w:t>采购编号：</w:t>
      </w:r>
      <w:r>
        <w:rPr>
          <w:rFonts w:hint="eastAsia" w:hAnsi="宋体"/>
          <w:szCs w:val="21"/>
        </w:rPr>
        <w:t>3324-DH2430G2479</w:t>
      </w:r>
    </w:p>
    <w:p w14:paraId="2CB35849">
      <w:pPr>
        <w:spacing w:line="276" w:lineRule="auto"/>
        <w:ind w:firstLine="484" w:firstLineChars="202"/>
        <w:rPr>
          <w:rFonts w:hint="eastAsia" w:hAnsi="宋体"/>
          <w:sz w:val="24"/>
        </w:rPr>
      </w:pPr>
    </w:p>
    <w:p w14:paraId="774EAADE">
      <w:pPr>
        <w:spacing w:line="276" w:lineRule="auto"/>
        <w:ind w:firstLine="484" w:firstLineChars="202"/>
        <w:rPr>
          <w:rFonts w:hint="eastAsia" w:hAnsi="宋体"/>
          <w:sz w:val="24"/>
        </w:rPr>
      </w:pPr>
      <w:r>
        <w:rPr>
          <w:rFonts w:hint="eastAsia" w:hAnsi="宋体"/>
          <w:sz w:val="24"/>
        </w:rPr>
        <w:t>根据广东省深圳市消防救援支队大亚湾特勤大队2024年备勤楼家具采购项目的采购结果，按照《中华人民共和国政府采购法》、《中华人民共和国民法典》的规定，</w:t>
      </w:r>
      <w:r>
        <w:rPr>
          <w:rFonts w:hint="eastAsia" w:hAnsi="宋体"/>
          <w:kern w:val="28"/>
          <w:sz w:val="24"/>
        </w:rPr>
        <w:t>经双方协商，</w:t>
      </w:r>
      <w:r>
        <w:rPr>
          <w:rFonts w:hint="eastAsia" w:hAnsi="宋体"/>
          <w:sz w:val="24"/>
        </w:rPr>
        <w:t>本着平等互利和诚实信用的原则，</w:t>
      </w:r>
      <w:r>
        <w:rPr>
          <w:rFonts w:hint="eastAsia" w:hAnsi="宋体"/>
          <w:kern w:val="28"/>
          <w:sz w:val="24"/>
        </w:rPr>
        <w:t>一致同意签订本合同。</w:t>
      </w:r>
    </w:p>
    <w:p w14:paraId="1FFDEDA4">
      <w:pPr>
        <w:spacing w:line="276" w:lineRule="auto"/>
        <w:rPr>
          <w:rFonts w:hint="eastAsia" w:hAnsi="宋体"/>
          <w:b/>
          <w:sz w:val="24"/>
        </w:rPr>
      </w:pPr>
    </w:p>
    <w:p w14:paraId="6B92667F">
      <w:pPr>
        <w:spacing w:line="276" w:lineRule="auto"/>
        <w:rPr>
          <w:rFonts w:hint="eastAsia" w:hAnsi="宋体"/>
          <w:b/>
          <w:sz w:val="24"/>
        </w:rPr>
      </w:pPr>
      <w:r>
        <w:rPr>
          <w:rFonts w:hint="eastAsia" w:hAnsi="宋体"/>
          <w:b/>
          <w:sz w:val="24"/>
        </w:rPr>
        <w:t>一、合同金额</w:t>
      </w:r>
    </w:p>
    <w:p w14:paraId="6A72FFA2">
      <w:pPr>
        <w:tabs>
          <w:tab w:val="left" w:pos="435"/>
          <w:tab w:val="clear" w:pos="426"/>
        </w:tabs>
        <w:spacing w:line="276" w:lineRule="auto"/>
        <w:rPr>
          <w:rFonts w:hint="eastAsia" w:hAnsi="宋体"/>
          <w:sz w:val="24"/>
        </w:rPr>
      </w:pPr>
      <w:r>
        <w:rPr>
          <w:rFonts w:hint="eastAsia" w:hAnsi="宋体"/>
          <w:sz w:val="24"/>
        </w:rPr>
        <w:tab/>
      </w:r>
      <w:r>
        <w:rPr>
          <w:rFonts w:hint="eastAsia" w:hAnsi="宋体"/>
          <w:sz w:val="24"/>
        </w:rPr>
        <w:t>含税合同金额为（大写）：人民币</w:t>
      </w:r>
      <w:r>
        <w:rPr>
          <w:rFonts w:hint="eastAsia" w:hAnsi="宋体"/>
          <w:sz w:val="24"/>
          <w:u w:val="single"/>
        </w:rPr>
        <w:t xml:space="preserve"> </w:t>
      </w:r>
      <w:r>
        <w:rPr>
          <w:rFonts w:hAnsi="宋体"/>
          <w:sz w:val="24"/>
          <w:u w:val="single"/>
        </w:rPr>
        <w:t xml:space="preserve">          </w:t>
      </w:r>
      <w:r>
        <w:rPr>
          <w:rFonts w:hint="eastAsia" w:hAnsi="宋体"/>
          <w:sz w:val="24"/>
          <w:u w:val="single"/>
        </w:rPr>
        <w:t xml:space="preserve"> </w:t>
      </w:r>
      <w:r>
        <w:rPr>
          <w:rFonts w:hint="eastAsia" w:hAnsi="宋体"/>
          <w:sz w:val="24"/>
        </w:rPr>
        <w:t>整（￥</w:t>
      </w:r>
      <w:r>
        <w:rPr>
          <w:rFonts w:hAnsi="宋体"/>
          <w:sz w:val="24"/>
          <w:u w:val="single"/>
        </w:rPr>
        <w:t xml:space="preserve">        </w:t>
      </w:r>
      <w:r>
        <w:rPr>
          <w:rFonts w:hint="eastAsia" w:hAnsi="宋体"/>
          <w:sz w:val="24"/>
        </w:rPr>
        <w:t>元）。必须包含设备费、运输费、装卸费、保险费、技术培训费、设备安装费、调试费、检测费、国家规定的各项税费等完成本项目内容所需的一切相关费用等。</w:t>
      </w:r>
    </w:p>
    <w:tbl>
      <w:tblPr>
        <w:tblStyle w:val="85"/>
        <w:tblW w:w="9573" w:type="dxa"/>
        <w:jc w:val="center"/>
        <w:tblLayout w:type="fixed"/>
        <w:tblCellMar>
          <w:top w:w="0" w:type="dxa"/>
          <w:left w:w="108" w:type="dxa"/>
          <w:bottom w:w="0" w:type="dxa"/>
          <w:right w:w="108" w:type="dxa"/>
        </w:tblCellMar>
      </w:tblPr>
      <w:tblGrid>
        <w:gridCol w:w="864"/>
        <w:gridCol w:w="1379"/>
        <w:gridCol w:w="1760"/>
        <w:gridCol w:w="1680"/>
        <w:gridCol w:w="1680"/>
        <w:gridCol w:w="2210"/>
      </w:tblGrid>
      <w:tr w14:paraId="3A40FD50">
        <w:tblPrEx>
          <w:tblCellMar>
            <w:top w:w="0" w:type="dxa"/>
            <w:left w:w="108" w:type="dxa"/>
            <w:bottom w:w="0" w:type="dxa"/>
            <w:right w:w="108" w:type="dxa"/>
          </w:tblCellMar>
        </w:tblPrEx>
        <w:trPr>
          <w:trHeight w:val="452" w:hRule="atLeast"/>
          <w:jc w:val="center"/>
        </w:trPr>
        <w:tc>
          <w:tcPr>
            <w:tcW w:w="9573" w:type="dxa"/>
            <w:gridSpan w:val="6"/>
            <w:tcBorders>
              <w:top w:val="single" w:color="auto" w:sz="4" w:space="0"/>
              <w:left w:val="single" w:color="auto" w:sz="4" w:space="0"/>
              <w:bottom w:val="single" w:color="auto" w:sz="4" w:space="0"/>
              <w:right w:val="single" w:color="auto" w:sz="4" w:space="0"/>
            </w:tcBorders>
            <w:vAlign w:val="center"/>
          </w:tcPr>
          <w:p w14:paraId="58C5E076">
            <w:pPr>
              <w:jc w:val="left"/>
              <w:textAlignment w:val="center"/>
              <w:rPr>
                <w:rFonts w:hint="eastAsia" w:hAnsi="宋体" w:cs="仿宋_GB2312"/>
                <w:b/>
                <w:bCs/>
                <w:sz w:val="22"/>
                <w:szCs w:val="22"/>
                <w:lang w:bidi="ar"/>
              </w:rPr>
            </w:pPr>
            <w:r>
              <w:rPr>
                <w:rFonts w:hint="eastAsia" w:hAnsi="宋体" w:cs="仿宋_GB2312"/>
                <w:b/>
                <w:bCs/>
                <w:sz w:val="22"/>
                <w:szCs w:val="22"/>
                <w:lang w:bidi="ar"/>
              </w:rPr>
              <w:t>1.产品明细</w:t>
            </w:r>
          </w:p>
        </w:tc>
      </w:tr>
      <w:tr w14:paraId="2269E11C">
        <w:tblPrEx>
          <w:tblCellMar>
            <w:top w:w="0" w:type="dxa"/>
            <w:left w:w="108" w:type="dxa"/>
            <w:bottom w:w="0" w:type="dxa"/>
            <w:right w:w="108" w:type="dxa"/>
          </w:tblCellMar>
        </w:tblPrEx>
        <w:trPr>
          <w:trHeight w:val="452" w:hRule="atLeast"/>
          <w:jc w:val="center"/>
        </w:trPr>
        <w:tc>
          <w:tcPr>
            <w:tcW w:w="864" w:type="dxa"/>
            <w:tcBorders>
              <w:top w:val="single" w:color="auto" w:sz="4" w:space="0"/>
              <w:left w:val="single" w:color="auto" w:sz="4" w:space="0"/>
              <w:bottom w:val="single" w:color="auto" w:sz="4" w:space="0"/>
              <w:right w:val="single" w:color="auto" w:sz="4" w:space="0"/>
            </w:tcBorders>
            <w:vAlign w:val="center"/>
          </w:tcPr>
          <w:p w14:paraId="6A42B5DC">
            <w:pPr>
              <w:jc w:val="center"/>
              <w:textAlignment w:val="center"/>
              <w:rPr>
                <w:rFonts w:hint="eastAsia" w:hAnsi="宋体"/>
                <w:b/>
                <w:bCs/>
                <w:sz w:val="24"/>
              </w:rPr>
            </w:pPr>
            <w:r>
              <w:rPr>
                <w:rFonts w:hAnsi="宋体" w:cs="仿宋_GB2312"/>
                <w:b/>
                <w:bCs/>
                <w:sz w:val="22"/>
                <w:szCs w:val="22"/>
                <w:lang w:bidi="ar"/>
              </w:rPr>
              <w:t>序号</w:t>
            </w:r>
          </w:p>
        </w:tc>
        <w:tc>
          <w:tcPr>
            <w:tcW w:w="1379" w:type="dxa"/>
            <w:tcBorders>
              <w:top w:val="single" w:color="auto" w:sz="4" w:space="0"/>
              <w:left w:val="single" w:color="auto" w:sz="4" w:space="0"/>
              <w:bottom w:val="single" w:color="auto" w:sz="4" w:space="0"/>
              <w:right w:val="single" w:color="auto" w:sz="4" w:space="0"/>
            </w:tcBorders>
            <w:vAlign w:val="center"/>
          </w:tcPr>
          <w:p w14:paraId="1C47A3EC">
            <w:pPr>
              <w:jc w:val="center"/>
              <w:textAlignment w:val="center"/>
              <w:rPr>
                <w:rFonts w:hint="eastAsia" w:hAnsi="宋体" w:cs="仿宋_GB2312"/>
                <w:b/>
                <w:bCs/>
                <w:sz w:val="22"/>
                <w:szCs w:val="22"/>
                <w:lang w:bidi="ar"/>
              </w:rPr>
            </w:pPr>
            <w:r>
              <w:rPr>
                <w:rFonts w:hint="eastAsia" w:hAnsi="宋体" w:cs="仿宋_GB2312"/>
                <w:b/>
                <w:bCs/>
                <w:sz w:val="22"/>
                <w:szCs w:val="22"/>
                <w:lang w:bidi="ar"/>
              </w:rPr>
              <w:t>产品名称</w:t>
            </w:r>
          </w:p>
        </w:tc>
        <w:tc>
          <w:tcPr>
            <w:tcW w:w="1760" w:type="dxa"/>
            <w:tcBorders>
              <w:top w:val="single" w:color="auto" w:sz="4" w:space="0"/>
              <w:left w:val="single" w:color="auto" w:sz="4" w:space="0"/>
              <w:bottom w:val="single" w:color="auto" w:sz="4" w:space="0"/>
              <w:right w:val="single" w:color="auto" w:sz="4" w:space="0"/>
            </w:tcBorders>
            <w:vAlign w:val="center"/>
          </w:tcPr>
          <w:p w14:paraId="036856E6">
            <w:pPr>
              <w:jc w:val="center"/>
              <w:textAlignment w:val="center"/>
              <w:rPr>
                <w:rFonts w:hint="eastAsia" w:hAnsi="宋体"/>
                <w:b/>
                <w:bCs/>
              </w:rPr>
            </w:pPr>
            <w:r>
              <w:rPr>
                <w:rFonts w:hint="eastAsia" w:hAnsi="宋体" w:cs="仿宋_GB2312"/>
                <w:b/>
                <w:bCs/>
                <w:sz w:val="22"/>
                <w:szCs w:val="22"/>
                <w:lang w:bidi="ar"/>
              </w:rPr>
              <w:t>品牌型号</w:t>
            </w:r>
          </w:p>
        </w:tc>
        <w:tc>
          <w:tcPr>
            <w:tcW w:w="1680" w:type="dxa"/>
            <w:tcBorders>
              <w:top w:val="single" w:color="auto" w:sz="4" w:space="0"/>
              <w:left w:val="single" w:color="auto" w:sz="4" w:space="0"/>
              <w:bottom w:val="single" w:color="auto" w:sz="4" w:space="0"/>
              <w:right w:val="single" w:color="auto" w:sz="4" w:space="0"/>
            </w:tcBorders>
            <w:vAlign w:val="center"/>
          </w:tcPr>
          <w:p w14:paraId="54DA77F1">
            <w:pPr>
              <w:jc w:val="center"/>
              <w:textAlignment w:val="center"/>
              <w:rPr>
                <w:rFonts w:hint="eastAsia" w:hAnsi="宋体" w:cs="仿宋_GB2312"/>
                <w:b/>
                <w:bCs/>
                <w:sz w:val="22"/>
                <w:szCs w:val="22"/>
                <w:lang w:bidi="ar"/>
              </w:rPr>
            </w:pPr>
            <w:r>
              <w:rPr>
                <w:rFonts w:hint="eastAsia" w:hAnsi="宋体" w:cs="仿宋_GB2312"/>
                <w:b/>
                <w:bCs/>
                <w:sz w:val="22"/>
                <w:szCs w:val="22"/>
                <w:lang w:bidi="ar"/>
              </w:rPr>
              <w:t>单价（元）</w:t>
            </w:r>
          </w:p>
        </w:tc>
        <w:tc>
          <w:tcPr>
            <w:tcW w:w="1680" w:type="dxa"/>
            <w:tcBorders>
              <w:top w:val="single" w:color="auto" w:sz="4" w:space="0"/>
              <w:left w:val="single" w:color="auto" w:sz="4" w:space="0"/>
              <w:bottom w:val="single" w:color="auto" w:sz="4" w:space="0"/>
              <w:right w:val="single" w:color="auto" w:sz="4" w:space="0"/>
            </w:tcBorders>
            <w:vAlign w:val="center"/>
          </w:tcPr>
          <w:p w14:paraId="5C382FD7">
            <w:pPr>
              <w:jc w:val="center"/>
              <w:textAlignment w:val="center"/>
              <w:rPr>
                <w:rFonts w:hint="eastAsia" w:hAnsi="宋体" w:cs="仿宋_GB2312"/>
                <w:b/>
                <w:bCs/>
                <w:sz w:val="22"/>
                <w:szCs w:val="22"/>
                <w:lang w:bidi="ar"/>
              </w:rPr>
            </w:pPr>
            <w:r>
              <w:rPr>
                <w:rFonts w:hint="eastAsia" w:hAnsi="宋体" w:cs="仿宋_GB2312"/>
                <w:b/>
                <w:bCs/>
                <w:sz w:val="22"/>
                <w:szCs w:val="22"/>
                <w:lang w:bidi="ar"/>
              </w:rPr>
              <w:t>数量</w:t>
            </w:r>
          </w:p>
        </w:tc>
        <w:tc>
          <w:tcPr>
            <w:tcW w:w="2210" w:type="dxa"/>
            <w:tcBorders>
              <w:top w:val="single" w:color="auto" w:sz="4" w:space="0"/>
              <w:left w:val="single" w:color="auto" w:sz="4" w:space="0"/>
              <w:bottom w:val="single" w:color="auto" w:sz="4" w:space="0"/>
              <w:right w:val="single" w:color="auto" w:sz="4" w:space="0"/>
            </w:tcBorders>
            <w:vAlign w:val="center"/>
          </w:tcPr>
          <w:p w14:paraId="72903C65">
            <w:pPr>
              <w:jc w:val="center"/>
              <w:textAlignment w:val="center"/>
              <w:rPr>
                <w:rFonts w:hint="eastAsia" w:hAnsi="宋体"/>
                <w:b/>
                <w:bCs/>
              </w:rPr>
            </w:pPr>
            <w:r>
              <w:rPr>
                <w:rFonts w:hAnsi="宋体" w:cs="仿宋_GB2312"/>
                <w:b/>
                <w:bCs/>
                <w:sz w:val="22"/>
                <w:szCs w:val="22"/>
                <w:lang w:bidi="ar"/>
              </w:rPr>
              <w:t>总价（元）</w:t>
            </w:r>
          </w:p>
        </w:tc>
      </w:tr>
      <w:tr w14:paraId="04A9E780">
        <w:tblPrEx>
          <w:tblCellMar>
            <w:top w:w="0" w:type="dxa"/>
            <w:left w:w="108" w:type="dxa"/>
            <w:bottom w:w="0" w:type="dxa"/>
            <w:right w:w="108" w:type="dxa"/>
          </w:tblCellMar>
        </w:tblPrEx>
        <w:trPr>
          <w:trHeight w:val="473" w:hRule="atLeast"/>
          <w:jc w:val="center"/>
        </w:trPr>
        <w:tc>
          <w:tcPr>
            <w:tcW w:w="864" w:type="dxa"/>
            <w:tcBorders>
              <w:top w:val="single" w:color="auto" w:sz="4" w:space="0"/>
              <w:left w:val="single" w:color="auto" w:sz="4" w:space="0"/>
              <w:bottom w:val="single" w:color="auto" w:sz="4" w:space="0"/>
              <w:right w:val="single" w:color="auto" w:sz="4" w:space="0"/>
            </w:tcBorders>
            <w:vAlign w:val="center"/>
          </w:tcPr>
          <w:p w14:paraId="52EDB0BC">
            <w:pPr>
              <w:jc w:val="center"/>
              <w:textAlignment w:val="center"/>
              <w:rPr>
                <w:rFonts w:hint="eastAsia" w:hAnsi="宋体"/>
                <w:szCs w:val="21"/>
              </w:rPr>
            </w:pPr>
            <w:r>
              <w:rPr>
                <w:rFonts w:ascii="仿宋" w:hAnsi="仿宋" w:eastAsia="仿宋" w:cs="仿宋_GB2312"/>
                <w:szCs w:val="21"/>
                <w:lang w:bidi="ar"/>
              </w:rPr>
              <w:t>1</w:t>
            </w:r>
          </w:p>
        </w:tc>
        <w:tc>
          <w:tcPr>
            <w:tcW w:w="1379" w:type="dxa"/>
            <w:tcBorders>
              <w:top w:val="single" w:color="auto" w:sz="4" w:space="0"/>
              <w:left w:val="single" w:color="auto" w:sz="4" w:space="0"/>
              <w:bottom w:val="single" w:color="auto" w:sz="4" w:space="0"/>
              <w:right w:val="single" w:color="auto" w:sz="4" w:space="0"/>
            </w:tcBorders>
            <w:vAlign w:val="center"/>
          </w:tcPr>
          <w:p w14:paraId="03A1F3AB">
            <w:pPr>
              <w:jc w:val="center"/>
              <w:textAlignment w:val="center"/>
              <w:rPr>
                <w:rFonts w:hint="eastAsia" w:hAnsi="宋体"/>
                <w:szCs w:val="21"/>
              </w:rPr>
            </w:pPr>
          </w:p>
        </w:tc>
        <w:tc>
          <w:tcPr>
            <w:tcW w:w="1760" w:type="dxa"/>
            <w:tcBorders>
              <w:top w:val="single" w:color="auto" w:sz="4" w:space="0"/>
              <w:left w:val="single" w:color="auto" w:sz="4" w:space="0"/>
              <w:bottom w:val="single" w:color="auto" w:sz="4" w:space="0"/>
              <w:right w:val="single" w:color="auto" w:sz="4" w:space="0"/>
            </w:tcBorders>
            <w:vAlign w:val="center"/>
          </w:tcPr>
          <w:p w14:paraId="770D92A7">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5EBFFEF6">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06A50B99">
            <w:pPr>
              <w:jc w:val="center"/>
              <w:textAlignment w:val="center"/>
              <w:rPr>
                <w:rFonts w:hint="eastAsia" w:hAnsi="宋体"/>
                <w:szCs w:val="21"/>
              </w:rPr>
            </w:pPr>
          </w:p>
        </w:tc>
        <w:tc>
          <w:tcPr>
            <w:tcW w:w="2210" w:type="dxa"/>
            <w:tcBorders>
              <w:top w:val="single" w:color="auto" w:sz="4" w:space="0"/>
              <w:left w:val="single" w:color="auto" w:sz="4" w:space="0"/>
              <w:bottom w:val="single" w:color="auto" w:sz="4" w:space="0"/>
              <w:right w:val="single" w:color="auto" w:sz="4" w:space="0"/>
            </w:tcBorders>
            <w:vAlign w:val="center"/>
          </w:tcPr>
          <w:p w14:paraId="04BA9319">
            <w:pPr>
              <w:jc w:val="center"/>
              <w:textAlignment w:val="center"/>
              <w:rPr>
                <w:rFonts w:hint="eastAsia" w:hAnsi="宋体"/>
                <w:szCs w:val="21"/>
              </w:rPr>
            </w:pPr>
          </w:p>
        </w:tc>
      </w:tr>
      <w:tr w14:paraId="5DE5CAD5">
        <w:tblPrEx>
          <w:tblCellMar>
            <w:top w:w="0" w:type="dxa"/>
            <w:left w:w="108" w:type="dxa"/>
            <w:bottom w:w="0" w:type="dxa"/>
            <w:right w:w="108" w:type="dxa"/>
          </w:tblCellMar>
        </w:tblPrEx>
        <w:trPr>
          <w:trHeight w:val="380" w:hRule="atLeast"/>
          <w:jc w:val="center"/>
        </w:trPr>
        <w:tc>
          <w:tcPr>
            <w:tcW w:w="864" w:type="dxa"/>
            <w:tcBorders>
              <w:top w:val="single" w:color="auto" w:sz="4" w:space="0"/>
              <w:left w:val="single" w:color="auto" w:sz="4" w:space="0"/>
              <w:bottom w:val="single" w:color="auto" w:sz="4" w:space="0"/>
              <w:right w:val="single" w:color="auto" w:sz="4" w:space="0"/>
            </w:tcBorders>
            <w:vAlign w:val="center"/>
          </w:tcPr>
          <w:p w14:paraId="0522BC92">
            <w:pPr>
              <w:jc w:val="center"/>
              <w:textAlignment w:val="center"/>
              <w:rPr>
                <w:rFonts w:hint="eastAsia" w:hAnsi="宋体"/>
                <w:szCs w:val="21"/>
              </w:rPr>
            </w:pPr>
            <w:r>
              <w:rPr>
                <w:rFonts w:ascii="仿宋" w:hAnsi="仿宋" w:eastAsia="仿宋" w:cs="仿宋_GB2312"/>
                <w:szCs w:val="21"/>
                <w:lang w:bidi="ar"/>
              </w:rPr>
              <w:t>2</w:t>
            </w:r>
          </w:p>
        </w:tc>
        <w:tc>
          <w:tcPr>
            <w:tcW w:w="1379" w:type="dxa"/>
            <w:tcBorders>
              <w:top w:val="single" w:color="auto" w:sz="4" w:space="0"/>
              <w:left w:val="single" w:color="auto" w:sz="4" w:space="0"/>
              <w:bottom w:val="single" w:color="auto" w:sz="4" w:space="0"/>
              <w:right w:val="single" w:color="auto" w:sz="4" w:space="0"/>
            </w:tcBorders>
            <w:vAlign w:val="center"/>
          </w:tcPr>
          <w:p w14:paraId="20A8E0D1">
            <w:pPr>
              <w:jc w:val="center"/>
              <w:textAlignment w:val="center"/>
              <w:rPr>
                <w:rFonts w:hint="eastAsia" w:hAnsi="宋体"/>
                <w:szCs w:val="21"/>
              </w:rPr>
            </w:pPr>
          </w:p>
        </w:tc>
        <w:tc>
          <w:tcPr>
            <w:tcW w:w="1760" w:type="dxa"/>
            <w:tcBorders>
              <w:top w:val="single" w:color="auto" w:sz="4" w:space="0"/>
              <w:left w:val="single" w:color="auto" w:sz="4" w:space="0"/>
              <w:bottom w:val="single" w:color="auto" w:sz="4" w:space="0"/>
              <w:right w:val="single" w:color="auto" w:sz="4" w:space="0"/>
            </w:tcBorders>
            <w:vAlign w:val="center"/>
          </w:tcPr>
          <w:p w14:paraId="09C5791C">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77C3F013">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32DDFEFE">
            <w:pPr>
              <w:jc w:val="center"/>
              <w:textAlignment w:val="center"/>
              <w:rPr>
                <w:rFonts w:hint="eastAsia" w:hAnsi="宋体"/>
                <w:szCs w:val="21"/>
              </w:rPr>
            </w:pPr>
          </w:p>
        </w:tc>
        <w:tc>
          <w:tcPr>
            <w:tcW w:w="2210" w:type="dxa"/>
            <w:tcBorders>
              <w:top w:val="single" w:color="auto" w:sz="4" w:space="0"/>
              <w:left w:val="single" w:color="auto" w:sz="4" w:space="0"/>
              <w:bottom w:val="single" w:color="auto" w:sz="4" w:space="0"/>
              <w:right w:val="single" w:color="auto" w:sz="4" w:space="0"/>
            </w:tcBorders>
            <w:vAlign w:val="center"/>
          </w:tcPr>
          <w:p w14:paraId="098C13F1">
            <w:pPr>
              <w:jc w:val="center"/>
              <w:textAlignment w:val="center"/>
              <w:rPr>
                <w:rFonts w:hint="eastAsia" w:hAnsi="宋体"/>
                <w:szCs w:val="21"/>
              </w:rPr>
            </w:pPr>
          </w:p>
        </w:tc>
      </w:tr>
      <w:tr w14:paraId="2C70FAAE">
        <w:tblPrEx>
          <w:tblCellMar>
            <w:top w:w="0" w:type="dxa"/>
            <w:left w:w="108" w:type="dxa"/>
            <w:bottom w:w="0" w:type="dxa"/>
            <w:right w:w="108" w:type="dxa"/>
          </w:tblCellMar>
        </w:tblPrEx>
        <w:trPr>
          <w:trHeight w:val="415" w:hRule="atLeast"/>
          <w:jc w:val="center"/>
        </w:trPr>
        <w:tc>
          <w:tcPr>
            <w:tcW w:w="864" w:type="dxa"/>
            <w:tcBorders>
              <w:top w:val="single" w:color="auto" w:sz="4" w:space="0"/>
              <w:left w:val="single" w:color="auto" w:sz="4" w:space="0"/>
              <w:bottom w:val="single" w:color="auto" w:sz="4" w:space="0"/>
              <w:right w:val="single" w:color="auto" w:sz="4" w:space="0"/>
            </w:tcBorders>
            <w:vAlign w:val="center"/>
          </w:tcPr>
          <w:p w14:paraId="53A335C1">
            <w:pPr>
              <w:jc w:val="center"/>
              <w:textAlignment w:val="center"/>
              <w:rPr>
                <w:rFonts w:hint="eastAsia" w:hAnsi="宋体"/>
                <w:szCs w:val="21"/>
              </w:rPr>
            </w:pPr>
            <w:r>
              <w:rPr>
                <w:rFonts w:ascii="仿宋" w:hAnsi="仿宋" w:eastAsia="仿宋" w:cs="仿宋_GB2312"/>
                <w:szCs w:val="21"/>
                <w:lang w:bidi="ar"/>
              </w:rPr>
              <w:t>3</w:t>
            </w:r>
          </w:p>
        </w:tc>
        <w:tc>
          <w:tcPr>
            <w:tcW w:w="1379" w:type="dxa"/>
            <w:tcBorders>
              <w:top w:val="single" w:color="auto" w:sz="4" w:space="0"/>
              <w:left w:val="single" w:color="auto" w:sz="4" w:space="0"/>
              <w:bottom w:val="single" w:color="auto" w:sz="4" w:space="0"/>
              <w:right w:val="single" w:color="auto" w:sz="4" w:space="0"/>
            </w:tcBorders>
            <w:vAlign w:val="center"/>
          </w:tcPr>
          <w:p w14:paraId="375207ED">
            <w:pPr>
              <w:jc w:val="center"/>
              <w:textAlignment w:val="center"/>
              <w:rPr>
                <w:rFonts w:hint="eastAsia" w:hAnsi="宋体"/>
                <w:szCs w:val="21"/>
              </w:rPr>
            </w:pPr>
          </w:p>
        </w:tc>
        <w:tc>
          <w:tcPr>
            <w:tcW w:w="1760" w:type="dxa"/>
            <w:tcBorders>
              <w:top w:val="single" w:color="auto" w:sz="4" w:space="0"/>
              <w:left w:val="single" w:color="auto" w:sz="4" w:space="0"/>
              <w:bottom w:val="single" w:color="auto" w:sz="4" w:space="0"/>
              <w:right w:val="single" w:color="auto" w:sz="4" w:space="0"/>
            </w:tcBorders>
            <w:vAlign w:val="center"/>
          </w:tcPr>
          <w:p w14:paraId="6106EEA1">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61FD8707">
            <w:pPr>
              <w:jc w:val="center"/>
              <w:textAlignment w:val="center"/>
              <w:rPr>
                <w:rFonts w:hint="eastAsia" w:hAnsi="宋体"/>
                <w:szCs w:val="21"/>
              </w:rPr>
            </w:pPr>
          </w:p>
        </w:tc>
        <w:tc>
          <w:tcPr>
            <w:tcW w:w="1680" w:type="dxa"/>
            <w:tcBorders>
              <w:top w:val="single" w:color="auto" w:sz="4" w:space="0"/>
              <w:left w:val="single" w:color="auto" w:sz="4" w:space="0"/>
              <w:bottom w:val="single" w:color="auto" w:sz="4" w:space="0"/>
              <w:right w:val="single" w:color="auto" w:sz="4" w:space="0"/>
            </w:tcBorders>
            <w:vAlign w:val="center"/>
          </w:tcPr>
          <w:p w14:paraId="56321100">
            <w:pPr>
              <w:jc w:val="center"/>
              <w:textAlignment w:val="center"/>
              <w:rPr>
                <w:rFonts w:hint="eastAsia" w:hAnsi="宋体"/>
                <w:szCs w:val="21"/>
              </w:rPr>
            </w:pPr>
          </w:p>
        </w:tc>
        <w:tc>
          <w:tcPr>
            <w:tcW w:w="2210" w:type="dxa"/>
            <w:tcBorders>
              <w:top w:val="single" w:color="auto" w:sz="4" w:space="0"/>
              <w:left w:val="single" w:color="auto" w:sz="4" w:space="0"/>
              <w:bottom w:val="single" w:color="auto" w:sz="4" w:space="0"/>
              <w:right w:val="single" w:color="auto" w:sz="4" w:space="0"/>
            </w:tcBorders>
            <w:vAlign w:val="center"/>
          </w:tcPr>
          <w:p w14:paraId="59C317B2">
            <w:pPr>
              <w:jc w:val="center"/>
              <w:textAlignment w:val="center"/>
              <w:rPr>
                <w:rFonts w:hint="eastAsia" w:hAnsi="宋体"/>
                <w:szCs w:val="21"/>
              </w:rPr>
            </w:pPr>
          </w:p>
        </w:tc>
      </w:tr>
      <w:tr w14:paraId="220AAF40">
        <w:tblPrEx>
          <w:tblCellMar>
            <w:top w:w="0" w:type="dxa"/>
            <w:left w:w="108" w:type="dxa"/>
            <w:bottom w:w="0" w:type="dxa"/>
            <w:right w:w="108" w:type="dxa"/>
          </w:tblCellMar>
        </w:tblPrEx>
        <w:trPr>
          <w:trHeight w:val="419" w:hRule="atLeast"/>
          <w:jc w:val="center"/>
        </w:trPr>
        <w:tc>
          <w:tcPr>
            <w:tcW w:w="7363" w:type="dxa"/>
            <w:gridSpan w:val="5"/>
            <w:tcBorders>
              <w:top w:val="single" w:color="auto" w:sz="4" w:space="0"/>
              <w:left w:val="single" w:color="auto" w:sz="4" w:space="0"/>
              <w:bottom w:val="single" w:color="auto" w:sz="4" w:space="0"/>
              <w:right w:val="single" w:color="auto" w:sz="4" w:space="0"/>
            </w:tcBorders>
            <w:vAlign w:val="center"/>
          </w:tcPr>
          <w:p w14:paraId="054DB816">
            <w:pPr>
              <w:jc w:val="center"/>
              <w:textAlignment w:val="center"/>
              <w:rPr>
                <w:rFonts w:hint="eastAsia" w:hAnsi="宋体"/>
                <w:szCs w:val="21"/>
              </w:rPr>
            </w:pPr>
            <w:r>
              <w:rPr>
                <w:rFonts w:hint="eastAsia" w:hAnsi="宋体"/>
                <w:szCs w:val="21"/>
              </w:rPr>
              <w:t xml:space="preserve">合 </w:t>
            </w:r>
            <w:r>
              <w:rPr>
                <w:rFonts w:hAnsi="宋体"/>
                <w:szCs w:val="21"/>
              </w:rPr>
              <w:t xml:space="preserve"> </w:t>
            </w:r>
            <w:r>
              <w:rPr>
                <w:rFonts w:hint="eastAsia" w:hAnsi="宋体"/>
                <w:szCs w:val="21"/>
              </w:rPr>
              <w:t>计</w:t>
            </w:r>
          </w:p>
        </w:tc>
        <w:tc>
          <w:tcPr>
            <w:tcW w:w="2210" w:type="dxa"/>
            <w:tcBorders>
              <w:top w:val="single" w:color="auto" w:sz="4" w:space="0"/>
              <w:left w:val="single" w:color="auto" w:sz="4" w:space="0"/>
              <w:bottom w:val="single" w:color="auto" w:sz="4" w:space="0"/>
              <w:right w:val="single" w:color="auto" w:sz="4" w:space="0"/>
            </w:tcBorders>
            <w:vAlign w:val="center"/>
          </w:tcPr>
          <w:p w14:paraId="119BD36D">
            <w:pPr>
              <w:jc w:val="center"/>
              <w:textAlignment w:val="center"/>
              <w:rPr>
                <w:rFonts w:hint="eastAsia" w:hAnsi="宋体"/>
                <w:szCs w:val="21"/>
              </w:rPr>
            </w:pPr>
          </w:p>
        </w:tc>
      </w:tr>
      <w:tr w14:paraId="745D45FE">
        <w:tblPrEx>
          <w:tblCellMar>
            <w:top w:w="0" w:type="dxa"/>
            <w:left w:w="108" w:type="dxa"/>
            <w:bottom w:w="0" w:type="dxa"/>
            <w:right w:w="108" w:type="dxa"/>
          </w:tblCellMar>
        </w:tblPrEx>
        <w:trPr>
          <w:trHeight w:val="981" w:hRule="atLeast"/>
          <w:jc w:val="center"/>
        </w:trPr>
        <w:tc>
          <w:tcPr>
            <w:tcW w:w="9573" w:type="dxa"/>
            <w:gridSpan w:val="6"/>
            <w:tcBorders>
              <w:top w:val="single" w:color="auto" w:sz="4" w:space="0"/>
              <w:left w:val="single" w:color="auto" w:sz="4" w:space="0"/>
              <w:bottom w:val="single" w:color="auto" w:sz="4" w:space="0"/>
              <w:right w:val="single" w:color="auto" w:sz="4" w:space="0"/>
            </w:tcBorders>
            <w:vAlign w:val="center"/>
          </w:tcPr>
          <w:p w14:paraId="0EF1FC00">
            <w:pPr>
              <w:jc w:val="center"/>
              <w:textAlignment w:val="center"/>
              <w:rPr>
                <w:rFonts w:hint="eastAsia" w:hAnsi="宋体"/>
                <w:szCs w:val="21"/>
              </w:rPr>
            </w:pPr>
            <w:r>
              <w:rPr>
                <w:rFonts w:hint="eastAsia" w:hAnsi="宋体"/>
                <w:b/>
                <w:szCs w:val="21"/>
              </w:rPr>
              <w:t>2、总报价（含税）</w:t>
            </w:r>
            <w:r>
              <w:rPr>
                <w:rFonts w:hint="eastAsia" w:hAnsi="宋体"/>
                <w:bCs/>
                <w:szCs w:val="21"/>
              </w:rPr>
              <w:t>：人民币</w:t>
            </w:r>
            <w:r>
              <w:rPr>
                <w:rFonts w:hAnsi="宋体"/>
                <w:bCs/>
                <w:szCs w:val="21"/>
                <w:u w:val="single"/>
              </w:rPr>
              <w:t xml:space="preserve">      </w:t>
            </w:r>
            <w:r>
              <w:rPr>
                <w:rFonts w:hint="eastAsia" w:hAnsi="宋体"/>
                <w:bCs/>
                <w:szCs w:val="21"/>
              </w:rPr>
              <w:t>元，大写：</w:t>
            </w:r>
            <w:r>
              <w:rPr>
                <w:rFonts w:hint="eastAsia" w:hAnsi="宋体"/>
                <w:bCs/>
                <w:szCs w:val="21"/>
                <w:u w:val="single"/>
              </w:rPr>
              <w:t xml:space="preserve"> </w:t>
            </w:r>
            <w:r>
              <w:rPr>
                <w:rFonts w:hAnsi="宋体"/>
                <w:bCs/>
                <w:szCs w:val="21"/>
                <w:u w:val="single"/>
              </w:rPr>
              <w:t xml:space="preserve">       </w:t>
            </w:r>
            <w:r>
              <w:rPr>
                <w:rFonts w:hint="eastAsia" w:hAnsi="宋体"/>
                <w:bCs/>
                <w:szCs w:val="21"/>
              </w:rPr>
              <w:t>元整。</w:t>
            </w:r>
            <w:r>
              <w:rPr>
                <w:rFonts w:hint="eastAsia" w:hAnsi="宋体"/>
                <w:szCs w:val="21"/>
              </w:rPr>
              <w:t>（以上各合计项与报价一览表中的对应项均一致相符，如不一致以报价一览表为准）</w:t>
            </w:r>
          </w:p>
        </w:tc>
      </w:tr>
    </w:tbl>
    <w:p w14:paraId="395311BE">
      <w:pPr>
        <w:spacing w:line="276" w:lineRule="auto"/>
        <w:rPr>
          <w:rFonts w:hint="eastAsia" w:hAnsi="宋体"/>
          <w:b/>
          <w:sz w:val="24"/>
        </w:rPr>
      </w:pPr>
    </w:p>
    <w:p w14:paraId="42DC723A">
      <w:pPr>
        <w:spacing w:line="276" w:lineRule="auto"/>
        <w:rPr>
          <w:rFonts w:hint="eastAsia" w:hAnsi="宋体"/>
          <w:sz w:val="24"/>
        </w:rPr>
      </w:pPr>
      <w:r>
        <w:rPr>
          <w:rFonts w:hint="eastAsia" w:hAnsi="宋体"/>
          <w:b/>
          <w:sz w:val="24"/>
        </w:rPr>
        <w:t>二、供货要求</w:t>
      </w:r>
    </w:p>
    <w:p w14:paraId="1E16EA7F">
      <w:pPr>
        <w:spacing w:line="276" w:lineRule="auto"/>
        <w:rPr>
          <w:rFonts w:hint="eastAsia" w:hAnsi="宋体"/>
          <w:bCs/>
          <w:sz w:val="24"/>
        </w:rPr>
      </w:pPr>
      <w:r>
        <w:rPr>
          <w:rFonts w:hint="eastAsia" w:hAnsi="宋体"/>
          <w:bCs/>
          <w:sz w:val="24"/>
        </w:rPr>
        <w:t>1.运输、保管及保险</w:t>
      </w:r>
    </w:p>
    <w:p w14:paraId="702ED24A">
      <w:pPr>
        <w:spacing w:line="276" w:lineRule="auto"/>
        <w:rPr>
          <w:rFonts w:hint="eastAsia" w:hAnsi="宋体"/>
          <w:bCs/>
          <w:sz w:val="24"/>
        </w:rPr>
      </w:pPr>
      <w:r>
        <w:rPr>
          <w:rFonts w:hint="eastAsia" w:hAnsi="宋体"/>
          <w:bCs/>
          <w:sz w:val="24"/>
        </w:rPr>
        <w:t>（1）成交人负责货物到现场过程中的全部运输及费用，包括装卸车、货物运至采购人指定现场的搬运费用等。</w:t>
      </w:r>
    </w:p>
    <w:p w14:paraId="4F465E03">
      <w:pPr>
        <w:spacing w:line="276" w:lineRule="auto"/>
        <w:rPr>
          <w:rFonts w:hint="eastAsia" w:hAnsi="宋体"/>
          <w:bCs/>
          <w:sz w:val="24"/>
        </w:rPr>
      </w:pPr>
      <w:r>
        <w:rPr>
          <w:rFonts w:hint="eastAsia" w:hAnsi="宋体"/>
          <w:bCs/>
          <w:sz w:val="24"/>
        </w:rPr>
        <w:t>（2）货物保管由成交人负责，直至安装、调试和验收完毕。</w:t>
      </w:r>
    </w:p>
    <w:p w14:paraId="5991801D">
      <w:pPr>
        <w:spacing w:line="276" w:lineRule="auto"/>
        <w:rPr>
          <w:rFonts w:hint="eastAsia" w:hAnsi="宋体"/>
          <w:bCs/>
          <w:sz w:val="24"/>
        </w:rPr>
      </w:pPr>
      <w:r>
        <w:rPr>
          <w:rFonts w:hint="eastAsia" w:hAnsi="宋体"/>
          <w:bCs/>
          <w:sz w:val="24"/>
        </w:rPr>
        <w:t>（3）货物在安装调试验收合格前的保险由成交人负责。</w:t>
      </w:r>
    </w:p>
    <w:p w14:paraId="3DECCF5F">
      <w:pPr>
        <w:spacing w:line="276" w:lineRule="auto"/>
        <w:rPr>
          <w:rFonts w:hint="eastAsia" w:hAnsi="宋体"/>
          <w:bCs/>
          <w:sz w:val="24"/>
        </w:rPr>
      </w:pPr>
      <w:r>
        <w:rPr>
          <w:rFonts w:hint="eastAsia" w:hAnsi="宋体"/>
          <w:bCs/>
          <w:sz w:val="24"/>
        </w:rPr>
        <w:t>（4）成交人负责其派出的现场安装调试人员人身意外保险。</w:t>
      </w:r>
    </w:p>
    <w:p w14:paraId="40DC4C7F">
      <w:pPr>
        <w:spacing w:line="276" w:lineRule="auto"/>
        <w:rPr>
          <w:rFonts w:hint="eastAsia" w:hAnsi="宋体"/>
          <w:bCs/>
          <w:sz w:val="24"/>
        </w:rPr>
      </w:pPr>
      <w:r>
        <w:rPr>
          <w:rFonts w:hint="eastAsia" w:hAnsi="宋体"/>
          <w:bCs/>
          <w:sz w:val="24"/>
        </w:rPr>
        <w:t>2.项目调试要求</w:t>
      </w:r>
    </w:p>
    <w:p w14:paraId="5E6F8DEF">
      <w:pPr>
        <w:spacing w:line="276" w:lineRule="auto"/>
        <w:rPr>
          <w:rFonts w:hint="eastAsia" w:hAnsi="宋体"/>
          <w:bCs/>
          <w:sz w:val="24"/>
        </w:rPr>
      </w:pPr>
      <w:r>
        <w:rPr>
          <w:rFonts w:hint="eastAsia" w:hAnsi="宋体"/>
          <w:bCs/>
          <w:sz w:val="24"/>
        </w:rPr>
        <w:t>（1）成交人负责在本项目内容的安装地点进行安装调试；</w:t>
      </w:r>
    </w:p>
    <w:p w14:paraId="78A4F5F1">
      <w:pPr>
        <w:spacing w:line="276" w:lineRule="auto"/>
        <w:rPr>
          <w:rFonts w:hint="eastAsia" w:hAnsi="宋体"/>
          <w:bCs/>
          <w:sz w:val="24"/>
        </w:rPr>
      </w:pPr>
      <w:r>
        <w:rPr>
          <w:rFonts w:hint="eastAsia" w:hAnsi="宋体"/>
          <w:bCs/>
          <w:sz w:val="24"/>
        </w:rPr>
        <w:t>（2）安装所需工具设施物料由成交人自备、自费运到现场，完工后自费搬走；</w:t>
      </w:r>
    </w:p>
    <w:p w14:paraId="6B7C22DF">
      <w:pPr>
        <w:spacing w:line="276" w:lineRule="auto"/>
        <w:rPr>
          <w:rFonts w:hint="eastAsia" w:hAnsi="宋体"/>
          <w:bCs/>
          <w:sz w:val="24"/>
        </w:rPr>
      </w:pPr>
      <w:r>
        <w:rPr>
          <w:rFonts w:hint="eastAsia" w:hAnsi="宋体"/>
          <w:bCs/>
          <w:sz w:val="24"/>
        </w:rPr>
        <w:t>（3）成交人必须提供设备安装、集成及调测服务，并确保设备正常运行；</w:t>
      </w:r>
    </w:p>
    <w:p w14:paraId="1452BCD3">
      <w:pPr>
        <w:spacing w:line="276" w:lineRule="auto"/>
        <w:rPr>
          <w:rFonts w:hint="eastAsia" w:hAnsi="宋体"/>
          <w:bCs/>
          <w:sz w:val="24"/>
        </w:rPr>
      </w:pPr>
      <w:r>
        <w:rPr>
          <w:rFonts w:hint="eastAsia" w:hAnsi="宋体"/>
          <w:bCs/>
          <w:sz w:val="24"/>
        </w:rPr>
        <w:t>（4）成交人应设安装负责人，负责安装协调管理工作；</w:t>
      </w:r>
    </w:p>
    <w:p w14:paraId="4522AF36">
      <w:pPr>
        <w:spacing w:line="276" w:lineRule="auto"/>
        <w:rPr>
          <w:rFonts w:hint="eastAsia" w:hAnsi="宋体"/>
          <w:bCs/>
          <w:sz w:val="24"/>
        </w:rPr>
      </w:pPr>
      <w:r>
        <w:rPr>
          <w:rFonts w:hint="eastAsia" w:hAnsi="宋体"/>
          <w:bCs/>
          <w:sz w:val="24"/>
        </w:rPr>
        <w:t>（5）设备的拆箱、安装、通电、调试等项工作由成交人负责，但必须在采购人指定人员的参与下进行。</w:t>
      </w:r>
    </w:p>
    <w:p w14:paraId="5EA88C2C">
      <w:pPr>
        <w:spacing w:line="276" w:lineRule="auto"/>
        <w:rPr>
          <w:rFonts w:hint="eastAsia" w:hAnsi="宋体"/>
          <w:bCs/>
          <w:sz w:val="24"/>
        </w:rPr>
      </w:pPr>
      <w:r>
        <w:rPr>
          <w:rFonts w:hint="eastAsia" w:hAnsi="宋体"/>
          <w:bCs/>
          <w:sz w:val="24"/>
        </w:rPr>
        <w:t>（6）调试：按国家相关验收规范进行。</w:t>
      </w:r>
    </w:p>
    <w:p w14:paraId="031660DC">
      <w:pPr>
        <w:spacing w:line="276" w:lineRule="auto"/>
        <w:rPr>
          <w:rFonts w:hint="eastAsia" w:hAnsi="宋体"/>
          <w:bCs/>
          <w:sz w:val="24"/>
        </w:rPr>
      </w:pPr>
      <w:r>
        <w:rPr>
          <w:rFonts w:hint="eastAsia" w:hAnsi="宋体"/>
          <w:bCs/>
          <w:sz w:val="24"/>
        </w:rPr>
        <w:t>3.验收标准</w:t>
      </w:r>
    </w:p>
    <w:p w14:paraId="0C8E887B">
      <w:pPr>
        <w:spacing w:line="276" w:lineRule="auto"/>
        <w:rPr>
          <w:rFonts w:hint="eastAsia" w:hAnsi="宋体"/>
          <w:bCs/>
          <w:sz w:val="24"/>
        </w:rPr>
      </w:pPr>
      <w:r>
        <w:rPr>
          <w:rFonts w:hint="eastAsia" w:hAnsi="宋体"/>
          <w:bCs/>
          <w:sz w:val="24"/>
        </w:rPr>
        <w:t>（1）货物为原厂制造商制造的全新产品，整机无污染，无侵权行为、表面无划损、无任何缺陷隐患，在中国境内可依常规安全合法使用；</w:t>
      </w:r>
    </w:p>
    <w:p w14:paraId="53167EC6">
      <w:pPr>
        <w:spacing w:line="276" w:lineRule="auto"/>
        <w:rPr>
          <w:rFonts w:hint="eastAsia" w:hAnsi="宋体"/>
          <w:bCs/>
          <w:sz w:val="24"/>
        </w:rPr>
      </w:pPr>
      <w:r>
        <w:rPr>
          <w:rFonts w:hint="eastAsia" w:hAnsi="宋体"/>
          <w:bCs/>
          <w:sz w:val="24"/>
        </w:rPr>
        <w:t>（2）成交人应将关键主机设备的用户手册、保修手册、有关单证资料及配备件、随机工具等交付给采购人，使用操作及安全须知等重要资料应附有中文说明；</w:t>
      </w:r>
    </w:p>
    <w:p w14:paraId="210A4338">
      <w:pPr>
        <w:spacing w:line="276" w:lineRule="auto"/>
        <w:rPr>
          <w:rFonts w:hint="eastAsia" w:hAnsi="宋体"/>
          <w:bCs/>
          <w:sz w:val="24"/>
        </w:rPr>
      </w:pPr>
      <w:r>
        <w:rPr>
          <w:rFonts w:hint="eastAsia" w:hAnsi="宋体"/>
          <w:bCs/>
          <w:sz w:val="24"/>
        </w:rPr>
        <w:t>（3）采购人按成交人提供的供货清单、检验产品合格证、使用说明书和其它的技术资料，检查产品及附件是否完整无损，技术资料是否与采购人的要求相符。如有损坏、缺件等情况，成交人自行负责；</w:t>
      </w:r>
    </w:p>
    <w:p w14:paraId="21C188F9">
      <w:pPr>
        <w:spacing w:line="276" w:lineRule="auto"/>
        <w:rPr>
          <w:rFonts w:hint="eastAsia" w:hAnsi="宋体"/>
          <w:bCs/>
          <w:sz w:val="24"/>
        </w:rPr>
      </w:pPr>
      <w:r>
        <w:rPr>
          <w:rFonts w:hint="eastAsia" w:hAnsi="宋体"/>
          <w:bCs/>
          <w:sz w:val="24"/>
        </w:rPr>
        <w:t>4.质量保证期及售后服务</w:t>
      </w:r>
    </w:p>
    <w:p w14:paraId="18B072D4">
      <w:pPr>
        <w:spacing w:line="276" w:lineRule="auto"/>
        <w:rPr>
          <w:rFonts w:hint="eastAsia" w:hAnsi="宋体"/>
          <w:bCs/>
          <w:sz w:val="24"/>
        </w:rPr>
      </w:pPr>
      <w:r>
        <w:rPr>
          <w:rFonts w:hint="eastAsia" w:hAnsi="宋体"/>
          <w:bCs/>
          <w:sz w:val="24"/>
        </w:rPr>
        <w:t>（1）货物质保期为双方签署验收合格之日起1年，如产品技术参数中有特别要求的，按产品技术参数执行。自本项目验收完成之日起计算，在质保期内设备的质量问题均由成交人负责免费维修，包括本项目所有设备、零配件免费更换；对现场不能及时完成维修的，应当先行更换故障设备使之恢复正常运行。</w:t>
      </w:r>
    </w:p>
    <w:p w14:paraId="4431F599">
      <w:pPr>
        <w:spacing w:line="276" w:lineRule="auto"/>
      </w:pPr>
      <w:r>
        <w:rPr>
          <w:rFonts w:hint="eastAsia" w:hAnsi="宋体"/>
          <w:bCs/>
          <w:sz w:val="24"/>
        </w:rPr>
        <w:t>（2）免费上门维护：在质保期内向用户单位提供24小时技术支持与上门现场服务，提供专门固定的报障服务电话和指定专人负责，可采取电话指导、上门维护等多种方式，成交人须保证在接到维护电话2小时内响应，12小时到场，并在24小时内恢复设备正常运行。在质保期内，如24小时内无法修复设备，提供替代设备给用户方使用，直到故障设备修复正常使用为止。</w:t>
      </w:r>
    </w:p>
    <w:p w14:paraId="4BA7CC77">
      <w:pPr>
        <w:pStyle w:val="588"/>
        <w:rPr>
          <w:sz w:val="24"/>
          <w:szCs w:val="24"/>
        </w:rPr>
      </w:pPr>
    </w:p>
    <w:p w14:paraId="7F5BE1EB">
      <w:pPr>
        <w:spacing w:line="276" w:lineRule="auto"/>
        <w:rPr>
          <w:rFonts w:hint="eastAsia" w:hAnsi="宋体"/>
          <w:sz w:val="24"/>
        </w:rPr>
      </w:pPr>
      <w:r>
        <w:rPr>
          <w:rFonts w:hint="eastAsia" w:hAnsi="宋体"/>
          <w:b/>
          <w:sz w:val="24"/>
        </w:rPr>
        <w:t>三、付款方式</w:t>
      </w:r>
    </w:p>
    <w:p w14:paraId="02F6FBC5">
      <w:pPr>
        <w:spacing w:line="276" w:lineRule="auto"/>
        <w:ind w:firstLine="480" w:firstLineChars="200"/>
        <w:rPr>
          <w:rFonts w:hint="eastAsia" w:hAnsi="宋体"/>
          <w:sz w:val="24"/>
        </w:rPr>
      </w:pPr>
      <w:r>
        <w:rPr>
          <w:rFonts w:hint="eastAsia" w:hAnsi="宋体"/>
          <w:sz w:val="24"/>
        </w:rPr>
        <w:t>付款分三个阶段进行：</w:t>
      </w:r>
    </w:p>
    <w:p w14:paraId="582570BC">
      <w:pPr>
        <w:spacing w:line="276" w:lineRule="auto"/>
        <w:ind w:firstLine="480" w:firstLineChars="200"/>
        <w:rPr>
          <w:rFonts w:hint="eastAsia" w:hAnsi="宋体"/>
          <w:sz w:val="24"/>
        </w:rPr>
      </w:pPr>
      <w:r>
        <w:rPr>
          <w:rFonts w:hint="eastAsia" w:hAnsi="宋体"/>
          <w:sz w:val="24"/>
        </w:rPr>
        <w:t>（1）合同签订生效后，采购人在收到等额发票后</w:t>
      </w:r>
      <w:r>
        <w:rPr>
          <w:rFonts w:hint="eastAsia" w:hAnsi="宋体"/>
          <w:sz w:val="24"/>
          <w:u w:val="single"/>
        </w:rPr>
        <w:t xml:space="preserve">     </w:t>
      </w:r>
      <w:r>
        <w:rPr>
          <w:rFonts w:hint="eastAsia" w:hAnsi="宋体"/>
          <w:sz w:val="24"/>
        </w:rPr>
        <w:t>个工作日内，采购人需向成交人支付合同总金额的</w:t>
      </w:r>
      <w:r>
        <w:rPr>
          <w:rFonts w:hint="eastAsia" w:hAnsi="宋体" w:cs="Times New Roman"/>
          <w:sz w:val="24"/>
          <w:u w:val="single"/>
        </w:rPr>
        <w:t xml:space="preserve">     </w:t>
      </w:r>
      <w:r>
        <w:rPr>
          <w:rFonts w:hint="eastAsia" w:hAnsi="宋体"/>
          <w:sz w:val="24"/>
        </w:rPr>
        <w:t>%。</w:t>
      </w:r>
    </w:p>
    <w:p w14:paraId="2F62B0AB">
      <w:pPr>
        <w:spacing w:line="276" w:lineRule="auto"/>
        <w:ind w:firstLine="480" w:firstLineChars="200"/>
        <w:rPr>
          <w:rFonts w:hint="eastAsia" w:hAnsi="宋体"/>
          <w:sz w:val="24"/>
        </w:rPr>
      </w:pPr>
      <w:r>
        <w:rPr>
          <w:rFonts w:hint="eastAsia" w:hAnsi="宋体"/>
          <w:sz w:val="24"/>
        </w:rPr>
        <w:t>（2）货到安装验收合格后，采购人在收到等额发票后</w:t>
      </w:r>
      <w:r>
        <w:rPr>
          <w:rFonts w:hint="eastAsia" w:hAnsi="宋体" w:cs="Times New Roman"/>
          <w:sz w:val="24"/>
          <w:u w:val="single"/>
        </w:rPr>
        <w:t xml:space="preserve">     </w:t>
      </w:r>
      <w:r>
        <w:rPr>
          <w:rFonts w:hint="eastAsia" w:hAnsi="宋体"/>
          <w:sz w:val="24"/>
        </w:rPr>
        <w:t>个工作日内，采购人向成交人支付合同总金额的</w:t>
      </w:r>
      <w:r>
        <w:rPr>
          <w:rFonts w:hint="eastAsia" w:hAnsi="宋体" w:cs="Times New Roman"/>
          <w:sz w:val="24"/>
          <w:u w:val="single"/>
        </w:rPr>
        <w:t xml:space="preserve">     </w:t>
      </w:r>
      <w:r>
        <w:rPr>
          <w:rFonts w:hint="eastAsia" w:hAnsi="宋体"/>
          <w:sz w:val="24"/>
        </w:rPr>
        <w:t>%。</w:t>
      </w:r>
    </w:p>
    <w:p w14:paraId="78206ED4">
      <w:pPr>
        <w:spacing w:line="276" w:lineRule="auto"/>
        <w:ind w:firstLine="480" w:firstLineChars="200"/>
        <w:rPr>
          <w:rFonts w:hint="eastAsia" w:hAnsi="宋体"/>
          <w:sz w:val="24"/>
        </w:rPr>
      </w:pPr>
      <w:r>
        <w:rPr>
          <w:rFonts w:hint="eastAsia" w:hAnsi="宋体"/>
          <w:sz w:val="24"/>
        </w:rPr>
        <w:t>（3）从最终验收合格报告书签署之日后，采购人在收到等额发票后</w:t>
      </w:r>
      <w:r>
        <w:rPr>
          <w:rFonts w:hint="eastAsia" w:hAnsi="宋体" w:cs="Times New Roman"/>
          <w:sz w:val="24"/>
          <w:u w:val="single"/>
        </w:rPr>
        <w:t xml:space="preserve">     </w:t>
      </w:r>
      <w:r>
        <w:rPr>
          <w:rFonts w:hint="eastAsia" w:hAnsi="宋体"/>
          <w:sz w:val="24"/>
        </w:rPr>
        <w:t>个工作日内向成交人无息支付合同总额的</w:t>
      </w:r>
      <w:r>
        <w:rPr>
          <w:rFonts w:hint="eastAsia" w:hAnsi="宋体" w:cs="Times New Roman"/>
          <w:sz w:val="24"/>
          <w:u w:val="single"/>
        </w:rPr>
        <w:t xml:space="preserve">     </w:t>
      </w:r>
      <w:r>
        <w:rPr>
          <w:rFonts w:hint="eastAsia" w:hAnsi="宋体"/>
          <w:sz w:val="24"/>
        </w:rPr>
        <w:t>％。</w:t>
      </w:r>
    </w:p>
    <w:p w14:paraId="0F48ABA3">
      <w:pPr>
        <w:spacing w:line="276" w:lineRule="auto"/>
        <w:ind w:firstLine="480" w:firstLineChars="200"/>
        <w:rPr>
          <w:rFonts w:hint="eastAsia" w:hAnsi="宋体"/>
          <w:sz w:val="24"/>
        </w:rPr>
      </w:pPr>
      <w:r>
        <w:rPr>
          <w:rFonts w:hint="eastAsia" w:hAnsi="宋体"/>
          <w:sz w:val="24"/>
        </w:rPr>
        <w:t>（4）成交人收款时必须提供采购人收货证明、验收合格证明（加盖采购人公章）和成交人开具的正规等额发票。因采购人使用的是财政资金，采购人在前款规定的付款时间为向政府采购支付部门提出办理财政支付申请手续的时间（不含政府采购支付部门审核的时间），在规定时间内提出支付申请手续后即视为采购人已经按期支付；</w:t>
      </w:r>
    </w:p>
    <w:p w14:paraId="71ED3FFD">
      <w:pPr>
        <w:spacing w:line="276" w:lineRule="auto"/>
        <w:ind w:firstLine="480" w:firstLineChars="200"/>
        <w:rPr>
          <w:rFonts w:hint="eastAsia" w:hAnsi="宋体"/>
          <w:sz w:val="24"/>
        </w:rPr>
      </w:pPr>
      <w:r>
        <w:rPr>
          <w:rFonts w:hint="eastAsia" w:hAnsi="宋体"/>
          <w:sz w:val="24"/>
        </w:rPr>
        <w:t>以上款项的支付需在甲方收到乙方交付的合法有效的增值税发票后进行。本项目的付款时间是指甲方向政府采购支付部门提交付款申请的时间（不含政府采购支付部门的审核时间和支付时间），在规定时间内提交付款申请即视甲方已履行付款义务，乙方不得以付款期限为理由向甲方索赔或要求支付违约金。</w:t>
      </w:r>
    </w:p>
    <w:p w14:paraId="35BCBA75">
      <w:pPr>
        <w:pStyle w:val="588"/>
        <w:rPr>
          <w:sz w:val="24"/>
          <w:szCs w:val="24"/>
        </w:rPr>
      </w:pPr>
    </w:p>
    <w:p w14:paraId="2449E390">
      <w:pPr>
        <w:spacing w:line="276" w:lineRule="auto"/>
        <w:rPr>
          <w:rFonts w:hint="eastAsia" w:hAnsi="宋体"/>
          <w:b/>
          <w:sz w:val="24"/>
        </w:rPr>
      </w:pPr>
      <w:r>
        <w:rPr>
          <w:rFonts w:hint="eastAsia" w:hAnsi="宋体"/>
          <w:b/>
          <w:sz w:val="24"/>
        </w:rPr>
        <w:t>四、知识产权归属</w:t>
      </w:r>
    </w:p>
    <w:p w14:paraId="41ABC29C">
      <w:pPr>
        <w:spacing w:line="276" w:lineRule="auto"/>
        <w:ind w:firstLine="480" w:firstLineChars="200"/>
        <w:rPr>
          <w:rFonts w:hint="eastAsia" w:hAnsi="宋体"/>
          <w:sz w:val="24"/>
        </w:rPr>
      </w:pPr>
      <w:r>
        <w:rPr>
          <w:rFonts w:hint="eastAsia" w:hAnsi="宋体"/>
          <w:sz w:val="24"/>
        </w:rPr>
        <w:t>乙方应保证本项目的投标技术、服务或其任意一部分不会产生因第三方提出侵犯其专利权、商标权或其他知识产权而引起的法律和经济纠纷；如因第三方提出其专利权、商标权或其他知识产权的侵犯起诉，则一切法律责任由乙方承担。</w:t>
      </w:r>
    </w:p>
    <w:p w14:paraId="7555B675">
      <w:pPr>
        <w:pStyle w:val="588"/>
        <w:rPr>
          <w:sz w:val="24"/>
          <w:szCs w:val="24"/>
        </w:rPr>
      </w:pPr>
    </w:p>
    <w:p w14:paraId="744593E5">
      <w:pPr>
        <w:spacing w:line="276" w:lineRule="auto"/>
        <w:rPr>
          <w:rFonts w:hint="eastAsia" w:hAnsi="宋体"/>
          <w:sz w:val="24"/>
        </w:rPr>
      </w:pPr>
      <w:r>
        <w:rPr>
          <w:rFonts w:hint="eastAsia" w:hAnsi="宋体"/>
          <w:b/>
          <w:sz w:val="24"/>
        </w:rPr>
        <w:t>五、保密</w:t>
      </w:r>
    </w:p>
    <w:p w14:paraId="2C47BFE3">
      <w:pPr>
        <w:spacing w:line="276" w:lineRule="auto"/>
        <w:ind w:firstLine="480" w:firstLineChars="200"/>
        <w:rPr>
          <w:rFonts w:hint="eastAsia" w:hAnsi="宋体"/>
          <w:sz w:val="24"/>
        </w:rPr>
      </w:pPr>
      <w:r>
        <w:rPr>
          <w:rFonts w:hint="eastAsia" w:hAnsi="宋体"/>
          <w:sz w:val="24"/>
        </w:rPr>
        <w:t>项目实施过程中，乙方必须采取措施对本项目实施过程中的数据、源代码、技术文档、图片、视频等资料保密，否则，由于乙方过错导致的上述资料泄密的，乙方必须承担一切责任。</w:t>
      </w:r>
    </w:p>
    <w:p w14:paraId="57993F81">
      <w:pPr>
        <w:pStyle w:val="588"/>
        <w:rPr>
          <w:sz w:val="24"/>
          <w:szCs w:val="24"/>
        </w:rPr>
      </w:pPr>
    </w:p>
    <w:p w14:paraId="2D26221D">
      <w:pPr>
        <w:spacing w:line="276" w:lineRule="auto"/>
        <w:rPr>
          <w:rFonts w:hint="eastAsia" w:hAnsi="宋体"/>
          <w:b/>
          <w:sz w:val="24"/>
        </w:rPr>
      </w:pPr>
      <w:r>
        <w:rPr>
          <w:rFonts w:hint="eastAsia" w:hAnsi="宋体"/>
          <w:b/>
          <w:sz w:val="24"/>
        </w:rPr>
        <w:t>六、违约责任与赔偿损失</w:t>
      </w:r>
    </w:p>
    <w:p w14:paraId="2AF77BBE">
      <w:pPr>
        <w:tabs>
          <w:tab w:val="left" w:pos="851"/>
          <w:tab w:val="clear" w:pos="426"/>
        </w:tabs>
        <w:spacing w:line="276" w:lineRule="auto"/>
        <w:ind w:firstLine="480" w:firstLineChars="200"/>
        <w:rPr>
          <w:rFonts w:hint="eastAsia" w:hAnsi="宋体"/>
          <w:sz w:val="24"/>
        </w:rPr>
      </w:pPr>
      <w:r>
        <w:rPr>
          <w:rFonts w:hint="eastAsia" w:hAnsi="宋体"/>
          <w:sz w:val="24"/>
        </w:rPr>
        <w:t>1</w:t>
      </w:r>
      <w:r>
        <w:rPr>
          <w:rFonts w:hAnsi="宋体"/>
          <w:sz w:val="24"/>
        </w:rPr>
        <w:t>.</w:t>
      </w:r>
      <w:r>
        <w:rPr>
          <w:rFonts w:hint="eastAsia" w:hAnsi="宋体"/>
          <w:sz w:val="24"/>
        </w:rPr>
        <w:t>乙方提供的服务不符合本合同规定的，甲方有权拒收，并且乙方须向甲方支付本合同总价</w:t>
      </w:r>
      <w:r>
        <w:rPr>
          <w:rFonts w:hint="eastAsia" w:hAnsi="宋体"/>
          <w:sz w:val="24"/>
          <w:u w:val="single"/>
        </w:rPr>
        <w:t xml:space="preserve">    </w:t>
      </w:r>
      <w:r>
        <w:rPr>
          <w:rFonts w:hint="eastAsia" w:hAnsi="宋体"/>
          <w:sz w:val="24"/>
        </w:rPr>
        <w:t>%的违约金。</w:t>
      </w:r>
    </w:p>
    <w:p w14:paraId="7352ED41">
      <w:pPr>
        <w:tabs>
          <w:tab w:val="left" w:pos="851"/>
          <w:tab w:val="clear" w:pos="426"/>
        </w:tabs>
        <w:spacing w:line="276" w:lineRule="auto"/>
        <w:ind w:firstLine="480" w:firstLineChars="200"/>
        <w:rPr>
          <w:rFonts w:hint="eastAsia" w:hAnsi="宋体"/>
          <w:sz w:val="24"/>
        </w:rPr>
      </w:pPr>
      <w:r>
        <w:rPr>
          <w:rFonts w:hint="eastAsia" w:hAnsi="宋体"/>
          <w:sz w:val="24"/>
        </w:rPr>
        <w:t>2</w:t>
      </w:r>
      <w:r>
        <w:rPr>
          <w:rFonts w:hAnsi="宋体"/>
          <w:sz w:val="24"/>
        </w:rPr>
        <w:t>.</w:t>
      </w:r>
      <w:r>
        <w:rPr>
          <w:rFonts w:hint="eastAsia" w:hAnsi="宋体"/>
          <w:sz w:val="24"/>
        </w:rPr>
        <w:t>乙方未能按本合同规定的时间完成服务，从逾期之日起每日按本合同总价3‰的数额向甲方支付违约金；逾期</w:t>
      </w:r>
      <w:r>
        <w:rPr>
          <w:rFonts w:hint="eastAsia" w:hAnsi="宋体"/>
          <w:sz w:val="24"/>
          <w:u w:val="single"/>
        </w:rPr>
        <w:t xml:space="preserve">    </w:t>
      </w:r>
      <w:r>
        <w:rPr>
          <w:rFonts w:hint="eastAsia" w:hAnsi="宋体"/>
          <w:sz w:val="24"/>
        </w:rPr>
        <w:t>天以上（含</w:t>
      </w:r>
      <w:r>
        <w:rPr>
          <w:rFonts w:hint="eastAsia" w:hAnsi="宋体"/>
          <w:sz w:val="24"/>
          <w:u w:val="single"/>
        </w:rPr>
        <w:t xml:space="preserve">    </w:t>
      </w:r>
      <w:r>
        <w:rPr>
          <w:rFonts w:hint="eastAsia" w:hAnsi="宋体"/>
          <w:sz w:val="24"/>
        </w:rPr>
        <w:t>天）的，甲方有权终止合同，要求乙方支付合同总价款</w:t>
      </w:r>
      <w:r>
        <w:rPr>
          <w:rFonts w:hint="eastAsia" w:hAnsi="宋体"/>
          <w:sz w:val="24"/>
          <w:u w:val="single"/>
        </w:rPr>
        <w:t xml:space="preserve">    </w:t>
      </w:r>
      <w:r>
        <w:rPr>
          <w:rFonts w:hint="eastAsia" w:hAnsi="宋体"/>
          <w:sz w:val="24"/>
        </w:rPr>
        <w:t>%的赔偿金，并由乙方按合同总额的</w:t>
      </w:r>
      <w:r>
        <w:rPr>
          <w:rFonts w:hint="eastAsia" w:hAnsi="宋体"/>
          <w:sz w:val="24"/>
          <w:u w:val="single"/>
        </w:rPr>
        <w:t xml:space="preserve">    </w:t>
      </w:r>
      <w:r>
        <w:rPr>
          <w:rFonts w:hint="eastAsia" w:hAnsi="宋体"/>
          <w:sz w:val="24"/>
        </w:rPr>
        <w:t>%支付违约金。</w:t>
      </w:r>
    </w:p>
    <w:p w14:paraId="4F64D085">
      <w:pPr>
        <w:tabs>
          <w:tab w:val="left" w:pos="851"/>
          <w:tab w:val="clear" w:pos="426"/>
        </w:tabs>
        <w:spacing w:line="276" w:lineRule="auto"/>
        <w:ind w:firstLine="480" w:firstLineChars="200"/>
        <w:rPr>
          <w:rFonts w:hint="eastAsia" w:hAnsi="宋体"/>
          <w:sz w:val="24"/>
        </w:rPr>
      </w:pPr>
      <w:r>
        <w:rPr>
          <w:rFonts w:hint="eastAsia" w:hAnsi="宋体"/>
          <w:sz w:val="24"/>
        </w:rPr>
        <w:t>3</w:t>
      </w:r>
      <w:r>
        <w:rPr>
          <w:rFonts w:hAnsi="宋体"/>
          <w:sz w:val="24"/>
        </w:rPr>
        <w:t>.</w:t>
      </w:r>
      <w:r>
        <w:rPr>
          <w:rFonts w:hint="eastAsia" w:hAnsi="宋体"/>
          <w:sz w:val="24"/>
        </w:rPr>
        <w:t>甲方无正当理由拒收接受服务，到期拒付服务款项的，甲方向乙方偿付本合同总价</w:t>
      </w:r>
      <w:r>
        <w:rPr>
          <w:rFonts w:hint="eastAsia" w:hAnsi="宋体"/>
          <w:sz w:val="24"/>
          <w:u w:val="single"/>
        </w:rPr>
        <w:t xml:space="preserve">    </w:t>
      </w:r>
      <w:r>
        <w:rPr>
          <w:rFonts w:hint="eastAsia" w:hAnsi="宋体"/>
          <w:sz w:val="24"/>
        </w:rPr>
        <w:t>%的违约金。甲方逾期付款，则每日按本合同总价的</w:t>
      </w:r>
      <w:r>
        <w:rPr>
          <w:rFonts w:hint="eastAsia" w:hAnsi="宋体"/>
          <w:sz w:val="24"/>
          <w:u w:val="single"/>
        </w:rPr>
        <w:t xml:space="preserve">    </w:t>
      </w:r>
      <w:r>
        <w:rPr>
          <w:rFonts w:hint="eastAsia" w:hAnsi="宋体"/>
          <w:sz w:val="24"/>
        </w:rPr>
        <w:t>‰向乙方偿付违约金。</w:t>
      </w:r>
    </w:p>
    <w:p w14:paraId="69A06C89">
      <w:pPr>
        <w:tabs>
          <w:tab w:val="left" w:pos="851"/>
          <w:tab w:val="clear" w:pos="426"/>
        </w:tabs>
        <w:spacing w:line="276" w:lineRule="auto"/>
        <w:ind w:firstLine="480" w:firstLineChars="200"/>
        <w:rPr>
          <w:rFonts w:hint="eastAsia" w:hAnsi="宋体"/>
          <w:bCs/>
          <w:sz w:val="24"/>
        </w:rPr>
      </w:pPr>
      <w:r>
        <w:rPr>
          <w:rFonts w:hint="eastAsia" w:hAnsi="宋体"/>
          <w:sz w:val="24"/>
        </w:rPr>
        <w:t>4</w:t>
      </w:r>
      <w:r>
        <w:rPr>
          <w:rFonts w:hAnsi="宋体"/>
          <w:sz w:val="24"/>
        </w:rPr>
        <w:t>.</w:t>
      </w:r>
      <w:r>
        <w:rPr>
          <w:rFonts w:hint="eastAsia" w:hAnsi="宋体"/>
          <w:sz w:val="24"/>
        </w:rPr>
        <w:t>其它违约责任按《中华人民共和国民法典》处理</w:t>
      </w:r>
      <w:r>
        <w:rPr>
          <w:rFonts w:hint="eastAsia" w:hAnsi="宋体"/>
          <w:bCs/>
          <w:sz w:val="24"/>
        </w:rPr>
        <w:t>。</w:t>
      </w:r>
    </w:p>
    <w:p w14:paraId="4A70A507">
      <w:pPr>
        <w:pStyle w:val="588"/>
        <w:rPr>
          <w:sz w:val="24"/>
          <w:szCs w:val="24"/>
        </w:rPr>
      </w:pPr>
    </w:p>
    <w:p w14:paraId="5E77CE8A">
      <w:pPr>
        <w:spacing w:line="276" w:lineRule="auto"/>
        <w:rPr>
          <w:rFonts w:hint="eastAsia" w:hAnsi="宋体"/>
          <w:b/>
          <w:sz w:val="24"/>
        </w:rPr>
      </w:pPr>
      <w:r>
        <w:rPr>
          <w:rFonts w:hint="eastAsia" w:hAnsi="宋体"/>
          <w:b/>
          <w:sz w:val="24"/>
        </w:rPr>
        <w:t>七、争议的解决</w:t>
      </w:r>
    </w:p>
    <w:p w14:paraId="353B6B89">
      <w:pPr>
        <w:tabs>
          <w:tab w:val="left" w:pos="851"/>
          <w:tab w:val="clear" w:pos="426"/>
        </w:tabs>
        <w:spacing w:line="276" w:lineRule="auto"/>
        <w:ind w:firstLine="480" w:firstLineChars="200"/>
        <w:rPr>
          <w:rFonts w:hint="eastAsia" w:hAnsi="宋体"/>
          <w:sz w:val="24"/>
        </w:rPr>
      </w:pPr>
      <w:r>
        <w:rPr>
          <w:rFonts w:hint="eastAsia" w:hAnsi="宋体"/>
          <w:sz w:val="24"/>
        </w:rPr>
        <w:t>合同执行过程中发生的任何争议，如双方不能通过友好协商解决，交由甲方所在地人民法院管辖处理。</w:t>
      </w:r>
    </w:p>
    <w:p w14:paraId="439933B9">
      <w:pPr>
        <w:pStyle w:val="588"/>
        <w:rPr>
          <w:sz w:val="24"/>
          <w:szCs w:val="24"/>
        </w:rPr>
      </w:pPr>
    </w:p>
    <w:p w14:paraId="67620896">
      <w:pPr>
        <w:spacing w:line="276" w:lineRule="auto"/>
        <w:rPr>
          <w:rFonts w:hint="eastAsia" w:hAnsi="宋体"/>
          <w:sz w:val="24"/>
        </w:rPr>
      </w:pPr>
      <w:r>
        <w:rPr>
          <w:rFonts w:hint="eastAsia" w:hAnsi="宋体"/>
          <w:b/>
          <w:sz w:val="24"/>
        </w:rPr>
        <w:t>八、不可抗力</w:t>
      </w:r>
    </w:p>
    <w:p w14:paraId="36F04E2A">
      <w:pPr>
        <w:tabs>
          <w:tab w:val="left" w:pos="851"/>
          <w:tab w:val="clear" w:pos="426"/>
        </w:tabs>
        <w:spacing w:line="276" w:lineRule="auto"/>
        <w:ind w:firstLine="600" w:firstLineChars="250"/>
        <w:jc w:val="left"/>
        <w:rPr>
          <w:rFonts w:hint="eastAsia" w:hAnsi="宋体"/>
          <w:sz w:val="24"/>
        </w:rPr>
      </w:pPr>
      <w:r>
        <w:rPr>
          <w:rFonts w:hint="eastAsia" w:hAnsi="宋体"/>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3BF37BC6">
      <w:pPr>
        <w:pStyle w:val="588"/>
        <w:rPr>
          <w:sz w:val="24"/>
          <w:szCs w:val="24"/>
        </w:rPr>
      </w:pPr>
    </w:p>
    <w:p w14:paraId="06E01E98">
      <w:pPr>
        <w:spacing w:line="276" w:lineRule="auto"/>
        <w:rPr>
          <w:rFonts w:hint="eastAsia" w:hAnsi="宋体"/>
          <w:sz w:val="24"/>
        </w:rPr>
      </w:pPr>
      <w:r>
        <w:rPr>
          <w:rFonts w:hint="eastAsia" w:hAnsi="宋体"/>
          <w:b/>
          <w:sz w:val="24"/>
        </w:rPr>
        <w:t>九、税费</w:t>
      </w:r>
    </w:p>
    <w:p w14:paraId="5F026184">
      <w:pPr>
        <w:tabs>
          <w:tab w:val="left" w:pos="851"/>
          <w:tab w:val="clear" w:pos="426"/>
        </w:tabs>
        <w:spacing w:line="276" w:lineRule="auto"/>
        <w:ind w:left="887" w:leftChars="250" w:hanging="362" w:hangingChars="151"/>
        <w:rPr>
          <w:rFonts w:hint="eastAsia" w:hAnsi="宋体"/>
          <w:sz w:val="24"/>
        </w:rPr>
      </w:pPr>
      <w:r>
        <w:rPr>
          <w:rFonts w:hint="eastAsia" w:hAnsi="宋体"/>
          <w:sz w:val="24"/>
        </w:rPr>
        <w:t>在中国境内、外发生的与本合同执行有关的一切税费均由乙方负担。</w:t>
      </w:r>
    </w:p>
    <w:p w14:paraId="7963FCE9">
      <w:pPr>
        <w:pStyle w:val="588"/>
        <w:rPr>
          <w:sz w:val="24"/>
          <w:szCs w:val="24"/>
        </w:rPr>
      </w:pPr>
    </w:p>
    <w:p w14:paraId="0BEA6F6F">
      <w:pPr>
        <w:spacing w:line="276" w:lineRule="auto"/>
        <w:rPr>
          <w:rFonts w:hint="eastAsia" w:hAnsi="宋体"/>
          <w:b/>
          <w:sz w:val="24"/>
        </w:rPr>
      </w:pPr>
      <w:r>
        <w:rPr>
          <w:rFonts w:hint="eastAsia" w:hAnsi="宋体"/>
          <w:b/>
          <w:sz w:val="24"/>
        </w:rPr>
        <w:t>十、其它</w:t>
      </w:r>
    </w:p>
    <w:p w14:paraId="3BC1A14F">
      <w:pPr>
        <w:tabs>
          <w:tab w:val="left" w:pos="851"/>
          <w:tab w:val="clear" w:pos="426"/>
        </w:tabs>
        <w:spacing w:line="276" w:lineRule="auto"/>
        <w:ind w:firstLine="480" w:firstLineChars="200"/>
        <w:rPr>
          <w:rFonts w:hint="eastAsia" w:hAnsi="宋体"/>
          <w:sz w:val="24"/>
        </w:rPr>
      </w:pPr>
      <w:r>
        <w:rPr>
          <w:rFonts w:hint="eastAsia" w:hAnsi="宋体"/>
          <w:sz w:val="24"/>
        </w:rPr>
        <w:t>1. 本合同所有附件、采购文件、报价文件、成交通知书均为合同的有效组成部分，与本合同具有同等法律效力。</w:t>
      </w:r>
    </w:p>
    <w:p w14:paraId="0E561F15">
      <w:pPr>
        <w:tabs>
          <w:tab w:val="left" w:pos="851"/>
          <w:tab w:val="clear" w:pos="426"/>
        </w:tabs>
        <w:spacing w:line="276" w:lineRule="auto"/>
        <w:ind w:firstLine="480" w:firstLineChars="200"/>
        <w:rPr>
          <w:rFonts w:hint="eastAsia" w:hAnsi="宋体"/>
          <w:sz w:val="24"/>
        </w:rPr>
      </w:pPr>
      <w:r>
        <w:rPr>
          <w:rFonts w:hint="eastAsia" w:hAnsi="宋体"/>
          <w:sz w:val="24"/>
        </w:rPr>
        <w:t>2. 在执行本合同的过程中，所有经双方签署确认的文件（包括会议纪要、补充协议、往来信函）即成为本合同的有效组成部分。如有变更，应在变更当日内书面通知对方，否则，应承担相应责任。</w:t>
      </w:r>
    </w:p>
    <w:p w14:paraId="18F311C4">
      <w:pPr>
        <w:tabs>
          <w:tab w:val="left" w:pos="851"/>
          <w:tab w:val="clear" w:pos="426"/>
        </w:tabs>
        <w:spacing w:line="276" w:lineRule="auto"/>
        <w:ind w:firstLine="480" w:firstLineChars="200"/>
        <w:rPr>
          <w:rFonts w:hint="eastAsia" w:hAnsi="宋体"/>
          <w:sz w:val="24"/>
        </w:rPr>
      </w:pPr>
      <w:r>
        <w:rPr>
          <w:rFonts w:hint="eastAsia" w:hAnsi="宋体"/>
          <w:sz w:val="24"/>
        </w:rPr>
        <w:t>3.双方信函、文件可以通过纸质信函快递方式送达到本合同中约定的地址。一方及有权机关（包括但不限于人民法院、仲裁委员会、公证处）按此地址发出信函、文书等材料即视为相对方收到，各方通讯地址发生变动的，应即时书面通知另一方，未通知的视为未变动。</w:t>
      </w:r>
    </w:p>
    <w:p w14:paraId="3FFD5B54">
      <w:pPr>
        <w:pStyle w:val="588"/>
        <w:ind w:firstLine="480" w:firstLineChars="200"/>
        <w:rPr>
          <w:rFonts w:hint="eastAsia" w:ascii="宋体" w:hAnsi="宋体"/>
          <w:sz w:val="24"/>
          <w:szCs w:val="24"/>
        </w:rPr>
      </w:pPr>
      <w:r>
        <w:rPr>
          <w:rFonts w:ascii="宋体" w:hAnsi="宋体"/>
          <w:sz w:val="24"/>
          <w:szCs w:val="24"/>
        </w:rPr>
        <w:t>4.</w:t>
      </w:r>
      <w:r>
        <w:rPr>
          <w:rFonts w:hint="eastAsia" w:ascii="宋体" w:hAnsi="宋体"/>
          <w:sz w:val="24"/>
          <w:szCs w:val="24"/>
        </w:rPr>
        <w:t>除甲方事先书面同意外，乙方不得部分或全部转让其应履行的合同项下的义务。</w:t>
      </w:r>
    </w:p>
    <w:p w14:paraId="75A57829">
      <w:pPr>
        <w:pStyle w:val="68"/>
        <w:ind w:firstLine="482"/>
      </w:pPr>
    </w:p>
    <w:p w14:paraId="67FFA425">
      <w:pPr>
        <w:spacing w:line="276" w:lineRule="auto"/>
        <w:rPr>
          <w:rFonts w:hint="eastAsia" w:hAnsi="宋体"/>
          <w:b/>
          <w:sz w:val="24"/>
        </w:rPr>
      </w:pPr>
      <w:r>
        <w:rPr>
          <w:rFonts w:hint="eastAsia" w:hAnsi="宋体"/>
          <w:b/>
          <w:sz w:val="24"/>
        </w:rPr>
        <w:t>十一、合同生效：</w:t>
      </w:r>
    </w:p>
    <w:p w14:paraId="554904F8">
      <w:pPr>
        <w:tabs>
          <w:tab w:val="left" w:pos="851"/>
          <w:tab w:val="clear" w:pos="426"/>
        </w:tabs>
        <w:spacing w:line="276" w:lineRule="auto"/>
        <w:ind w:left="887" w:leftChars="250" w:hanging="362" w:hangingChars="151"/>
        <w:rPr>
          <w:rFonts w:hint="eastAsia" w:hAnsi="宋体"/>
          <w:sz w:val="24"/>
        </w:rPr>
      </w:pPr>
      <w:r>
        <w:rPr>
          <w:rFonts w:hint="eastAsia" w:hAnsi="宋体"/>
          <w:sz w:val="24"/>
        </w:rPr>
        <w:t>1. 本合同自双方签订之日起生效。</w:t>
      </w:r>
    </w:p>
    <w:p w14:paraId="6D507CA7">
      <w:pPr>
        <w:tabs>
          <w:tab w:val="left" w:pos="851"/>
          <w:tab w:val="clear" w:pos="426"/>
        </w:tabs>
        <w:spacing w:line="276" w:lineRule="auto"/>
        <w:ind w:left="887" w:leftChars="250" w:hanging="362" w:hangingChars="151"/>
        <w:rPr>
          <w:rFonts w:hint="eastAsia" w:hAnsi="宋体"/>
          <w:sz w:val="24"/>
        </w:rPr>
      </w:pPr>
      <w:r>
        <w:rPr>
          <w:rFonts w:hint="eastAsia" w:hAnsi="宋体"/>
          <w:sz w:val="24"/>
        </w:rPr>
        <w:t>2. 合同一式</w:t>
      </w:r>
      <w:r>
        <w:rPr>
          <w:rFonts w:hint="eastAsia" w:hAnsi="宋体"/>
          <w:sz w:val="24"/>
          <w:u w:val="single"/>
        </w:rPr>
        <w:t>肆</w:t>
      </w:r>
      <w:r>
        <w:rPr>
          <w:rFonts w:hint="eastAsia" w:hAnsi="宋体"/>
          <w:sz w:val="24"/>
        </w:rPr>
        <w:t>份，甲乙双方各</w:t>
      </w:r>
      <w:r>
        <w:rPr>
          <w:rFonts w:hint="eastAsia" w:hAnsi="宋体"/>
          <w:sz w:val="24"/>
          <w:u w:val="single"/>
        </w:rPr>
        <w:t>两</w:t>
      </w:r>
      <w:r>
        <w:rPr>
          <w:rFonts w:hint="eastAsia" w:hAnsi="宋体"/>
          <w:sz w:val="24"/>
        </w:rPr>
        <w:t>份。</w:t>
      </w:r>
    </w:p>
    <w:p w14:paraId="43CAF559">
      <w:pPr>
        <w:pStyle w:val="588"/>
        <w:rPr>
          <w:sz w:val="24"/>
          <w:szCs w:val="24"/>
        </w:rPr>
      </w:pPr>
    </w:p>
    <w:p w14:paraId="5C3339B6">
      <w:pPr>
        <w:pStyle w:val="68"/>
        <w:ind w:firstLine="482"/>
      </w:pPr>
    </w:p>
    <w:p w14:paraId="3439E7EA">
      <w:pPr>
        <w:tabs>
          <w:tab w:val="left" w:pos="4395"/>
          <w:tab w:val="clear" w:pos="426"/>
        </w:tabs>
        <w:spacing w:line="276" w:lineRule="auto"/>
        <w:rPr>
          <w:rFonts w:hint="eastAsia" w:hAnsi="宋体"/>
          <w:b/>
          <w:sz w:val="24"/>
        </w:rPr>
      </w:pPr>
      <w:r>
        <w:rPr>
          <w:rFonts w:hint="eastAsia" w:hAnsi="宋体"/>
          <w:b/>
          <w:sz w:val="24"/>
        </w:rPr>
        <w:t>甲方（盖章）：</w:t>
      </w:r>
      <w:r>
        <w:rPr>
          <w:rFonts w:hint="eastAsia" w:hAnsi="宋体"/>
          <w:b/>
          <w:sz w:val="24"/>
        </w:rPr>
        <w:tab/>
      </w:r>
      <w:r>
        <w:rPr>
          <w:rFonts w:hint="eastAsia" w:hAnsi="宋体"/>
          <w:b/>
          <w:sz w:val="24"/>
        </w:rPr>
        <w:t>乙方（盖章）：</w:t>
      </w:r>
    </w:p>
    <w:p w14:paraId="2C82CBF5">
      <w:pPr>
        <w:tabs>
          <w:tab w:val="left" w:pos="4395"/>
          <w:tab w:val="clear" w:pos="426"/>
        </w:tabs>
        <w:spacing w:line="276" w:lineRule="auto"/>
        <w:rPr>
          <w:rFonts w:hint="eastAsia" w:hAnsi="宋体"/>
          <w:b/>
          <w:sz w:val="24"/>
        </w:rPr>
      </w:pPr>
      <w:r>
        <w:rPr>
          <w:rFonts w:hint="eastAsia" w:hAnsi="宋体"/>
          <w:b/>
          <w:sz w:val="24"/>
        </w:rPr>
        <w:t>代表：</w:t>
      </w:r>
      <w:r>
        <w:rPr>
          <w:rFonts w:hint="eastAsia" w:hAnsi="宋体"/>
          <w:b/>
          <w:sz w:val="24"/>
        </w:rPr>
        <w:tab/>
      </w:r>
      <w:r>
        <w:rPr>
          <w:rFonts w:hint="eastAsia" w:hAnsi="宋体"/>
          <w:b/>
          <w:sz w:val="24"/>
        </w:rPr>
        <w:t xml:space="preserve">代表： </w:t>
      </w:r>
    </w:p>
    <w:p w14:paraId="30D74893">
      <w:pPr>
        <w:tabs>
          <w:tab w:val="left" w:pos="4395"/>
          <w:tab w:val="clear" w:pos="426"/>
        </w:tabs>
        <w:spacing w:line="276" w:lineRule="auto"/>
        <w:rPr>
          <w:rFonts w:hint="eastAsia" w:hAnsi="宋体"/>
          <w:sz w:val="24"/>
        </w:rPr>
      </w:pPr>
      <w:r>
        <w:rPr>
          <w:rFonts w:hint="eastAsia" w:hAnsi="宋体"/>
          <w:sz w:val="24"/>
        </w:rPr>
        <w:t>签定地点：</w:t>
      </w:r>
    </w:p>
    <w:p w14:paraId="4E080FAF">
      <w:pPr>
        <w:tabs>
          <w:tab w:val="left" w:pos="4395"/>
          <w:tab w:val="clear" w:pos="426"/>
        </w:tabs>
        <w:spacing w:line="276" w:lineRule="auto"/>
        <w:rPr>
          <w:rFonts w:hint="eastAsia" w:hAnsi="宋体"/>
          <w:sz w:val="24"/>
        </w:rPr>
      </w:pPr>
      <w:r>
        <w:rPr>
          <w:rFonts w:hint="eastAsia" w:hAnsi="宋体"/>
          <w:sz w:val="24"/>
        </w:rPr>
        <w:t>签定日期：　　　年　　月　　日</w:t>
      </w:r>
      <w:r>
        <w:rPr>
          <w:rFonts w:hint="eastAsia" w:hAnsi="宋体"/>
          <w:sz w:val="24"/>
        </w:rPr>
        <w:tab/>
      </w:r>
      <w:r>
        <w:rPr>
          <w:rFonts w:hint="eastAsia" w:hAnsi="宋体"/>
          <w:sz w:val="24"/>
        </w:rPr>
        <w:t>签定日期：　　　年　　月　　日</w:t>
      </w:r>
    </w:p>
    <w:p w14:paraId="264E9613">
      <w:pPr>
        <w:tabs>
          <w:tab w:val="left" w:pos="4395"/>
          <w:tab w:val="clear" w:pos="426"/>
        </w:tabs>
        <w:spacing w:line="276" w:lineRule="auto"/>
        <w:rPr>
          <w:rFonts w:hint="eastAsia" w:hAnsi="宋体"/>
          <w:szCs w:val="21"/>
        </w:rPr>
      </w:pPr>
    </w:p>
    <w:p w14:paraId="2FE02727">
      <w:pPr>
        <w:pStyle w:val="44"/>
        <w:ind w:firstLine="420" w:firstLineChars="200"/>
        <w:rPr>
          <w:rFonts w:hint="eastAsia" w:hAnsi="宋体" w:cs="仿宋_GB2312"/>
          <w:szCs w:val="21"/>
        </w:rPr>
      </w:pPr>
      <w:r>
        <w:rPr>
          <w:rFonts w:hint="eastAsia" w:hAnsi="宋体" w:cs="宋体"/>
          <w:kern w:val="0"/>
          <w:szCs w:val="21"/>
          <w:lang w:bidi="ar"/>
        </w:rPr>
        <w:t>注：本合同样本仅供参考，具体条款内容由采购单位和中标单位协商确定。</w:t>
      </w:r>
    </w:p>
    <w:p w14:paraId="454ACB40">
      <w:pPr>
        <w:pStyle w:val="62"/>
        <w:tabs>
          <w:tab w:val="clear" w:pos="426"/>
        </w:tabs>
      </w:pPr>
      <w:r>
        <w:br w:type="page"/>
      </w:r>
    </w:p>
    <w:p w14:paraId="6164260C">
      <w:pPr>
        <w:pStyle w:val="62"/>
        <w:tabs>
          <w:tab w:val="clear" w:pos="426"/>
        </w:tabs>
      </w:pPr>
    </w:p>
    <w:p w14:paraId="5A14855B">
      <w:pPr>
        <w:pStyle w:val="62"/>
        <w:tabs>
          <w:tab w:val="clear" w:pos="426"/>
        </w:tabs>
      </w:pPr>
      <w:bookmarkStart w:id="50" w:name="_Toc5884"/>
      <w:r>
        <w:rPr>
          <w:rFonts w:hint="eastAsia"/>
        </w:rPr>
        <w:t>第五章投标文件格式、附件</w:t>
      </w:r>
      <w:bookmarkEnd w:id="46"/>
      <w:bookmarkEnd w:id="47"/>
      <w:bookmarkEnd w:id="50"/>
    </w:p>
    <w:p w14:paraId="604CDC95">
      <w:pPr>
        <w:tabs>
          <w:tab w:val="clear" w:pos="426"/>
        </w:tabs>
        <w:spacing w:line="276" w:lineRule="auto"/>
        <w:rPr>
          <w:rStyle w:val="128"/>
          <w:rFonts w:hint="eastAsia" w:ascii="宋体" w:hAnsi="宋体" w:eastAsia="宋体"/>
          <w:b/>
          <w:bCs w:val="0"/>
          <w:sz w:val="22"/>
          <w:szCs w:val="22"/>
        </w:rPr>
      </w:pPr>
    </w:p>
    <w:p w14:paraId="7FB728E0">
      <w:pPr>
        <w:tabs>
          <w:tab w:val="clear" w:pos="426"/>
        </w:tabs>
        <w:spacing w:line="276" w:lineRule="auto"/>
        <w:rPr>
          <w:rFonts w:hint="eastAsia" w:hAnsi="宋体"/>
          <w:b/>
          <w:sz w:val="22"/>
          <w:szCs w:val="22"/>
        </w:rPr>
      </w:pPr>
      <w:r>
        <w:rPr>
          <w:rStyle w:val="128"/>
          <w:rFonts w:hint="eastAsia" w:ascii="宋体" w:hAnsi="宋体" w:eastAsia="宋体"/>
          <w:b/>
          <w:bCs w:val="0"/>
          <w:sz w:val="22"/>
          <w:szCs w:val="22"/>
        </w:rPr>
        <w:t>（特别提醒：</w:t>
      </w:r>
      <w:r>
        <w:rPr>
          <w:rFonts w:hint="eastAsia" w:hAnsi="宋体"/>
          <w:b/>
          <w:sz w:val="22"/>
          <w:szCs w:val="22"/>
        </w:rPr>
        <w:t>投标供应商在编辑投标文件时，应严格按照招标文件提供的格式进行编写，因未按要求编写导致投标文件不予受理、无效标或废标的，一切后果由供应商自行承担。)</w:t>
      </w:r>
    </w:p>
    <w:p w14:paraId="30A81708">
      <w:pPr>
        <w:adjustRightInd/>
        <w:snapToGrid/>
        <w:spacing w:before="280" w:after="290" w:line="376" w:lineRule="auto"/>
        <w:jc w:val="center"/>
        <w:rPr>
          <w:b/>
          <w:sz w:val="24"/>
        </w:rPr>
      </w:pPr>
      <w:r>
        <w:br w:type="page"/>
      </w:r>
    </w:p>
    <w:p w14:paraId="3B8858E9">
      <w:pPr>
        <w:tabs>
          <w:tab w:val="clear" w:pos="426"/>
        </w:tabs>
        <w:jc w:val="center"/>
        <w:rPr>
          <w:sz w:val="44"/>
          <w:szCs w:val="44"/>
        </w:rPr>
      </w:pPr>
    </w:p>
    <w:p w14:paraId="78C7B5A9">
      <w:pPr>
        <w:pStyle w:val="3"/>
        <w:jc w:val="center"/>
        <w:rPr>
          <w:kern w:val="28"/>
          <w:sz w:val="44"/>
          <w:szCs w:val="44"/>
        </w:rPr>
      </w:pPr>
      <w:bookmarkStart w:id="51" w:name="_Toc10564"/>
      <w:r>
        <w:rPr>
          <w:rFonts w:hint="eastAsia"/>
          <w:b/>
          <w:bCs/>
          <w:sz w:val="32"/>
          <w:szCs w:val="32"/>
        </w:rPr>
        <w:t>附件1：开标文件</w:t>
      </w:r>
      <w:bookmarkEnd w:id="51"/>
    </w:p>
    <w:p w14:paraId="20911E7D">
      <w:pPr>
        <w:spacing w:after="160" w:line="240" w:lineRule="exact"/>
        <w:jc w:val="left"/>
        <w:rPr>
          <w:rFonts w:eastAsia="仿宋_GB2312"/>
          <w:sz w:val="24"/>
          <w:szCs w:val="20"/>
        </w:rPr>
      </w:pPr>
    </w:p>
    <w:p w14:paraId="7A4B7241">
      <w:pPr>
        <w:pStyle w:val="127"/>
        <w:rPr>
          <w:rFonts w:ascii="Times New Roman" w:hAnsi="Times New Roman"/>
          <w:lang w:eastAsia="zh-CN"/>
        </w:rPr>
      </w:pPr>
    </w:p>
    <w:p w14:paraId="3B6B2771">
      <w:pPr>
        <w:pStyle w:val="127"/>
        <w:rPr>
          <w:rFonts w:ascii="Times New Roman" w:hAnsi="Times New Roman"/>
          <w:lang w:eastAsia="zh-CN"/>
        </w:rPr>
      </w:pPr>
    </w:p>
    <w:p w14:paraId="18D4EF66">
      <w:pPr>
        <w:jc w:val="center"/>
        <w:rPr>
          <w:sz w:val="44"/>
          <w:szCs w:val="44"/>
        </w:rPr>
      </w:pPr>
      <w:r>
        <w:rPr>
          <w:rFonts w:hint="eastAsia"/>
          <w:sz w:val="44"/>
          <w:szCs w:val="44"/>
        </w:rPr>
        <w:t>广东省深圳市消防救援支队大亚湾特勤大队2024年备勤楼家具采购项目</w:t>
      </w:r>
    </w:p>
    <w:p w14:paraId="3BF0CB43">
      <w:pPr>
        <w:jc w:val="center"/>
        <w:rPr>
          <w:sz w:val="44"/>
          <w:szCs w:val="44"/>
        </w:rPr>
      </w:pPr>
      <w:r>
        <w:rPr>
          <w:sz w:val="44"/>
          <w:szCs w:val="44"/>
        </w:rPr>
        <w:t>（唱标信封）</w:t>
      </w:r>
    </w:p>
    <w:p w14:paraId="1FB28D74">
      <w:pPr>
        <w:jc w:val="center"/>
        <w:rPr>
          <w:sz w:val="44"/>
          <w:szCs w:val="44"/>
        </w:rPr>
      </w:pPr>
    </w:p>
    <w:p w14:paraId="1FE952E4">
      <w:pPr>
        <w:jc w:val="center"/>
        <w:rPr>
          <w:sz w:val="44"/>
          <w:szCs w:val="44"/>
        </w:rPr>
      </w:pPr>
    </w:p>
    <w:p w14:paraId="551DADB3">
      <w:pPr>
        <w:rPr>
          <w:sz w:val="44"/>
          <w:szCs w:val="44"/>
        </w:rPr>
      </w:pPr>
    </w:p>
    <w:p w14:paraId="6E9D80B2">
      <w:pPr>
        <w:pStyle w:val="84"/>
        <w:ind w:left="420" w:firstLine="880"/>
        <w:rPr>
          <w:sz w:val="44"/>
          <w:szCs w:val="44"/>
        </w:rPr>
      </w:pPr>
    </w:p>
    <w:p w14:paraId="2B5F103F">
      <w:pPr>
        <w:pStyle w:val="84"/>
        <w:ind w:left="420" w:firstLine="880"/>
        <w:rPr>
          <w:sz w:val="44"/>
          <w:szCs w:val="44"/>
        </w:rPr>
      </w:pPr>
    </w:p>
    <w:p w14:paraId="78FF03CB">
      <w:pPr>
        <w:spacing w:line="480" w:lineRule="auto"/>
        <w:ind w:firstLine="1260" w:firstLineChars="450"/>
        <w:rPr>
          <w:sz w:val="28"/>
          <w:szCs w:val="28"/>
          <w:u w:val="single"/>
        </w:rPr>
      </w:pPr>
      <w:r>
        <w:rPr>
          <w:sz w:val="28"/>
          <w:szCs w:val="28"/>
        </w:rPr>
        <w:t>项目编号：_____________________________</w:t>
      </w:r>
    </w:p>
    <w:p w14:paraId="6A418AD0">
      <w:pPr>
        <w:spacing w:line="480" w:lineRule="auto"/>
        <w:ind w:firstLine="1260" w:firstLineChars="450"/>
        <w:rPr>
          <w:sz w:val="28"/>
          <w:szCs w:val="28"/>
          <w:u w:val="single"/>
        </w:rPr>
      </w:pPr>
      <w:r>
        <w:rPr>
          <w:sz w:val="28"/>
          <w:szCs w:val="28"/>
        </w:rPr>
        <w:t>供应商（盖章）：___________________________</w:t>
      </w:r>
    </w:p>
    <w:p w14:paraId="6F77485E">
      <w:pPr>
        <w:spacing w:line="480" w:lineRule="auto"/>
        <w:ind w:firstLine="1260" w:firstLineChars="450"/>
        <w:rPr>
          <w:sz w:val="28"/>
          <w:szCs w:val="28"/>
        </w:rPr>
      </w:pPr>
      <w:r>
        <w:rPr>
          <w:sz w:val="28"/>
          <w:szCs w:val="28"/>
        </w:rPr>
        <w:t>法定代表人或授权委托人签字：__________________</w:t>
      </w:r>
    </w:p>
    <w:p w14:paraId="4E203330">
      <w:pPr>
        <w:ind w:firstLine="1260" w:firstLineChars="450"/>
        <w:rPr>
          <w:sz w:val="28"/>
          <w:szCs w:val="28"/>
        </w:rPr>
      </w:pPr>
      <w:r>
        <w:rPr>
          <w:sz w:val="28"/>
          <w:szCs w:val="28"/>
        </w:rPr>
        <w:t>投标日期：____________年_____月______日</w:t>
      </w:r>
    </w:p>
    <w:p w14:paraId="445887C9">
      <w:pPr>
        <w:rPr>
          <w:sz w:val="28"/>
          <w:szCs w:val="28"/>
        </w:rPr>
      </w:pPr>
      <w:r>
        <w:rPr>
          <w:sz w:val="28"/>
          <w:szCs w:val="28"/>
        </w:rPr>
        <w:br w:type="page"/>
      </w:r>
    </w:p>
    <w:p w14:paraId="135E1193">
      <w:pPr>
        <w:jc w:val="center"/>
        <w:rPr>
          <w:rFonts w:ascii="Times New Roman"/>
          <w:bCs/>
          <w:snapToGrid w:val="0"/>
          <w:sz w:val="18"/>
          <w:szCs w:val="18"/>
        </w:rPr>
      </w:pPr>
      <w:r>
        <w:rPr>
          <w:rFonts w:ascii="Times New Roman"/>
          <w:b/>
          <w:bCs/>
          <w:sz w:val="32"/>
        </w:rPr>
        <w:t>一、</w:t>
      </w:r>
      <w:r>
        <w:rPr>
          <w:rFonts w:hint="eastAsia"/>
          <w:b/>
          <w:bCs/>
          <w:sz w:val="32"/>
        </w:rPr>
        <w:t>开标一览表</w:t>
      </w:r>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5"/>
      </w:tblGrid>
      <w:tr w14:paraId="0A1CE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vAlign w:val="center"/>
          </w:tcPr>
          <w:p w14:paraId="1AD4E8EE">
            <w:pPr>
              <w:spacing w:line="360" w:lineRule="exact"/>
              <w:jc w:val="center"/>
              <w:rPr>
                <w:snapToGrid w:val="0"/>
                <w:sz w:val="22"/>
              </w:rPr>
            </w:pPr>
            <w:r>
              <w:rPr>
                <w:bCs/>
                <w:snapToGrid w:val="0"/>
                <w:sz w:val="22"/>
              </w:rPr>
              <w:t>项目编号</w:t>
            </w:r>
          </w:p>
        </w:tc>
        <w:tc>
          <w:tcPr>
            <w:tcW w:w="3086" w:type="dxa"/>
            <w:vAlign w:val="center"/>
          </w:tcPr>
          <w:p w14:paraId="74F8B299">
            <w:pPr>
              <w:spacing w:line="360" w:lineRule="exact"/>
              <w:jc w:val="center"/>
              <w:rPr>
                <w:snapToGrid w:val="0"/>
                <w:sz w:val="22"/>
              </w:rPr>
            </w:pPr>
            <w:r>
              <w:rPr>
                <w:snapToGrid w:val="0"/>
                <w:sz w:val="22"/>
              </w:rPr>
              <w:t>项目名称</w:t>
            </w:r>
          </w:p>
        </w:tc>
        <w:tc>
          <w:tcPr>
            <w:tcW w:w="3685" w:type="dxa"/>
            <w:vAlign w:val="center"/>
          </w:tcPr>
          <w:p w14:paraId="03E88402">
            <w:pPr>
              <w:spacing w:line="360" w:lineRule="exact"/>
              <w:jc w:val="center"/>
              <w:rPr>
                <w:snapToGrid w:val="0"/>
                <w:sz w:val="22"/>
              </w:rPr>
            </w:pPr>
            <w:r>
              <w:rPr>
                <w:snapToGrid w:val="0"/>
                <w:sz w:val="22"/>
              </w:rPr>
              <w:t>投标报价（元）</w:t>
            </w:r>
          </w:p>
        </w:tc>
      </w:tr>
      <w:tr w14:paraId="6B4A4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vAlign w:val="center"/>
          </w:tcPr>
          <w:p w14:paraId="12DFCB6E">
            <w:pPr>
              <w:spacing w:line="360" w:lineRule="exact"/>
              <w:jc w:val="center"/>
              <w:rPr>
                <w:snapToGrid w:val="0"/>
                <w:sz w:val="22"/>
              </w:rPr>
            </w:pPr>
          </w:p>
        </w:tc>
        <w:tc>
          <w:tcPr>
            <w:tcW w:w="3086" w:type="dxa"/>
            <w:vAlign w:val="center"/>
          </w:tcPr>
          <w:p w14:paraId="2E8BEEE3">
            <w:pPr>
              <w:spacing w:line="360" w:lineRule="exact"/>
              <w:jc w:val="center"/>
              <w:rPr>
                <w:sz w:val="22"/>
              </w:rPr>
            </w:pPr>
          </w:p>
        </w:tc>
        <w:tc>
          <w:tcPr>
            <w:tcW w:w="3685" w:type="dxa"/>
            <w:vAlign w:val="center"/>
          </w:tcPr>
          <w:p w14:paraId="49584F95">
            <w:pPr>
              <w:spacing w:line="360" w:lineRule="exact"/>
              <w:rPr>
                <w:snapToGrid w:val="0"/>
                <w:sz w:val="22"/>
              </w:rPr>
            </w:pPr>
            <w:r>
              <w:rPr>
                <w:snapToGrid w:val="0"/>
                <w:sz w:val="22"/>
              </w:rPr>
              <w:t>大写：</w:t>
            </w:r>
          </w:p>
          <w:p w14:paraId="5BF1EE27">
            <w:pPr>
              <w:spacing w:line="360" w:lineRule="exact"/>
            </w:pPr>
            <w:r>
              <w:rPr>
                <w:snapToGrid w:val="0"/>
                <w:sz w:val="22"/>
              </w:rPr>
              <w:t>小写：</w:t>
            </w:r>
          </w:p>
        </w:tc>
      </w:tr>
    </w:tbl>
    <w:p w14:paraId="1B46145A">
      <w:pPr>
        <w:spacing w:line="360" w:lineRule="exact"/>
        <w:rPr>
          <w:snapToGrid w:val="0"/>
          <w:sz w:val="22"/>
        </w:rPr>
      </w:pPr>
    </w:p>
    <w:p w14:paraId="6A878434">
      <w:pPr>
        <w:pStyle w:val="32"/>
        <w:rPr>
          <w:b w:val="0"/>
          <w:bCs w:val="0"/>
          <w:snapToGrid w:val="0"/>
          <w:sz w:val="22"/>
        </w:rPr>
      </w:pPr>
      <w:r>
        <w:rPr>
          <w:b w:val="0"/>
          <w:bCs w:val="0"/>
          <w:snapToGrid w:val="0"/>
          <w:sz w:val="22"/>
        </w:rPr>
        <w:t>注：</w:t>
      </w:r>
      <w:r>
        <w:rPr>
          <w:rFonts w:hint="eastAsia"/>
          <w:b w:val="0"/>
          <w:bCs w:val="0"/>
          <w:snapToGrid w:val="0"/>
          <w:sz w:val="22"/>
        </w:rPr>
        <w:t>此表应按投标人须知的规定密封标记并与授权委托书一同密封单独提交，毋须装订在投标文件中。</w:t>
      </w:r>
    </w:p>
    <w:p w14:paraId="6BE7B1FA">
      <w:pPr>
        <w:pStyle w:val="32"/>
        <w:ind w:firstLine="482" w:firstLineChars="200"/>
        <w:rPr>
          <w:color w:val="FF0000"/>
        </w:rPr>
      </w:pPr>
    </w:p>
    <w:p w14:paraId="32A3C406">
      <w:pPr>
        <w:spacing w:line="360" w:lineRule="exact"/>
        <w:rPr>
          <w:snapToGrid w:val="0"/>
          <w:sz w:val="22"/>
        </w:rPr>
      </w:pPr>
    </w:p>
    <w:p w14:paraId="4FA3EBED">
      <w:pPr>
        <w:spacing w:line="360" w:lineRule="exact"/>
        <w:ind w:right="2100" w:rightChars="1000"/>
        <w:jc w:val="right"/>
        <w:rPr>
          <w:snapToGrid w:val="0"/>
          <w:sz w:val="22"/>
        </w:rPr>
      </w:pPr>
    </w:p>
    <w:p w14:paraId="5E9EC374">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0BBD299D">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72F211CC">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4BA1ADEE">
      <w:pPr>
        <w:spacing w:line="360" w:lineRule="exact"/>
        <w:ind w:right="2100" w:rightChars="1000"/>
        <w:jc w:val="left"/>
        <w:rPr>
          <w:snapToGrid w:val="0"/>
        </w:rPr>
      </w:pPr>
    </w:p>
    <w:p w14:paraId="149A4FD1">
      <w:r>
        <w:rPr>
          <w:rFonts w:hint="eastAsia"/>
        </w:rPr>
        <w:br w:type="page"/>
      </w:r>
    </w:p>
    <w:p w14:paraId="7EF4BBEB">
      <w:pPr>
        <w:jc w:val="center"/>
        <w:rPr>
          <w:rFonts w:ascii="Times New Roman"/>
          <w:b/>
          <w:bCs/>
          <w:sz w:val="32"/>
        </w:rPr>
      </w:pPr>
      <w:r>
        <w:rPr>
          <w:rFonts w:hint="eastAsia" w:ascii="Times New Roman"/>
          <w:b/>
          <w:bCs/>
          <w:sz w:val="32"/>
        </w:rPr>
        <w:t>二、法定代表人证明书</w:t>
      </w:r>
    </w:p>
    <w:p w14:paraId="0DDA3304"/>
    <w:p w14:paraId="06E3D1AF">
      <w:pPr>
        <w:spacing w:line="360" w:lineRule="exact"/>
        <w:rPr>
          <w:sz w:val="22"/>
        </w:rPr>
      </w:pPr>
      <w:r>
        <w:rPr>
          <w:rFonts w:hint="eastAsia"/>
          <w:sz w:val="22"/>
        </w:rPr>
        <w:t xml:space="preserve">   </w:t>
      </w:r>
      <w:r>
        <w:rPr>
          <w:rFonts w:hint="eastAsia"/>
          <w:sz w:val="22"/>
          <w:u w:val="single"/>
        </w:rPr>
        <w:t xml:space="preserve">         </w:t>
      </w:r>
      <w:r>
        <w:rPr>
          <w:rFonts w:hint="eastAsia"/>
          <w:sz w:val="22"/>
        </w:rPr>
        <w:t>同志，现任我单位</w:t>
      </w:r>
      <w:r>
        <w:rPr>
          <w:rFonts w:hint="eastAsia"/>
          <w:sz w:val="22"/>
          <w:u w:val="single"/>
        </w:rPr>
        <w:t xml:space="preserve">         </w:t>
      </w:r>
      <w:r>
        <w:rPr>
          <w:rFonts w:hint="eastAsia"/>
          <w:sz w:val="22"/>
        </w:rPr>
        <w:t>职务，为法定代表人，特此证明。</w:t>
      </w:r>
    </w:p>
    <w:p w14:paraId="6CEFE703">
      <w:pPr>
        <w:spacing w:line="360" w:lineRule="exact"/>
        <w:rPr>
          <w:sz w:val="22"/>
        </w:rPr>
      </w:pPr>
      <w:r>
        <w:rPr>
          <w:rFonts w:hint="eastAsia"/>
          <w:sz w:val="22"/>
        </w:rPr>
        <w:t xml:space="preserve">有效日期：         签发日期：         单位：              </w:t>
      </w:r>
    </w:p>
    <w:p w14:paraId="4A7E4005">
      <w:pPr>
        <w:spacing w:line="360" w:lineRule="exact"/>
        <w:rPr>
          <w:sz w:val="22"/>
        </w:rPr>
      </w:pPr>
      <w:r>
        <w:rPr>
          <w:rFonts w:hint="eastAsia"/>
          <w:sz w:val="22"/>
        </w:rPr>
        <w:t>附：代表人性别：   年龄：      身份证号码：</w:t>
      </w:r>
    </w:p>
    <w:p w14:paraId="686AE93D">
      <w:pPr>
        <w:spacing w:line="360" w:lineRule="exact"/>
        <w:rPr>
          <w:sz w:val="22"/>
        </w:rPr>
      </w:pPr>
      <w:r>
        <w:rPr>
          <w:rFonts w:hint="eastAsia"/>
          <w:sz w:val="22"/>
        </w:rPr>
        <w:t>营业执照号码：                 经济性质：</w:t>
      </w:r>
    </w:p>
    <w:p w14:paraId="6882B8CD">
      <w:pPr>
        <w:spacing w:line="360" w:lineRule="exact"/>
        <w:rPr>
          <w:sz w:val="22"/>
        </w:rPr>
      </w:pPr>
      <w:r>
        <w:rPr>
          <w:rFonts w:hint="eastAsia"/>
          <w:sz w:val="22"/>
        </w:rPr>
        <w:t>主营（产）：</w:t>
      </w:r>
    </w:p>
    <w:p w14:paraId="79F88309">
      <w:pPr>
        <w:spacing w:line="360" w:lineRule="exact"/>
        <w:rPr>
          <w:sz w:val="22"/>
        </w:rPr>
      </w:pPr>
      <w:r>
        <w:rPr>
          <w:rFonts w:hint="eastAsia"/>
          <w:sz w:val="22"/>
        </w:rPr>
        <w:t>兼营（产）：</w:t>
      </w:r>
    </w:p>
    <w:p w14:paraId="4DC7E60E">
      <w:pPr>
        <w:spacing w:line="360" w:lineRule="exact"/>
        <w:rPr>
          <w:sz w:val="22"/>
        </w:rPr>
      </w:pPr>
      <w:r>
        <w:rPr>
          <w:rFonts w:hint="eastAsia"/>
          <w:sz w:val="22"/>
        </w:rPr>
        <w:t>进口物品经营许可证号码：</w:t>
      </w:r>
    </w:p>
    <w:p w14:paraId="08D1959C">
      <w:pPr>
        <w:spacing w:line="360" w:lineRule="exact"/>
        <w:rPr>
          <w:sz w:val="22"/>
        </w:rPr>
      </w:pPr>
      <w:r>
        <w:rPr>
          <w:rFonts w:hint="eastAsia"/>
          <w:sz w:val="22"/>
        </w:rPr>
        <w:t>主营：</w:t>
      </w:r>
    </w:p>
    <w:p w14:paraId="6B653213">
      <w:pPr>
        <w:spacing w:line="360" w:lineRule="exact"/>
        <w:rPr>
          <w:sz w:val="22"/>
        </w:rPr>
      </w:pPr>
      <w:r>
        <w:rPr>
          <w:rFonts w:hint="eastAsia"/>
          <w:sz w:val="22"/>
        </w:rPr>
        <w:t>兼营：</w:t>
      </w:r>
    </w:p>
    <w:p w14:paraId="243EE9C8">
      <w:pPr>
        <w:spacing w:line="360" w:lineRule="exact"/>
        <w:rPr>
          <w:sz w:val="22"/>
        </w:rPr>
      </w:pPr>
      <w:r>
        <w:rPr>
          <w:rFonts w:hint="eastAsia"/>
          <w:sz w:val="22"/>
        </w:rPr>
        <w:t>说明：1、法定代表人为企业事业单位、国家机关、社会团体的主要行政负责人。</w:t>
      </w:r>
    </w:p>
    <w:p w14:paraId="1C9B6045">
      <w:pPr>
        <w:spacing w:line="360" w:lineRule="exact"/>
        <w:rPr>
          <w:sz w:val="22"/>
        </w:rPr>
      </w:pPr>
      <w:r>
        <w:rPr>
          <w:rFonts w:hint="eastAsia"/>
          <w:sz w:val="22"/>
        </w:rPr>
        <w:t xml:space="preserve">      2、内容必须填写真实、清楚，涂改无效，不得转让、买卖。</w:t>
      </w:r>
    </w:p>
    <w:p w14:paraId="0FC8FCE7">
      <w:pPr>
        <w:spacing w:line="360" w:lineRule="exact"/>
        <w:ind w:left="660"/>
        <w:rPr>
          <w:sz w:val="22"/>
        </w:rPr>
      </w:pPr>
      <w:r>
        <w:rPr>
          <w:rFonts w:hint="eastAsia"/>
          <w:sz w:val="22"/>
        </w:rPr>
        <w:t>3、提供法定代表人的身份证复印件（附后）。</w:t>
      </w:r>
    </w:p>
    <w:p w14:paraId="2C9AE87C">
      <w:pPr>
        <w:spacing w:line="360" w:lineRule="exact"/>
        <w:ind w:left="660"/>
        <w:rPr>
          <w:sz w:val="22"/>
        </w:rPr>
      </w:pPr>
      <w:r>
        <w:rPr>
          <w:rFonts w:hint="eastAsia"/>
          <w:sz w:val="22"/>
        </w:rPr>
        <w:t>4、</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4DD5AA39">
      <w:pPr>
        <w:jc w:val="left"/>
        <w:rPr>
          <w:bCs/>
          <w:sz w:val="24"/>
        </w:rPr>
      </w:pPr>
      <w:r>
        <w:rPr>
          <w:rFonts w:hint="eastAsia"/>
          <w:bCs/>
          <w:sz w:val="24"/>
        </w:rPr>
        <w:t xml:space="preserve">       </w:t>
      </w:r>
    </w:p>
    <w:p w14:paraId="18F029FF">
      <w:pPr>
        <w:jc w:val="center"/>
        <w:rPr>
          <w:bCs/>
          <w:sz w:val="24"/>
        </w:rPr>
      </w:pPr>
    </w:p>
    <w:p w14:paraId="5087D495">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05F333C5">
      <w:pPr>
        <w:spacing w:line="360" w:lineRule="exact"/>
        <w:ind w:right="2100" w:rightChars="1000"/>
        <w:jc w:val="left"/>
        <w:rPr>
          <w:rFonts w:hint="eastAsia" w:hAnsi="宋体"/>
          <w:snapToGrid w:val="0"/>
          <w:sz w:val="22"/>
        </w:rPr>
      </w:pPr>
      <w:r>
        <w:rPr>
          <w:rFonts w:hint="eastAsia" w:hAnsi="宋体"/>
          <w:snapToGrid w:val="0"/>
          <w:sz w:val="22"/>
        </w:rPr>
        <w:t xml:space="preserve">                       </w:t>
      </w:r>
    </w:p>
    <w:p w14:paraId="5E15C5A9">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044CCDF9">
      <w:pPr>
        <w:rPr>
          <w:rFonts w:ascii="Times New Roman"/>
          <w:b/>
          <w:bCs/>
          <w:sz w:val="32"/>
        </w:rPr>
      </w:pPr>
      <w:r>
        <w:rPr>
          <w:rFonts w:hint="eastAsia" w:ascii="Times New Roman"/>
          <w:b/>
          <w:bCs/>
          <w:sz w:val="32"/>
        </w:rPr>
        <w:br w:type="page"/>
      </w:r>
    </w:p>
    <w:p w14:paraId="11867A50">
      <w:pPr>
        <w:jc w:val="center"/>
        <w:rPr>
          <w:rFonts w:ascii="Times New Roman"/>
          <w:b/>
          <w:bCs/>
          <w:sz w:val="32"/>
        </w:rPr>
      </w:pPr>
      <w:r>
        <w:rPr>
          <w:rFonts w:hint="eastAsia" w:ascii="Times New Roman"/>
          <w:b/>
          <w:bCs/>
          <w:sz w:val="32"/>
        </w:rPr>
        <w:t>三、法定代表人授权书</w:t>
      </w:r>
    </w:p>
    <w:p w14:paraId="6F0F1305">
      <w:pPr>
        <w:rPr>
          <w:bCs/>
          <w:sz w:val="24"/>
        </w:rPr>
      </w:pPr>
    </w:p>
    <w:p w14:paraId="30599D5B">
      <w:pPr>
        <w:spacing w:line="360" w:lineRule="exact"/>
        <w:rPr>
          <w:bCs/>
          <w:sz w:val="22"/>
        </w:rPr>
      </w:pPr>
      <w:r>
        <w:rPr>
          <w:sz w:val="22"/>
        </w:rPr>
        <w:t>致：</w:t>
      </w:r>
      <w:r>
        <w:rPr>
          <w:bCs/>
          <w:sz w:val="22"/>
        </w:rPr>
        <w:t>深圳市东海国际招标有限公司：</w:t>
      </w:r>
    </w:p>
    <w:p w14:paraId="78F66D51">
      <w:pPr>
        <w:spacing w:line="360" w:lineRule="exact"/>
        <w:rPr>
          <w:bCs/>
          <w:sz w:val="22"/>
        </w:rPr>
      </w:pPr>
    </w:p>
    <w:p w14:paraId="20CCC4A6">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6AA0D078">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366A8654">
      <w:pPr>
        <w:spacing w:line="360" w:lineRule="exact"/>
        <w:rPr>
          <w:bCs/>
          <w:sz w:val="22"/>
        </w:rPr>
      </w:pPr>
    </w:p>
    <w:p w14:paraId="2FB00C39">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0FD1BA08">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7BDA77C7">
      <w:pPr>
        <w:spacing w:line="360" w:lineRule="exact"/>
        <w:ind w:firstLine="110" w:firstLineChars="50"/>
        <w:rPr>
          <w:bCs/>
          <w:sz w:val="22"/>
        </w:rPr>
      </w:pPr>
      <w:r>
        <w:rPr>
          <w:bCs/>
          <w:sz w:val="22"/>
        </w:rPr>
        <w:t>身份证号码：</w:t>
      </w:r>
      <w:r>
        <w:rPr>
          <w:bCs/>
          <w:sz w:val="22"/>
          <w:u w:val="single"/>
        </w:rPr>
        <w:t xml:space="preserve">                                           </w:t>
      </w:r>
    </w:p>
    <w:p w14:paraId="07321A50">
      <w:pPr>
        <w:spacing w:line="360" w:lineRule="exact"/>
        <w:ind w:firstLine="110" w:firstLineChars="50"/>
        <w:rPr>
          <w:bCs/>
          <w:sz w:val="22"/>
          <w:u w:val="single"/>
        </w:rPr>
      </w:pPr>
      <w:r>
        <w:rPr>
          <w:bCs/>
          <w:sz w:val="22"/>
        </w:rPr>
        <w:t>投标人（盖章）：</w:t>
      </w:r>
      <w:r>
        <w:rPr>
          <w:bCs/>
          <w:sz w:val="22"/>
          <w:u w:val="single"/>
        </w:rPr>
        <w:t xml:space="preserve">                                        </w:t>
      </w:r>
    </w:p>
    <w:p w14:paraId="28281CD8">
      <w:pPr>
        <w:spacing w:line="360" w:lineRule="exact"/>
        <w:ind w:firstLine="110" w:firstLineChars="50"/>
        <w:rPr>
          <w:bCs/>
          <w:sz w:val="22"/>
          <w:u w:val="single"/>
        </w:rPr>
      </w:pPr>
      <w:r>
        <w:rPr>
          <w:bCs/>
          <w:sz w:val="22"/>
        </w:rPr>
        <w:t>法定代表人（签名）：</w:t>
      </w:r>
      <w:r>
        <w:rPr>
          <w:bCs/>
          <w:sz w:val="22"/>
          <w:u w:val="single"/>
        </w:rPr>
        <w:t xml:space="preserve">                                    </w:t>
      </w:r>
    </w:p>
    <w:p w14:paraId="25E763A3">
      <w:pPr>
        <w:spacing w:line="360" w:lineRule="exact"/>
        <w:ind w:firstLine="110" w:firstLineChars="50"/>
        <w:rPr>
          <w:bCs/>
          <w:sz w:val="22"/>
          <w:u w:val="single"/>
        </w:rPr>
      </w:pPr>
      <w:r>
        <w:rPr>
          <w:bCs/>
          <w:sz w:val="22"/>
        </w:rPr>
        <w:t>被授权人（签名）：</w:t>
      </w:r>
      <w:r>
        <w:rPr>
          <w:bCs/>
          <w:sz w:val="22"/>
          <w:u w:val="single"/>
        </w:rPr>
        <w:t xml:space="preserve">                                      </w:t>
      </w:r>
    </w:p>
    <w:p w14:paraId="38E61D89">
      <w:pPr>
        <w:spacing w:line="360" w:lineRule="exact"/>
        <w:rPr>
          <w:bCs/>
          <w:sz w:val="22"/>
        </w:rPr>
      </w:pPr>
    </w:p>
    <w:p w14:paraId="6F07E8E2">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1D7E1752">
      <w:pPr>
        <w:spacing w:line="360" w:lineRule="exact"/>
        <w:jc w:val="left"/>
        <w:rPr>
          <w:bCs/>
          <w:sz w:val="22"/>
        </w:rPr>
      </w:pPr>
      <w:r>
        <w:rPr>
          <w:bCs/>
          <w:sz w:val="22"/>
        </w:rPr>
        <w:t>2.</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095169F4">
      <w:pPr>
        <w:spacing w:line="360" w:lineRule="exact"/>
        <w:jc w:val="left"/>
        <w:rPr>
          <w:bCs/>
          <w:sz w:val="22"/>
        </w:rPr>
      </w:pPr>
      <w:r>
        <w:rPr>
          <w:rFonts w:hint="eastAsia"/>
          <w:bCs/>
          <w:sz w:val="22"/>
        </w:rPr>
        <w:t>3.</w:t>
      </w:r>
      <w:r>
        <w:rPr>
          <w:bCs/>
          <w:sz w:val="22"/>
        </w:rPr>
        <w:t>提供代理人的身份证复印件（附后）。</w:t>
      </w:r>
    </w:p>
    <w:p w14:paraId="135A5BDB">
      <w:pPr>
        <w:pStyle w:val="3"/>
        <w:jc w:val="center"/>
        <w:rPr>
          <w:sz w:val="32"/>
          <w:szCs w:val="32"/>
        </w:rPr>
      </w:pPr>
      <w:r>
        <w:br w:type="page"/>
      </w:r>
      <w:bookmarkStart w:id="52" w:name="_Toc12359"/>
      <w:r>
        <w:rPr>
          <w:sz w:val="32"/>
          <w:szCs w:val="32"/>
        </w:rPr>
        <w:t>附件2、投标文件</w:t>
      </w:r>
      <w:bookmarkEnd w:id="52"/>
    </w:p>
    <w:p w14:paraId="0C82AC77">
      <w:pPr>
        <w:rPr>
          <w:szCs w:val="21"/>
        </w:rPr>
      </w:pPr>
    </w:p>
    <w:p w14:paraId="0C1F04C9">
      <w:pPr>
        <w:rPr>
          <w:szCs w:val="21"/>
        </w:rPr>
      </w:pPr>
    </w:p>
    <w:p w14:paraId="1D07454D">
      <w:pPr>
        <w:pStyle w:val="84"/>
        <w:ind w:left="0" w:leftChars="0" w:firstLine="0" w:firstLineChars="0"/>
      </w:pPr>
    </w:p>
    <w:p w14:paraId="3AFA49E1">
      <w:pPr>
        <w:pStyle w:val="84"/>
        <w:ind w:left="0" w:leftChars="0" w:firstLine="0" w:firstLineChars="0"/>
      </w:pPr>
    </w:p>
    <w:p w14:paraId="2EF10B57">
      <w:pPr>
        <w:pStyle w:val="84"/>
        <w:ind w:left="0" w:leftChars="0" w:firstLine="0" w:firstLineChars="0"/>
      </w:pPr>
    </w:p>
    <w:p w14:paraId="704CD0D5">
      <w:pPr>
        <w:jc w:val="center"/>
        <w:rPr>
          <w:sz w:val="44"/>
          <w:szCs w:val="44"/>
        </w:rPr>
      </w:pPr>
      <w:r>
        <w:rPr>
          <w:rFonts w:hint="eastAsia"/>
          <w:sz w:val="44"/>
          <w:szCs w:val="44"/>
        </w:rPr>
        <w:t>广东省深圳市消防救援支队大亚湾特勤大队2024年备勤楼家具采购项目</w:t>
      </w:r>
    </w:p>
    <w:p w14:paraId="4DF47F7A">
      <w:pPr>
        <w:jc w:val="center"/>
        <w:rPr>
          <w:sz w:val="44"/>
          <w:szCs w:val="44"/>
        </w:rPr>
      </w:pPr>
      <w:r>
        <w:rPr>
          <w:sz w:val="44"/>
          <w:szCs w:val="44"/>
        </w:rPr>
        <w:t>（投标文件）</w:t>
      </w:r>
    </w:p>
    <w:p w14:paraId="37CB4E27">
      <w:pPr>
        <w:jc w:val="center"/>
        <w:rPr>
          <w:sz w:val="44"/>
          <w:szCs w:val="44"/>
        </w:rPr>
      </w:pPr>
    </w:p>
    <w:p w14:paraId="0D81F80D">
      <w:pPr>
        <w:jc w:val="center"/>
        <w:rPr>
          <w:sz w:val="44"/>
          <w:szCs w:val="44"/>
        </w:rPr>
      </w:pPr>
    </w:p>
    <w:p w14:paraId="4E15C1F2">
      <w:pPr>
        <w:jc w:val="center"/>
        <w:rPr>
          <w:sz w:val="44"/>
          <w:szCs w:val="44"/>
        </w:rPr>
      </w:pPr>
    </w:p>
    <w:p w14:paraId="33BE35BC">
      <w:pPr>
        <w:jc w:val="center"/>
        <w:rPr>
          <w:sz w:val="44"/>
          <w:szCs w:val="44"/>
        </w:rPr>
      </w:pPr>
    </w:p>
    <w:p w14:paraId="23203874">
      <w:pPr>
        <w:rPr>
          <w:sz w:val="44"/>
          <w:szCs w:val="44"/>
        </w:rPr>
      </w:pPr>
    </w:p>
    <w:p w14:paraId="262274BD">
      <w:pPr>
        <w:spacing w:line="480" w:lineRule="auto"/>
        <w:ind w:firstLine="1400" w:firstLineChars="500"/>
        <w:rPr>
          <w:sz w:val="28"/>
          <w:szCs w:val="28"/>
          <w:u w:val="single"/>
        </w:rPr>
      </w:pPr>
      <w:r>
        <w:rPr>
          <w:sz w:val="28"/>
          <w:szCs w:val="28"/>
        </w:rPr>
        <w:t>项目编号：________________________</w:t>
      </w:r>
    </w:p>
    <w:p w14:paraId="12E52BCA">
      <w:pPr>
        <w:spacing w:line="480" w:lineRule="auto"/>
        <w:ind w:firstLine="1400" w:firstLineChars="500"/>
        <w:rPr>
          <w:sz w:val="28"/>
          <w:szCs w:val="28"/>
          <w:u w:val="single"/>
        </w:rPr>
      </w:pPr>
      <w:r>
        <w:rPr>
          <w:sz w:val="28"/>
          <w:szCs w:val="28"/>
        </w:rPr>
        <w:t>供应商（盖章）：___________________</w:t>
      </w:r>
    </w:p>
    <w:p w14:paraId="7CCD8F8A">
      <w:pPr>
        <w:spacing w:line="480" w:lineRule="auto"/>
        <w:ind w:firstLine="1400" w:firstLineChars="500"/>
        <w:rPr>
          <w:sz w:val="28"/>
          <w:szCs w:val="28"/>
        </w:rPr>
      </w:pPr>
      <w:r>
        <w:rPr>
          <w:sz w:val="28"/>
          <w:szCs w:val="28"/>
        </w:rPr>
        <w:t>法定代表人或授权委托人签字：____________</w:t>
      </w:r>
    </w:p>
    <w:p w14:paraId="750892F2">
      <w:pPr>
        <w:spacing w:line="480" w:lineRule="auto"/>
        <w:ind w:firstLine="1400" w:firstLineChars="500"/>
        <w:rPr>
          <w:sz w:val="28"/>
          <w:szCs w:val="28"/>
        </w:rPr>
      </w:pPr>
      <w:r>
        <w:rPr>
          <w:sz w:val="28"/>
          <w:szCs w:val="28"/>
        </w:rPr>
        <w:t>投标日期：______年_____月______日</w:t>
      </w:r>
    </w:p>
    <w:p w14:paraId="64FA4AD1">
      <w:pPr>
        <w:tabs>
          <w:tab w:val="clear" w:pos="426"/>
        </w:tabs>
        <w:ind w:left="1275" w:leftChars="607"/>
        <w:rPr>
          <w:sz w:val="28"/>
          <w:szCs w:val="28"/>
        </w:rPr>
      </w:pPr>
    </w:p>
    <w:p w14:paraId="71152C55">
      <w:pPr>
        <w:tabs>
          <w:tab w:val="clear" w:pos="426"/>
        </w:tabs>
      </w:pPr>
    </w:p>
    <w:p w14:paraId="5452B51C">
      <w:pPr>
        <w:adjustRightInd/>
        <w:snapToGrid/>
        <w:spacing w:before="280" w:after="290" w:line="376" w:lineRule="auto"/>
        <w:jc w:val="center"/>
        <w:rPr>
          <w:b/>
          <w:sz w:val="24"/>
        </w:rPr>
      </w:pPr>
      <w:r>
        <w:br w:type="page"/>
      </w:r>
      <w:bookmarkStart w:id="53" w:name="_Toc528170808"/>
      <w:bookmarkStart w:id="54" w:name="_Toc518464368"/>
      <w:bookmarkStart w:id="55" w:name="_Toc528675180"/>
      <w:r>
        <w:rPr>
          <w:rFonts w:hint="eastAsia"/>
          <w:b/>
          <w:sz w:val="24"/>
        </w:rPr>
        <w:t>投标文件目录（目录格式自定）</w:t>
      </w:r>
      <w:bookmarkEnd w:id="53"/>
      <w:bookmarkEnd w:id="54"/>
      <w:bookmarkEnd w:id="55"/>
    </w:p>
    <w:p w14:paraId="03FAD34F">
      <w:pPr>
        <w:tabs>
          <w:tab w:val="clear" w:pos="426"/>
        </w:tabs>
      </w:pPr>
      <w:r>
        <w:rPr>
          <w:rFonts w:hint="eastAsia"/>
        </w:rPr>
        <w:t>按照招标文件的要求编制投标文件相应内容，请标明各部分内容的页码。</w:t>
      </w:r>
    </w:p>
    <w:p w14:paraId="488932E6">
      <w:pPr>
        <w:tabs>
          <w:tab w:val="clear" w:pos="426"/>
        </w:tabs>
      </w:pPr>
    </w:p>
    <w:p w14:paraId="52727A0B">
      <w:pPr>
        <w:tabs>
          <w:tab w:val="clear" w:pos="426"/>
        </w:tabs>
      </w:pPr>
    </w:p>
    <w:p w14:paraId="0CC0E5B2">
      <w:pPr>
        <w:adjustRightInd/>
        <w:snapToGrid/>
        <w:spacing w:before="280" w:after="290" w:line="376" w:lineRule="auto"/>
        <w:jc w:val="center"/>
        <w:rPr>
          <w:b/>
          <w:sz w:val="24"/>
        </w:rPr>
      </w:pPr>
      <w:r>
        <w:br w:type="page"/>
      </w:r>
      <w:bookmarkStart w:id="56" w:name="_Toc528675181"/>
      <w:bookmarkStart w:id="57" w:name="_Toc528170809"/>
      <w:bookmarkStart w:id="58" w:name="_Toc518464369"/>
      <w:r>
        <w:rPr>
          <w:rFonts w:hint="eastAsia"/>
          <w:b/>
          <w:sz w:val="24"/>
        </w:rPr>
        <w:t>评标指引表</w:t>
      </w:r>
      <w:bookmarkEnd w:id="56"/>
      <w:bookmarkEnd w:id="57"/>
      <w:bookmarkEnd w:id="58"/>
    </w:p>
    <w:p w14:paraId="5F388E24">
      <w:pPr>
        <w:tabs>
          <w:tab w:val="clear" w:pos="426"/>
        </w:tabs>
        <w:jc w:val="center"/>
        <w:rPr>
          <w:b/>
        </w:rPr>
      </w:pPr>
      <w:r>
        <w:rPr>
          <w:rFonts w:hint="eastAsia"/>
          <w:b/>
        </w:rPr>
        <w:t>（置于投标文件的首页）</w:t>
      </w:r>
    </w:p>
    <w:p w14:paraId="17B1E8ED">
      <w:pPr>
        <w:tabs>
          <w:tab w:val="clear" w:pos="426"/>
        </w:tabs>
        <w:ind w:firstLine="420" w:firstLineChars="200"/>
      </w:pPr>
      <w:r>
        <w:rPr>
          <w:rFonts w:hint="eastAsia"/>
          <w:szCs w:val="21"/>
        </w:rPr>
        <w:t>为方便参与该项目的评委专家的评标，快速找到评标事项与该项目投标文件所对应的位置，请投标供应商参照下表格式，编制本项目评标指引表。</w:t>
      </w:r>
    </w:p>
    <w:p w14:paraId="1F418A84">
      <w:pPr>
        <w:tabs>
          <w:tab w:val="clear" w:pos="426"/>
        </w:tabs>
        <w:jc w:val="center"/>
        <w:rPr>
          <w:b/>
        </w:rPr>
      </w:pPr>
      <w:r>
        <w:rPr>
          <w:rFonts w:hint="eastAsia"/>
          <w:b/>
        </w:rPr>
        <w:t>项目评标指引表</w:t>
      </w:r>
    </w:p>
    <w:tbl>
      <w:tblPr>
        <w:tblStyle w:val="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4262"/>
        <w:gridCol w:w="2528"/>
        <w:gridCol w:w="1009"/>
        <w:gridCol w:w="973"/>
      </w:tblGrid>
      <w:tr w14:paraId="2D46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tcPr>
          <w:p w14:paraId="306BA932">
            <w:pPr>
              <w:spacing w:line="360" w:lineRule="exact"/>
              <w:jc w:val="center"/>
              <w:rPr>
                <w:rFonts w:hint="eastAsia" w:hAnsi="宋体"/>
                <w:b/>
                <w:sz w:val="24"/>
              </w:rPr>
            </w:pPr>
            <w:r>
              <w:rPr>
                <w:rFonts w:hint="eastAsia" w:hAnsi="宋体"/>
                <w:b/>
                <w:sz w:val="24"/>
              </w:rPr>
              <w:t>一、资格性检查指引</w:t>
            </w:r>
          </w:p>
        </w:tc>
      </w:tr>
      <w:tr w14:paraId="441EA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09CE4F14">
            <w:pPr>
              <w:spacing w:line="360" w:lineRule="exact"/>
              <w:jc w:val="center"/>
              <w:rPr>
                <w:rFonts w:hint="eastAsia" w:hAnsi="宋体"/>
                <w:b/>
                <w:sz w:val="24"/>
              </w:rPr>
            </w:pPr>
            <w:r>
              <w:rPr>
                <w:rFonts w:hint="eastAsia" w:hAnsi="宋体"/>
                <w:b/>
                <w:sz w:val="24"/>
              </w:rPr>
              <w:t>序号</w:t>
            </w:r>
          </w:p>
        </w:tc>
        <w:tc>
          <w:tcPr>
            <w:tcW w:w="2227" w:type="pct"/>
            <w:vAlign w:val="center"/>
          </w:tcPr>
          <w:p w14:paraId="4ABC6E95">
            <w:pPr>
              <w:spacing w:line="360" w:lineRule="exact"/>
              <w:jc w:val="center"/>
              <w:rPr>
                <w:rFonts w:hint="eastAsia" w:hAnsi="宋体"/>
                <w:b/>
                <w:sz w:val="24"/>
              </w:rPr>
            </w:pPr>
            <w:r>
              <w:rPr>
                <w:rFonts w:hint="eastAsia" w:hAnsi="宋体"/>
                <w:b/>
                <w:sz w:val="24"/>
              </w:rPr>
              <w:t>资格性检查项目</w:t>
            </w:r>
          </w:p>
        </w:tc>
        <w:tc>
          <w:tcPr>
            <w:tcW w:w="1847" w:type="pct"/>
            <w:gridSpan w:val="2"/>
            <w:vAlign w:val="center"/>
          </w:tcPr>
          <w:p w14:paraId="39EB2C6F">
            <w:pPr>
              <w:spacing w:line="360" w:lineRule="exact"/>
              <w:jc w:val="center"/>
              <w:rPr>
                <w:rFonts w:hint="eastAsia" w:hAnsi="宋体"/>
                <w:b/>
                <w:sz w:val="24"/>
              </w:rPr>
            </w:pPr>
            <w:r>
              <w:rPr>
                <w:rFonts w:hint="eastAsia" w:hAnsi="宋体"/>
                <w:b/>
                <w:sz w:val="24"/>
              </w:rPr>
              <w:t>证明文件</w:t>
            </w:r>
          </w:p>
        </w:tc>
        <w:tc>
          <w:tcPr>
            <w:tcW w:w="506" w:type="pct"/>
            <w:vAlign w:val="center"/>
          </w:tcPr>
          <w:p w14:paraId="0E148428">
            <w:pPr>
              <w:spacing w:line="360" w:lineRule="exact"/>
              <w:jc w:val="center"/>
              <w:rPr>
                <w:rFonts w:hint="eastAsia" w:hAnsi="宋体"/>
                <w:b/>
                <w:sz w:val="24"/>
              </w:rPr>
            </w:pPr>
            <w:r>
              <w:rPr>
                <w:rFonts w:hint="eastAsia" w:hAnsi="宋体"/>
                <w:b/>
                <w:sz w:val="24"/>
              </w:rPr>
              <w:t>起止页码</w:t>
            </w:r>
          </w:p>
        </w:tc>
      </w:tr>
      <w:tr w14:paraId="003EF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restart"/>
            <w:vAlign w:val="center"/>
          </w:tcPr>
          <w:p w14:paraId="65F6165B">
            <w:pPr>
              <w:spacing w:line="360" w:lineRule="exact"/>
              <w:jc w:val="center"/>
              <w:rPr>
                <w:rFonts w:hint="eastAsia" w:hAnsi="宋体"/>
                <w:sz w:val="24"/>
              </w:rPr>
            </w:pPr>
            <w:r>
              <w:rPr>
                <w:rFonts w:hint="eastAsia" w:hAnsi="宋体"/>
                <w:sz w:val="24"/>
              </w:rPr>
              <w:t>1</w:t>
            </w:r>
          </w:p>
        </w:tc>
        <w:tc>
          <w:tcPr>
            <w:tcW w:w="4262" w:type="dxa"/>
            <w:vMerge w:val="restart"/>
            <w:vAlign w:val="center"/>
          </w:tcPr>
          <w:p w14:paraId="2CC484DD">
            <w:pPr>
              <w:spacing w:line="360" w:lineRule="exact"/>
              <w:rPr>
                <w:rFonts w:hint="eastAsia" w:hAnsi="宋体"/>
                <w:b/>
                <w:sz w:val="24"/>
              </w:rPr>
            </w:pPr>
            <w:r>
              <w:rPr>
                <w:rFonts w:hint="eastAsia" w:hAnsi="宋体"/>
                <w:sz w:val="24"/>
              </w:rPr>
              <w:t>不具备采购文件所列的资格要求，或未提交相应的资格证明资料（详见采购公告投标人资质要求）</w:t>
            </w:r>
          </w:p>
        </w:tc>
        <w:tc>
          <w:tcPr>
            <w:tcW w:w="1847" w:type="pct"/>
            <w:gridSpan w:val="2"/>
            <w:vAlign w:val="center"/>
          </w:tcPr>
          <w:p w14:paraId="0A29EA08">
            <w:pPr>
              <w:spacing w:line="360" w:lineRule="exact"/>
              <w:jc w:val="left"/>
              <w:rPr>
                <w:rFonts w:hint="eastAsia" w:hAnsi="宋体"/>
                <w:sz w:val="24"/>
              </w:rPr>
            </w:pPr>
            <w:r>
              <w:rPr>
                <w:rFonts w:hint="eastAsia" w:hAnsi="宋体"/>
                <w:sz w:val="24"/>
              </w:rPr>
              <w:t>营业执照</w:t>
            </w:r>
          </w:p>
        </w:tc>
        <w:tc>
          <w:tcPr>
            <w:tcW w:w="506" w:type="pct"/>
            <w:vAlign w:val="center"/>
          </w:tcPr>
          <w:p w14:paraId="0503DCEC">
            <w:pPr>
              <w:spacing w:line="360" w:lineRule="exact"/>
              <w:jc w:val="center"/>
              <w:rPr>
                <w:rFonts w:hint="eastAsia" w:hAnsi="宋体"/>
                <w:b/>
                <w:sz w:val="24"/>
              </w:rPr>
            </w:pPr>
          </w:p>
        </w:tc>
      </w:tr>
      <w:tr w14:paraId="408E7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vAlign w:val="center"/>
          </w:tcPr>
          <w:p w14:paraId="0B7F128D">
            <w:pPr>
              <w:spacing w:line="360" w:lineRule="exact"/>
              <w:jc w:val="center"/>
              <w:rPr>
                <w:rFonts w:hint="eastAsia" w:hAnsi="宋体"/>
                <w:sz w:val="24"/>
              </w:rPr>
            </w:pPr>
          </w:p>
        </w:tc>
        <w:tc>
          <w:tcPr>
            <w:tcW w:w="2227" w:type="pct"/>
            <w:vMerge w:val="continue"/>
            <w:vAlign w:val="center"/>
          </w:tcPr>
          <w:p w14:paraId="24F7667F">
            <w:pPr>
              <w:spacing w:line="360" w:lineRule="exact"/>
              <w:jc w:val="left"/>
              <w:rPr>
                <w:rFonts w:hint="eastAsia" w:hAnsi="宋体"/>
                <w:sz w:val="24"/>
              </w:rPr>
            </w:pPr>
          </w:p>
        </w:tc>
        <w:tc>
          <w:tcPr>
            <w:tcW w:w="1847" w:type="pct"/>
            <w:gridSpan w:val="2"/>
            <w:vAlign w:val="center"/>
          </w:tcPr>
          <w:p w14:paraId="4223CBA0">
            <w:pPr>
              <w:spacing w:line="360" w:lineRule="exact"/>
              <w:jc w:val="left"/>
              <w:rPr>
                <w:rFonts w:hint="eastAsia" w:hAnsi="宋体"/>
                <w:sz w:val="24"/>
              </w:rPr>
            </w:pPr>
            <w:r>
              <w:rPr>
                <w:rFonts w:hint="eastAsia" w:hAnsi="宋体"/>
                <w:sz w:val="24"/>
              </w:rPr>
              <w:t>……</w:t>
            </w:r>
          </w:p>
        </w:tc>
        <w:tc>
          <w:tcPr>
            <w:tcW w:w="506" w:type="pct"/>
            <w:vAlign w:val="center"/>
          </w:tcPr>
          <w:p w14:paraId="72479E3D">
            <w:pPr>
              <w:spacing w:line="360" w:lineRule="exact"/>
              <w:jc w:val="center"/>
              <w:rPr>
                <w:rFonts w:hint="eastAsia" w:hAnsi="宋体"/>
                <w:b/>
                <w:sz w:val="24"/>
              </w:rPr>
            </w:pPr>
          </w:p>
        </w:tc>
      </w:tr>
      <w:tr w14:paraId="6F4D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vAlign w:val="center"/>
          </w:tcPr>
          <w:p w14:paraId="35341C91">
            <w:pPr>
              <w:spacing w:line="360" w:lineRule="exact"/>
              <w:jc w:val="center"/>
              <w:rPr>
                <w:rFonts w:hint="eastAsia" w:hAnsi="宋体"/>
                <w:sz w:val="24"/>
              </w:rPr>
            </w:pPr>
          </w:p>
        </w:tc>
        <w:tc>
          <w:tcPr>
            <w:tcW w:w="2227" w:type="pct"/>
            <w:vMerge w:val="continue"/>
            <w:vAlign w:val="center"/>
          </w:tcPr>
          <w:p w14:paraId="2B38C3BD">
            <w:pPr>
              <w:spacing w:line="360" w:lineRule="exact"/>
              <w:jc w:val="left"/>
              <w:rPr>
                <w:rFonts w:hint="eastAsia" w:hAnsi="宋体"/>
                <w:sz w:val="24"/>
              </w:rPr>
            </w:pPr>
          </w:p>
        </w:tc>
        <w:tc>
          <w:tcPr>
            <w:tcW w:w="1847" w:type="pct"/>
            <w:gridSpan w:val="2"/>
            <w:vAlign w:val="center"/>
          </w:tcPr>
          <w:p w14:paraId="3BB9F411">
            <w:pPr>
              <w:spacing w:line="360" w:lineRule="exact"/>
              <w:jc w:val="left"/>
              <w:rPr>
                <w:rFonts w:hint="eastAsia" w:hAnsi="宋体"/>
                <w:sz w:val="24"/>
              </w:rPr>
            </w:pPr>
            <w:r>
              <w:rPr>
                <w:rFonts w:hint="eastAsia" w:hAnsi="宋体"/>
                <w:sz w:val="24"/>
              </w:rPr>
              <w:t>……</w:t>
            </w:r>
          </w:p>
        </w:tc>
        <w:tc>
          <w:tcPr>
            <w:tcW w:w="506" w:type="pct"/>
            <w:vAlign w:val="center"/>
          </w:tcPr>
          <w:p w14:paraId="67D4F1D0">
            <w:pPr>
              <w:spacing w:line="360" w:lineRule="exact"/>
              <w:jc w:val="center"/>
              <w:rPr>
                <w:rFonts w:hint="eastAsia" w:hAnsi="宋体"/>
                <w:b/>
                <w:sz w:val="24"/>
              </w:rPr>
            </w:pPr>
          </w:p>
        </w:tc>
      </w:tr>
      <w:tr w14:paraId="07427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Align w:val="center"/>
          </w:tcPr>
          <w:p w14:paraId="0EA2C355">
            <w:pPr>
              <w:spacing w:line="360" w:lineRule="exact"/>
              <w:jc w:val="center"/>
              <w:rPr>
                <w:rFonts w:hint="eastAsia" w:hAnsi="宋体"/>
                <w:sz w:val="24"/>
              </w:rPr>
            </w:pPr>
            <w:r>
              <w:rPr>
                <w:rFonts w:hint="eastAsia" w:hAnsi="宋体"/>
                <w:sz w:val="24"/>
              </w:rPr>
              <w:t>2</w:t>
            </w:r>
          </w:p>
        </w:tc>
        <w:tc>
          <w:tcPr>
            <w:tcW w:w="4262" w:type="dxa"/>
            <w:vAlign w:val="center"/>
          </w:tcPr>
          <w:p w14:paraId="152C5C56">
            <w:pPr>
              <w:spacing w:line="360" w:lineRule="exact"/>
              <w:rPr>
                <w:rFonts w:hint="eastAsia" w:hAnsi="宋体"/>
                <w:sz w:val="24"/>
              </w:rPr>
            </w:pPr>
            <w:r>
              <w:rPr>
                <w:rFonts w:hint="eastAsia" w:hAnsi="宋体"/>
                <w:sz w:val="24"/>
              </w:rPr>
              <w:t>不具备国家有关法律规定的有关资质的</w:t>
            </w:r>
          </w:p>
        </w:tc>
        <w:tc>
          <w:tcPr>
            <w:tcW w:w="1847" w:type="pct"/>
            <w:gridSpan w:val="2"/>
            <w:vAlign w:val="center"/>
          </w:tcPr>
          <w:p w14:paraId="61DF1B84">
            <w:pPr>
              <w:spacing w:line="360" w:lineRule="exact"/>
              <w:jc w:val="left"/>
              <w:rPr>
                <w:rFonts w:hint="eastAsia" w:hAnsi="宋体"/>
                <w:sz w:val="24"/>
              </w:rPr>
            </w:pPr>
            <w:r>
              <w:rPr>
                <w:rFonts w:hint="eastAsia" w:hAnsi="宋体"/>
                <w:sz w:val="24"/>
              </w:rPr>
              <w:t>无需提供证明材料，由需求单位核查。</w:t>
            </w:r>
          </w:p>
        </w:tc>
        <w:tc>
          <w:tcPr>
            <w:tcW w:w="506" w:type="pct"/>
            <w:vAlign w:val="center"/>
          </w:tcPr>
          <w:p w14:paraId="472F93B5">
            <w:pPr>
              <w:spacing w:line="360" w:lineRule="exact"/>
              <w:jc w:val="center"/>
              <w:rPr>
                <w:rFonts w:hint="eastAsia" w:hAnsi="宋体"/>
                <w:b/>
                <w:sz w:val="24"/>
              </w:rPr>
            </w:pPr>
          </w:p>
        </w:tc>
      </w:tr>
      <w:tr w14:paraId="4674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tcPr>
          <w:p w14:paraId="1AFBBC50">
            <w:pPr>
              <w:spacing w:line="360" w:lineRule="exact"/>
              <w:jc w:val="center"/>
              <w:rPr>
                <w:rFonts w:hint="eastAsia" w:hAnsi="宋体"/>
                <w:b/>
                <w:sz w:val="24"/>
              </w:rPr>
            </w:pPr>
            <w:r>
              <w:rPr>
                <w:rFonts w:hint="eastAsia" w:hAnsi="宋体"/>
                <w:b/>
                <w:sz w:val="24"/>
              </w:rPr>
              <w:t>二、符合性检查指引</w:t>
            </w:r>
          </w:p>
        </w:tc>
      </w:tr>
      <w:tr w14:paraId="5FABD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tcPr>
          <w:p w14:paraId="6C191B61">
            <w:pPr>
              <w:spacing w:line="360" w:lineRule="exact"/>
              <w:jc w:val="center"/>
              <w:rPr>
                <w:rFonts w:hint="eastAsia" w:hAnsi="宋体"/>
                <w:b/>
                <w:sz w:val="24"/>
              </w:rPr>
            </w:pPr>
            <w:r>
              <w:rPr>
                <w:rFonts w:hint="eastAsia" w:hAnsi="宋体"/>
                <w:b/>
                <w:sz w:val="24"/>
              </w:rPr>
              <w:t>序号</w:t>
            </w:r>
          </w:p>
        </w:tc>
        <w:tc>
          <w:tcPr>
            <w:tcW w:w="3548" w:type="pct"/>
            <w:gridSpan w:val="2"/>
            <w:vAlign w:val="center"/>
          </w:tcPr>
          <w:p w14:paraId="1A3C3F58">
            <w:pPr>
              <w:spacing w:line="360" w:lineRule="exact"/>
              <w:jc w:val="center"/>
              <w:rPr>
                <w:rFonts w:hint="eastAsia" w:hAnsi="宋体"/>
                <w:b/>
                <w:sz w:val="24"/>
              </w:rPr>
            </w:pPr>
            <w:r>
              <w:rPr>
                <w:rFonts w:hint="eastAsia" w:hAnsi="宋体"/>
                <w:b/>
                <w:sz w:val="24"/>
              </w:rPr>
              <w:t>符合性检查项目</w:t>
            </w:r>
          </w:p>
        </w:tc>
        <w:tc>
          <w:tcPr>
            <w:tcW w:w="1033" w:type="pct"/>
            <w:gridSpan w:val="2"/>
            <w:vAlign w:val="center"/>
          </w:tcPr>
          <w:p w14:paraId="1456C40D">
            <w:pPr>
              <w:spacing w:line="360" w:lineRule="exact"/>
              <w:jc w:val="center"/>
              <w:rPr>
                <w:rFonts w:hint="eastAsia" w:hAnsi="宋体"/>
                <w:b/>
                <w:sz w:val="24"/>
              </w:rPr>
            </w:pPr>
            <w:r>
              <w:rPr>
                <w:rFonts w:hint="eastAsia" w:hAnsi="宋体"/>
                <w:b/>
                <w:sz w:val="24"/>
              </w:rPr>
              <w:t>参评人自查情况</w:t>
            </w:r>
          </w:p>
        </w:tc>
      </w:tr>
      <w:tr w14:paraId="32210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5EB949E1">
            <w:pPr>
              <w:spacing w:line="360" w:lineRule="exact"/>
              <w:jc w:val="center"/>
              <w:rPr>
                <w:rFonts w:hint="eastAsia" w:hAnsi="宋体"/>
                <w:sz w:val="24"/>
              </w:rPr>
            </w:pPr>
            <w:r>
              <w:rPr>
                <w:rFonts w:hint="eastAsia" w:hAnsi="宋体"/>
                <w:sz w:val="24"/>
              </w:rPr>
              <w:t>1</w:t>
            </w:r>
          </w:p>
        </w:tc>
        <w:tc>
          <w:tcPr>
            <w:tcW w:w="6790" w:type="dxa"/>
            <w:gridSpan w:val="2"/>
            <w:vAlign w:val="center"/>
          </w:tcPr>
          <w:p w14:paraId="05542558">
            <w:pPr>
              <w:spacing w:line="360" w:lineRule="exact"/>
              <w:jc w:val="left"/>
              <w:rPr>
                <w:rFonts w:hint="eastAsia" w:hAnsi="宋体"/>
                <w:sz w:val="24"/>
              </w:rPr>
            </w:pPr>
            <w:r>
              <w:rPr>
                <w:rFonts w:hint="eastAsia" w:hAnsi="宋体"/>
                <w:sz w:val="24"/>
              </w:rPr>
              <w:t>将一个包中的内容拆开投标</w:t>
            </w:r>
          </w:p>
        </w:tc>
        <w:tc>
          <w:tcPr>
            <w:tcW w:w="1033" w:type="pct"/>
            <w:gridSpan w:val="2"/>
            <w:vAlign w:val="center"/>
          </w:tcPr>
          <w:p w14:paraId="082943F7">
            <w:pPr>
              <w:spacing w:line="360" w:lineRule="exact"/>
              <w:jc w:val="center"/>
              <w:rPr>
                <w:rFonts w:hint="eastAsia" w:hAnsi="宋体"/>
                <w:sz w:val="24"/>
              </w:rPr>
            </w:pPr>
            <w:r>
              <w:rPr>
                <w:rFonts w:hint="eastAsia" w:hAnsi="宋体"/>
                <w:sz w:val="24"/>
              </w:rPr>
              <w:t>不存在（示例）</w:t>
            </w:r>
          </w:p>
        </w:tc>
      </w:tr>
      <w:tr w14:paraId="653D5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382B0470">
            <w:pPr>
              <w:spacing w:line="360" w:lineRule="exact"/>
              <w:jc w:val="center"/>
              <w:rPr>
                <w:rFonts w:hint="eastAsia" w:hAnsi="宋体"/>
                <w:sz w:val="24"/>
              </w:rPr>
            </w:pPr>
            <w:r>
              <w:rPr>
                <w:rFonts w:hint="eastAsia" w:hAnsi="宋体"/>
                <w:sz w:val="24"/>
              </w:rPr>
              <w:t>2</w:t>
            </w:r>
          </w:p>
        </w:tc>
        <w:tc>
          <w:tcPr>
            <w:tcW w:w="6790" w:type="dxa"/>
            <w:gridSpan w:val="2"/>
            <w:vAlign w:val="center"/>
          </w:tcPr>
          <w:p w14:paraId="65560537">
            <w:pPr>
              <w:spacing w:line="360" w:lineRule="exact"/>
              <w:jc w:val="left"/>
              <w:rPr>
                <w:rFonts w:hint="eastAsia" w:hAnsi="宋体"/>
                <w:sz w:val="24"/>
              </w:rPr>
            </w:pPr>
            <w:r>
              <w:rPr>
                <w:rFonts w:hint="eastAsia" w:hAnsi="宋体"/>
                <w:sz w:val="24"/>
              </w:rPr>
              <w:t>采购文件未规定允许有替代方案时，对同一货物投标时，同时提供两套或两套以上的投标方案</w:t>
            </w:r>
          </w:p>
        </w:tc>
        <w:tc>
          <w:tcPr>
            <w:tcW w:w="1033" w:type="pct"/>
            <w:gridSpan w:val="2"/>
            <w:vAlign w:val="center"/>
          </w:tcPr>
          <w:p w14:paraId="30130897">
            <w:pPr>
              <w:spacing w:line="360" w:lineRule="exact"/>
              <w:jc w:val="center"/>
              <w:rPr>
                <w:rFonts w:hint="eastAsia" w:hAnsi="宋体"/>
                <w:sz w:val="24"/>
              </w:rPr>
            </w:pPr>
            <w:r>
              <w:rPr>
                <w:rFonts w:hint="eastAsia" w:hAnsi="宋体"/>
                <w:sz w:val="24"/>
              </w:rPr>
              <w:t>……</w:t>
            </w:r>
          </w:p>
        </w:tc>
      </w:tr>
      <w:tr w14:paraId="3BF28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7DDDC565">
            <w:pPr>
              <w:spacing w:line="360" w:lineRule="exact"/>
              <w:jc w:val="center"/>
              <w:rPr>
                <w:rFonts w:hint="eastAsia" w:hAnsi="宋体"/>
                <w:sz w:val="24"/>
              </w:rPr>
            </w:pPr>
            <w:r>
              <w:rPr>
                <w:rFonts w:hint="eastAsia" w:hAnsi="宋体"/>
                <w:sz w:val="24"/>
              </w:rPr>
              <w:t>3</w:t>
            </w:r>
          </w:p>
        </w:tc>
        <w:tc>
          <w:tcPr>
            <w:tcW w:w="6790" w:type="dxa"/>
            <w:gridSpan w:val="2"/>
            <w:vAlign w:val="center"/>
          </w:tcPr>
          <w:p w14:paraId="3FEAADAD">
            <w:pPr>
              <w:spacing w:line="360" w:lineRule="exact"/>
              <w:jc w:val="left"/>
              <w:rPr>
                <w:rFonts w:hint="eastAsia" w:hAnsi="宋体"/>
                <w:sz w:val="24"/>
              </w:rPr>
            </w:pPr>
            <w:r>
              <w:rPr>
                <w:rFonts w:hint="eastAsia" w:hAnsi="宋体"/>
                <w:sz w:val="24"/>
              </w:rPr>
              <w:t>投标总价或分项报价高于财政预算限额的</w:t>
            </w:r>
          </w:p>
        </w:tc>
        <w:tc>
          <w:tcPr>
            <w:tcW w:w="1033" w:type="pct"/>
            <w:gridSpan w:val="2"/>
            <w:vAlign w:val="center"/>
          </w:tcPr>
          <w:p w14:paraId="29159499">
            <w:pPr>
              <w:spacing w:line="360" w:lineRule="exact"/>
              <w:jc w:val="center"/>
              <w:rPr>
                <w:rFonts w:hint="eastAsia" w:hAnsi="宋体"/>
                <w:sz w:val="24"/>
              </w:rPr>
            </w:pPr>
            <w:r>
              <w:rPr>
                <w:rFonts w:hint="eastAsia" w:hAnsi="宋体"/>
                <w:sz w:val="24"/>
              </w:rPr>
              <w:t>……</w:t>
            </w:r>
          </w:p>
        </w:tc>
      </w:tr>
      <w:tr w14:paraId="26275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624EA63E">
            <w:pPr>
              <w:spacing w:line="360" w:lineRule="exact"/>
              <w:jc w:val="center"/>
              <w:rPr>
                <w:rFonts w:hint="eastAsia" w:hAnsi="宋体"/>
                <w:sz w:val="24"/>
              </w:rPr>
            </w:pPr>
            <w:r>
              <w:rPr>
                <w:rFonts w:hint="eastAsia" w:hAnsi="宋体"/>
                <w:sz w:val="24"/>
              </w:rPr>
              <w:t>4</w:t>
            </w:r>
          </w:p>
        </w:tc>
        <w:tc>
          <w:tcPr>
            <w:tcW w:w="6790" w:type="dxa"/>
            <w:gridSpan w:val="2"/>
            <w:vAlign w:val="center"/>
          </w:tcPr>
          <w:p w14:paraId="7E4C7C06">
            <w:pPr>
              <w:spacing w:line="360" w:lineRule="exact"/>
              <w:jc w:val="left"/>
              <w:rPr>
                <w:rFonts w:hint="eastAsia" w:hAnsi="宋体"/>
                <w:sz w:val="24"/>
              </w:rPr>
            </w:pPr>
            <w:r>
              <w:rPr>
                <w:rFonts w:hint="eastAsia" w:hAnsi="宋体"/>
                <w:sz w:val="24"/>
              </w:rPr>
              <w:t>同一项目出现两个或以上报价</w:t>
            </w:r>
          </w:p>
        </w:tc>
        <w:tc>
          <w:tcPr>
            <w:tcW w:w="1033" w:type="pct"/>
            <w:gridSpan w:val="2"/>
            <w:vAlign w:val="center"/>
          </w:tcPr>
          <w:p w14:paraId="573EFAC6">
            <w:pPr>
              <w:spacing w:line="360" w:lineRule="exact"/>
              <w:jc w:val="center"/>
              <w:rPr>
                <w:rFonts w:hint="eastAsia" w:hAnsi="宋体"/>
                <w:b/>
                <w:sz w:val="24"/>
              </w:rPr>
            </w:pPr>
            <w:r>
              <w:rPr>
                <w:rFonts w:hint="eastAsia" w:hAnsi="宋体"/>
                <w:sz w:val="24"/>
              </w:rPr>
              <w:t>……</w:t>
            </w:r>
          </w:p>
        </w:tc>
      </w:tr>
      <w:tr w14:paraId="309C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4F226972">
            <w:pPr>
              <w:spacing w:line="360" w:lineRule="exact"/>
              <w:jc w:val="center"/>
              <w:rPr>
                <w:rFonts w:hint="eastAsia" w:hAnsi="宋体"/>
                <w:sz w:val="24"/>
              </w:rPr>
            </w:pPr>
            <w:r>
              <w:rPr>
                <w:rFonts w:hint="eastAsia" w:hAnsi="宋体"/>
                <w:sz w:val="24"/>
              </w:rPr>
              <w:t>5</w:t>
            </w:r>
          </w:p>
        </w:tc>
        <w:tc>
          <w:tcPr>
            <w:tcW w:w="6790" w:type="dxa"/>
            <w:gridSpan w:val="2"/>
            <w:vAlign w:val="center"/>
          </w:tcPr>
          <w:p w14:paraId="7634081D">
            <w:pPr>
              <w:spacing w:line="360" w:lineRule="exact"/>
              <w:jc w:val="left"/>
              <w:rPr>
                <w:rFonts w:hint="eastAsia" w:hAnsi="宋体"/>
                <w:sz w:val="24"/>
              </w:rPr>
            </w:pPr>
            <w:r>
              <w:rPr>
                <w:rFonts w:hint="eastAsia" w:hAnsi="宋体"/>
                <w:sz w:val="24"/>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c>
          <w:tcPr>
            <w:tcW w:w="1033" w:type="pct"/>
            <w:gridSpan w:val="2"/>
            <w:vAlign w:val="center"/>
          </w:tcPr>
          <w:p w14:paraId="4528283C">
            <w:pPr>
              <w:spacing w:line="360" w:lineRule="exact"/>
              <w:jc w:val="center"/>
              <w:rPr>
                <w:rFonts w:hint="eastAsia" w:hAnsi="宋体"/>
                <w:b/>
                <w:sz w:val="24"/>
              </w:rPr>
            </w:pPr>
          </w:p>
        </w:tc>
      </w:tr>
      <w:tr w14:paraId="76041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7C4CA805">
            <w:pPr>
              <w:spacing w:line="360" w:lineRule="exact"/>
              <w:jc w:val="center"/>
              <w:rPr>
                <w:rFonts w:hint="eastAsia" w:hAnsi="宋体"/>
                <w:sz w:val="24"/>
              </w:rPr>
            </w:pPr>
            <w:r>
              <w:rPr>
                <w:rFonts w:hint="eastAsia" w:hAnsi="宋体"/>
                <w:sz w:val="24"/>
              </w:rPr>
              <w:t>6</w:t>
            </w:r>
          </w:p>
        </w:tc>
        <w:tc>
          <w:tcPr>
            <w:tcW w:w="6790" w:type="dxa"/>
            <w:gridSpan w:val="2"/>
            <w:vAlign w:val="center"/>
          </w:tcPr>
          <w:p w14:paraId="23D6B4FD">
            <w:pPr>
              <w:spacing w:line="360" w:lineRule="exact"/>
              <w:jc w:val="left"/>
              <w:rPr>
                <w:rFonts w:hint="eastAsia" w:hAnsi="宋体"/>
                <w:sz w:val="24"/>
              </w:rPr>
            </w:pPr>
            <w:r>
              <w:rPr>
                <w:rFonts w:hint="eastAsia" w:hAnsi="宋体"/>
                <w:sz w:val="24"/>
              </w:rPr>
              <w:t>投标报价有严重缺漏项目</w:t>
            </w:r>
          </w:p>
        </w:tc>
        <w:tc>
          <w:tcPr>
            <w:tcW w:w="1033" w:type="pct"/>
            <w:gridSpan w:val="2"/>
            <w:vAlign w:val="center"/>
          </w:tcPr>
          <w:p w14:paraId="7EEA1A69">
            <w:pPr>
              <w:spacing w:line="360" w:lineRule="exact"/>
              <w:jc w:val="center"/>
              <w:rPr>
                <w:rFonts w:hint="eastAsia" w:hAnsi="宋体"/>
                <w:b/>
                <w:sz w:val="24"/>
              </w:rPr>
            </w:pPr>
          </w:p>
        </w:tc>
      </w:tr>
      <w:tr w14:paraId="2CFFA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1650E217">
            <w:pPr>
              <w:spacing w:line="360" w:lineRule="exact"/>
              <w:jc w:val="center"/>
              <w:rPr>
                <w:rFonts w:hint="eastAsia" w:hAnsi="宋体"/>
                <w:sz w:val="24"/>
              </w:rPr>
            </w:pPr>
            <w:r>
              <w:rPr>
                <w:rFonts w:hint="eastAsia" w:hAnsi="宋体"/>
                <w:sz w:val="24"/>
              </w:rPr>
              <w:t>7</w:t>
            </w:r>
          </w:p>
        </w:tc>
        <w:tc>
          <w:tcPr>
            <w:tcW w:w="6790" w:type="dxa"/>
            <w:gridSpan w:val="2"/>
            <w:vAlign w:val="center"/>
          </w:tcPr>
          <w:p w14:paraId="37FE3E55">
            <w:pPr>
              <w:spacing w:line="360" w:lineRule="exact"/>
              <w:jc w:val="left"/>
              <w:rPr>
                <w:rFonts w:hint="eastAsia" w:hAnsi="宋体"/>
                <w:sz w:val="24"/>
              </w:rPr>
            </w:pPr>
            <w:r>
              <w:rPr>
                <w:rFonts w:hint="eastAsia" w:hAnsi="宋体"/>
                <w:sz w:val="24"/>
              </w:rPr>
              <w:t>投标文件载明的服务期低于采购文件规定的期限</w:t>
            </w:r>
          </w:p>
        </w:tc>
        <w:tc>
          <w:tcPr>
            <w:tcW w:w="1033" w:type="pct"/>
            <w:gridSpan w:val="2"/>
            <w:vAlign w:val="center"/>
          </w:tcPr>
          <w:p w14:paraId="2FAA22A3">
            <w:pPr>
              <w:spacing w:line="360" w:lineRule="exact"/>
              <w:jc w:val="center"/>
              <w:rPr>
                <w:rFonts w:hint="eastAsia" w:hAnsi="宋体"/>
                <w:sz w:val="24"/>
              </w:rPr>
            </w:pPr>
          </w:p>
        </w:tc>
      </w:tr>
      <w:tr w14:paraId="7F8E5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669B9EB4">
            <w:pPr>
              <w:spacing w:line="360" w:lineRule="exact"/>
              <w:jc w:val="center"/>
              <w:rPr>
                <w:rFonts w:hint="eastAsia" w:hAnsi="宋体"/>
                <w:sz w:val="24"/>
              </w:rPr>
            </w:pPr>
            <w:r>
              <w:rPr>
                <w:rFonts w:hint="eastAsia" w:hAnsi="宋体"/>
                <w:sz w:val="24"/>
              </w:rPr>
              <w:t>8</w:t>
            </w:r>
          </w:p>
        </w:tc>
        <w:tc>
          <w:tcPr>
            <w:tcW w:w="6790" w:type="dxa"/>
            <w:gridSpan w:val="2"/>
            <w:vAlign w:val="center"/>
          </w:tcPr>
          <w:p w14:paraId="7B244B36">
            <w:pPr>
              <w:spacing w:line="360" w:lineRule="exact"/>
              <w:jc w:val="left"/>
              <w:rPr>
                <w:rFonts w:hint="eastAsia" w:hAnsi="宋体"/>
                <w:sz w:val="24"/>
              </w:rPr>
            </w:pPr>
            <w:r>
              <w:rPr>
                <w:rFonts w:hint="eastAsia" w:hAnsi="宋体"/>
                <w:sz w:val="24"/>
              </w:rPr>
              <w:t>投标文件载明的免费保修期低于采购文件规定的期限</w:t>
            </w:r>
          </w:p>
        </w:tc>
        <w:tc>
          <w:tcPr>
            <w:tcW w:w="1033" w:type="pct"/>
            <w:gridSpan w:val="2"/>
            <w:vAlign w:val="center"/>
          </w:tcPr>
          <w:p w14:paraId="3A663F11">
            <w:pPr>
              <w:spacing w:line="360" w:lineRule="exact"/>
              <w:jc w:val="center"/>
              <w:rPr>
                <w:rFonts w:hint="eastAsia" w:hAnsi="宋体"/>
                <w:b/>
                <w:sz w:val="24"/>
              </w:rPr>
            </w:pPr>
          </w:p>
        </w:tc>
      </w:tr>
      <w:tr w14:paraId="2DC63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11CA6229">
            <w:pPr>
              <w:spacing w:line="360" w:lineRule="exact"/>
              <w:jc w:val="center"/>
              <w:rPr>
                <w:rFonts w:hint="eastAsia" w:hAnsi="宋体"/>
                <w:sz w:val="24"/>
              </w:rPr>
            </w:pPr>
            <w:r>
              <w:rPr>
                <w:rFonts w:hint="eastAsia" w:hAnsi="宋体"/>
                <w:sz w:val="24"/>
              </w:rPr>
              <w:t>9</w:t>
            </w:r>
          </w:p>
        </w:tc>
        <w:tc>
          <w:tcPr>
            <w:tcW w:w="6790" w:type="dxa"/>
            <w:gridSpan w:val="2"/>
            <w:vAlign w:val="center"/>
          </w:tcPr>
          <w:p w14:paraId="1C24815C">
            <w:pPr>
              <w:spacing w:line="360" w:lineRule="exact"/>
              <w:jc w:val="left"/>
              <w:rPr>
                <w:rFonts w:hint="eastAsia" w:hAnsi="宋体"/>
                <w:sz w:val="24"/>
              </w:rPr>
            </w:pPr>
            <w:r>
              <w:rPr>
                <w:rFonts w:hint="eastAsia" w:hAnsi="宋体"/>
                <w:sz w:val="24"/>
              </w:rPr>
              <w:t>所投产品、工程、服务在质量、技术、方案等方面没有实质性满足采购文件要求</w:t>
            </w:r>
          </w:p>
        </w:tc>
        <w:tc>
          <w:tcPr>
            <w:tcW w:w="1033" w:type="pct"/>
            <w:gridSpan w:val="2"/>
            <w:vAlign w:val="center"/>
          </w:tcPr>
          <w:p w14:paraId="3F835E52">
            <w:pPr>
              <w:spacing w:line="360" w:lineRule="exact"/>
              <w:jc w:val="center"/>
              <w:rPr>
                <w:rFonts w:hint="eastAsia" w:hAnsi="宋体"/>
                <w:b/>
                <w:sz w:val="24"/>
              </w:rPr>
            </w:pPr>
          </w:p>
        </w:tc>
      </w:tr>
      <w:tr w14:paraId="4FE08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Align w:val="center"/>
          </w:tcPr>
          <w:p w14:paraId="28295803">
            <w:pPr>
              <w:spacing w:line="360" w:lineRule="exact"/>
              <w:jc w:val="center"/>
              <w:rPr>
                <w:rFonts w:hint="eastAsia" w:hAnsi="宋体"/>
                <w:sz w:val="24"/>
              </w:rPr>
            </w:pPr>
            <w:r>
              <w:rPr>
                <w:rFonts w:hint="eastAsia" w:hAnsi="宋体"/>
                <w:sz w:val="24"/>
              </w:rPr>
              <w:t>10</w:t>
            </w:r>
          </w:p>
        </w:tc>
        <w:tc>
          <w:tcPr>
            <w:tcW w:w="6790" w:type="dxa"/>
            <w:gridSpan w:val="2"/>
            <w:vAlign w:val="center"/>
          </w:tcPr>
          <w:p w14:paraId="5522290E">
            <w:pPr>
              <w:spacing w:line="360" w:lineRule="exact"/>
              <w:jc w:val="left"/>
              <w:rPr>
                <w:rFonts w:hint="eastAsia" w:hAnsi="宋体"/>
                <w:sz w:val="24"/>
              </w:rPr>
            </w:pPr>
            <w:r>
              <w:rPr>
                <w:rFonts w:hint="eastAsia" w:hAnsi="宋体"/>
                <w:sz w:val="24"/>
              </w:rPr>
              <w:t>未按采购文件提供《投标函》；未按采购文件对投标文件组成的要求提供投标文件的（投标文件组成不完整）；投标文件的数量、制作、密封、标记、签字盖章不符合采购文件要求；投标文件无法定代表人有效授权的</w:t>
            </w:r>
          </w:p>
        </w:tc>
        <w:tc>
          <w:tcPr>
            <w:tcW w:w="1033" w:type="pct"/>
            <w:gridSpan w:val="2"/>
            <w:vAlign w:val="center"/>
          </w:tcPr>
          <w:p w14:paraId="1A8DE03F">
            <w:pPr>
              <w:spacing w:line="360" w:lineRule="exact"/>
              <w:jc w:val="center"/>
              <w:rPr>
                <w:rFonts w:hint="eastAsia" w:hAnsi="宋体"/>
                <w:b/>
                <w:sz w:val="24"/>
              </w:rPr>
            </w:pPr>
          </w:p>
        </w:tc>
      </w:tr>
      <w:tr w14:paraId="71AEC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bottom w:val="single" w:color="auto" w:sz="4" w:space="0"/>
            </w:tcBorders>
            <w:vAlign w:val="center"/>
          </w:tcPr>
          <w:p w14:paraId="72F7F8D1">
            <w:pPr>
              <w:spacing w:line="360" w:lineRule="exact"/>
              <w:jc w:val="center"/>
              <w:rPr>
                <w:rFonts w:hint="eastAsia" w:hAnsi="宋体"/>
                <w:sz w:val="24"/>
              </w:rPr>
            </w:pPr>
            <w:r>
              <w:rPr>
                <w:rFonts w:hint="eastAsia" w:hAnsi="宋体"/>
                <w:sz w:val="24"/>
              </w:rPr>
              <w:t>11</w:t>
            </w:r>
          </w:p>
        </w:tc>
        <w:tc>
          <w:tcPr>
            <w:tcW w:w="6790" w:type="dxa"/>
            <w:gridSpan w:val="2"/>
            <w:tcBorders>
              <w:bottom w:val="single" w:color="auto" w:sz="4" w:space="0"/>
            </w:tcBorders>
            <w:vAlign w:val="center"/>
          </w:tcPr>
          <w:p w14:paraId="2E1161BD">
            <w:pPr>
              <w:spacing w:line="360" w:lineRule="exact"/>
              <w:jc w:val="left"/>
              <w:rPr>
                <w:rFonts w:hint="eastAsia" w:hAnsi="宋体"/>
                <w:sz w:val="24"/>
              </w:rPr>
            </w:pPr>
            <w:r>
              <w:rPr>
                <w:rFonts w:hint="eastAsia" w:hAnsi="宋体"/>
                <w:sz w:val="24"/>
              </w:rPr>
              <w:t>未提供投标文件电子文档或者有病毒</w:t>
            </w:r>
          </w:p>
        </w:tc>
        <w:tc>
          <w:tcPr>
            <w:tcW w:w="1033" w:type="pct"/>
            <w:gridSpan w:val="2"/>
            <w:tcBorders>
              <w:bottom w:val="single" w:color="auto" w:sz="4" w:space="0"/>
            </w:tcBorders>
            <w:vAlign w:val="center"/>
          </w:tcPr>
          <w:p w14:paraId="6BDF5438">
            <w:pPr>
              <w:spacing w:line="360" w:lineRule="exact"/>
              <w:jc w:val="center"/>
              <w:rPr>
                <w:rFonts w:hint="eastAsia" w:hAnsi="宋体"/>
                <w:b/>
                <w:sz w:val="24"/>
              </w:rPr>
            </w:pPr>
          </w:p>
        </w:tc>
      </w:tr>
      <w:tr w14:paraId="2517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top w:val="single" w:color="auto" w:sz="4" w:space="0"/>
              <w:left w:val="single" w:color="auto" w:sz="4" w:space="0"/>
              <w:bottom w:val="single" w:color="auto" w:sz="4" w:space="0"/>
              <w:right w:val="single" w:color="auto" w:sz="4" w:space="0"/>
            </w:tcBorders>
            <w:vAlign w:val="center"/>
          </w:tcPr>
          <w:p w14:paraId="59846993">
            <w:pPr>
              <w:spacing w:line="360" w:lineRule="exact"/>
              <w:jc w:val="center"/>
              <w:rPr>
                <w:rFonts w:hint="eastAsia" w:hAnsi="宋体"/>
                <w:sz w:val="24"/>
              </w:rPr>
            </w:pPr>
            <w:r>
              <w:rPr>
                <w:rFonts w:hint="eastAsia" w:hAnsi="宋体"/>
                <w:sz w:val="24"/>
              </w:rPr>
              <w:t>12</w:t>
            </w:r>
          </w:p>
        </w:tc>
        <w:tc>
          <w:tcPr>
            <w:tcW w:w="6790" w:type="dxa"/>
            <w:gridSpan w:val="2"/>
            <w:tcBorders>
              <w:top w:val="single" w:color="auto" w:sz="4" w:space="0"/>
              <w:left w:val="single" w:color="auto" w:sz="4" w:space="0"/>
              <w:bottom w:val="single" w:color="auto" w:sz="4" w:space="0"/>
              <w:right w:val="single" w:color="auto" w:sz="4" w:space="0"/>
            </w:tcBorders>
            <w:vAlign w:val="center"/>
          </w:tcPr>
          <w:p w14:paraId="47D31155">
            <w:pPr>
              <w:spacing w:line="360" w:lineRule="exact"/>
              <w:jc w:val="left"/>
              <w:rPr>
                <w:rFonts w:hint="eastAsia" w:hAnsi="宋体"/>
                <w:sz w:val="24"/>
              </w:rPr>
            </w:pPr>
            <w:r>
              <w:rPr>
                <w:rFonts w:hint="eastAsia" w:hAnsi="宋体"/>
                <w:sz w:val="24"/>
              </w:rPr>
              <w:t>法律、法规规定的其他情形</w:t>
            </w:r>
          </w:p>
        </w:tc>
        <w:tc>
          <w:tcPr>
            <w:tcW w:w="1033" w:type="pct"/>
            <w:gridSpan w:val="2"/>
            <w:tcBorders>
              <w:top w:val="single" w:color="auto" w:sz="4" w:space="0"/>
              <w:left w:val="single" w:color="auto" w:sz="4" w:space="0"/>
              <w:bottom w:val="single" w:color="auto" w:sz="4" w:space="0"/>
              <w:right w:val="single" w:color="auto" w:sz="4" w:space="0"/>
            </w:tcBorders>
            <w:vAlign w:val="center"/>
          </w:tcPr>
          <w:p w14:paraId="074CB70F">
            <w:pPr>
              <w:spacing w:line="360" w:lineRule="exact"/>
              <w:jc w:val="center"/>
              <w:rPr>
                <w:rFonts w:hint="eastAsia" w:hAnsi="宋体"/>
                <w:sz w:val="24"/>
              </w:rPr>
            </w:pPr>
          </w:p>
        </w:tc>
      </w:tr>
      <w:tr w14:paraId="36DB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000" w:type="pct"/>
            <w:gridSpan w:val="5"/>
            <w:tcBorders>
              <w:top w:val="single" w:color="auto" w:sz="4" w:space="0"/>
            </w:tcBorders>
            <w:vAlign w:val="center"/>
          </w:tcPr>
          <w:p w14:paraId="0F6528D3">
            <w:pPr>
              <w:spacing w:line="360" w:lineRule="exact"/>
              <w:jc w:val="center"/>
              <w:rPr>
                <w:rFonts w:hint="eastAsia" w:hAnsi="宋体"/>
                <w:b/>
                <w:sz w:val="24"/>
              </w:rPr>
            </w:pPr>
            <w:r>
              <w:rPr>
                <w:rFonts w:hint="eastAsia" w:hAnsi="宋体"/>
                <w:b/>
                <w:sz w:val="24"/>
              </w:rPr>
              <w:t>三、评分指引</w:t>
            </w:r>
          </w:p>
        </w:tc>
      </w:tr>
      <w:tr w14:paraId="0819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tcBorders>
              <w:bottom w:val="single" w:color="auto" w:sz="4" w:space="0"/>
            </w:tcBorders>
            <w:vAlign w:val="center"/>
          </w:tcPr>
          <w:p w14:paraId="2B90F28F">
            <w:pPr>
              <w:spacing w:line="360" w:lineRule="exact"/>
              <w:jc w:val="center"/>
              <w:rPr>
                <w:rFonts w:hint="eastAsia" w:hAnsi="宋体"/>
                <w:b/>
                <w:sz w:val="24"/>
              </w:rPr>
            </w:pPr>
            <w:r>
              <w:rPr>
                <w:rFonts w:hint="eastAsia" w:hAnsi="宋体"/>
                <w:b/>
                <w:sz w:val="24"/>
              </w:rPr>
              <w:t>评分类别</w:t>
            </w:r>
          </w:p>
        </w:tc>
        <w:tc>
          <w:tcPr>
            <w:tcW w:w="3548" w:type="pct"/>
            <w:gridSpan w:val="2"/>
            <w:tcBorders>
              <w:bottom w:val="single" w:color="auto" w:sz="4" w:space="0"/>
            </w:tcBorders>
            <w:vAlign w:val="center"/>
          </w:tcPr>
          <w:p w14:paraId="72B61B28">
            <w:pPr>
              <w:spacing w:line="360" w:lineRule="exact"/>
              <w:jc w:val="center"/>
              <w:rPr>
                <w:rFonts w:hint="eastAsia" w:hAnsi="宋体"/>
                <w:b/>
                <w:sz w:val="24"/>
              </w:rPr>
            </w:pPr>
            <w:r>
              <w:rPr>
                <w:rFonts w:hint="eastAsia" w:hAnsi="宋体"/>
                <w:b/>
                <w:sz w:val="24"/>
              </w:rPr>
              <w:t>评分项目</w:t>
            </w:r>
          </w:p>
        </w:tc>
        <w:tc>
          <w:tcPr>
            <w:tcW w:w="527" w:type="pct"/>
            <w:tcBorders>
              <w:bottom w:val="single" w:color="auto" w:sz="4" w:space="0"/>
            </w:tcBorders>
            <w:vAlign w:val="center"/>
          </w:tcPr>
          <w:p w14:paraId="4F3CCB1C">
            <w:pPr>
              <w:spacing w:line="360" w:lineRule="exact"/>
              <w:jc w:val="center"/>
              <w:rPr>
                <w:rFonts w:hint="eastAsia" w:hAnsi="宋体"/>
                <w:b/>
                <w:sz w:val="24"/>
              </w:rPr>
            </w:pPr>
            <w:r>
              <w:rPr>
                <w:rFonts w:hint="eastAsia" w:hAnsi="宋体"/>
                <w:b/>
                <w:sz w:val="24"/>
              </w:rPr>
              <w:t>对应章节</w:t>
            </w:r>
          </w:p>
        </w:tc>
        <w:tc>
          <w:tcPr>
            <w:tcW w:w="506" w:type="pct"/>
            <w:tcBorders>
              <w:bottom w:val="single" w:color="auto" w:sz="4" w:space="0"/>
            </w:tcBorders>
            <w:vAlign w:val="center"/>
          </w:tcPr>
          <w:p w14:paraId="6A48DB7E">
            <w:pPr>
              <w:spacing w:line="360" w:lineRule="exact"/>
              <w:jc w:val="center"/>
              <w:rPr>
                <w:rFonts w:hint="eastAsia" w:hAnsi="宋体"/>
                <w:b/>
                <w:sz w:val="24"/>
              </w:rPr>
            </w:pPr>
            <w:r>
              <w:rPr>
                <w:rFonts w:hint="eastAsia" w:hAnsi="宋体"/>
                <w:b/>
                <w:sz w:val="24"/>
              </w:rPr>
              <w:t>起止页码</w:t>
            </w:r>
          </w:p>
        </w:tc>
      </w:tr>
      <w:tr w14:paraId="54456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restart"/>
            <w:tcBorders>
              <w:top w:val="single" w:color="auto" w:sz="4" w:space="0"/>
              <w:bottom w:val="single" w:color="auto" w:sz="4" w:space="0"/>
            </w:tcBorders>
            <w:vAlign w:val="center"/>
          </w:tcPr>
          <w:p w14:paraId="519D292D">
            <w:pPr>
              <w:spacing w:line="360" w:lineRule="exact"/>
              <w:jc w:val="center"/>
              <w:rPr>
                <w:rFonts w:hint="eastAsia" w:hAnsi="宋体"/>
                <w:b/>
                <w:sz w:val="24"/>
              </w:rPr>
            </w:pPr>
            <w:r>
              <w:rPr>
                <w:rFonts w:hint="eastAsia" w:hAnsi="宋体"/>
                <w:b/>
                <w:sz w:val="24"/>
              </w:rPr>
              <w:t>技术部分</w:t>
            </w:r>
          </w:p>
        </w:tc>
        <w:tc>
          <w:tcPr>
            <w:tcW w:w="3548" w:type="pct"/>
            <w:gridSpan w:val="2"/>
            <w:tcBorders>
              <w:top w:val="single" w:color="auto" w:sz="4" w:space="0"/>
              <w:bottom w:val="single" w:color="auto" w:sz="4" w:space="0"/>
            </w:tcBorders>
          </w:tcPr>
          <w:p w14:paraId="15417745">
            <w:pPr>
              <w:spacing w:line="360" w:lineRule="exact"/>
              <w:jc w:val="center"/>
              <w:rPr>
                <w:rFonts w:hint="eastAsia" w:hAnsi="宋体"/>
                <w:sz w:val="24"/>
              </w:rPr>
            </w:pPr>
            <w:r>
              <w:rPr>
                <w:rFonts w:hint="eastAsia" w:hAnsi="宋体"/>
                <w:sz w:val="24"/>
              </w:rPr>
              <w:t>（请根据项目评分表内容调整）</w:t>
            </w:r>
          </w:p>
        </w:tc>
        <w:tc>
          <w:tcPr>
            <w:tcW w:w="527" w:type="pct"/>
            <w:tcBorders>
              <w:top w:val="single" w:color="auto" w:sz="4" w:space="0"/>
              <w:bottom w:val="single" w:color="auto" w:sz="4" w:space="0"/>
            </w:tcBorders>
          </w:tcPr>
          <w:p w14:paraId="0B895654">
            <w:pPr>
              <w:spacing w:line="360" w:lineRule="exact"/>
              <w:jc w:val="center"/>
              <w:rPr>
                <w:rFonts w:hint="eastAsia" w:hAnsi="宋体"/>
                <w:b/>
                <w:sz w:val="24"/>
              </w:rPr>
            </w:pPr>
          </w:p>
        </w:tc>
        <w:tc>
          <w:tcPr>
            <w:tcW w:w="506" w:type="pct"/>
            <w:tcBorders>
              <w:top w:val="single" w:color="auto" w:sz="4" w:space="0"/>
              <w:bottom w:val="single" w:color="auto" w:sz="4" w:space="0"/>
            </w:tcBorders>
          </w:tcPr>
          <w:p w14:paraId="2EC19A33">
            <w:pPr>
              <w:spacing w:line="360" w:lineRule="exact"/>
              <w:jc w:val="center"/>
              <w:rPr>
                <w:rFonts w:hint="eastAsia" w:hAnsi="宋体"/>
                <w:b/>
                <w:sz w:val="24"/>
              </w:rPr>
            </w:pPr>
          </w:p>
        </w:tc>
      </w:tr>
      <w:tr w14:paraId="49FBB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vAlign w:val="center"/>
          </w:tcPr>
          <w:p w14:paraId="06875CBD">
            <w:pPr>
              <w:spacing w:line="360" w:lineRule="exact"/>
              <w:jc w:val="center"/>
              <w:rPr>
                <w:rFonts w:hint="eastAsia" w:hAnsi="宋体"/>
                <w:sz w:val="24"/>
              </w:rPr>
            </w:pPr>
          </w:p>
          <w:p w14:paraId="11FD74D6">
            <w:pPr>
              <w:pStyle w:val="32"/>
              <w:spacing w:line="360" w:lineRule="exact"/>
              <w:rPr>
                <w:rFonts w:hint="eastAsia" w:hAnsi="宋体" w:cs="宋体"/>
              </w:rPr>
            </w:pPr>
          </w:p>
          <w:p w14:paraId="4377F5BB">
            <w:pPr>
              <w:spacing w:line="360" w:lineRule="exact"/>
              <w:rPr>
                <w:rFonts w:hint="eastAsia" w:hAnsi="宋体"/>
                <w:sz w:val="24"/>
              </w:rPr>
            </w:pPr>
          </w:p>
        </w:tc>
        <w:tc>
          <w:tcPr>
            <w:tcW w:w="3548" w:type="pct"/>
            <w:gridSpan w:val="2"/>
            <w:tcBorders>
              <w:top w:val="single" w:color="auto" w:sz="4" w:space="0"/>
              <w:bottom w:val="single" w:color="auto" w:sz="4" w:space="0"/>
            </w:tcBorders>
          </w:tcPr>
          <w:p w14:paraId="6C1AE56A">
            <w:pPr>
              <w:spacing w:line="360" w:lineRule="exact"/>
              <w:jc w:val="center"/>
              <w:rPr>
                <w:rFonts w:hint="eastAsia" w:hAnsi="宋体"/>
                <w:sz w:val="24"/>
              </w:rPr>
            </w:pPr>
            <w:r>
              <w:rPr>
                <w:rFonts w:hint="eastAsia" w:hAnsi="宋体"/>
                <w:sz w:val="24"/>
              </w:rPr>
              <w:t>示例：实施方案</w:t>
            </w:r>
          </w:p>
        </w:tc>
        <w:tc>
          <w:tcPr>
            <w:tcW w:w="527" w:type="pct"/>
            <w:tcBorders>
              <w:top w:val="single" w:color="auto" w:sz="4" w:space="0"/>
              <w:bottom w:val="single" w:color="auto" w:sz="4" w:space="0"/>
            </w:tcBorders>
          </w:tcPr>
          <w:p w14:paraId="5EE01595">
            <w:pPr>
              <w:spacing w:line="360" w:lineRule="exact"/>
              <w:jc w:val="center"/>
              <w:rPr>
                <w:rFonts w:hint="eastAsia" w:hAnsi="宋体"/>
                <w:b/>
                <w:sz w:val="24"/>
              </w:rPr>
            </w:pPr>
          </w:p>
        </w:tc>
        <w:tc>
          <w:tcPr>
            <w:tcW w:w="506" w:type="pct"/>
            <w:tcBorders>
              <w:top w:val="single" w:color="auto" w:sz="4" w:space="0"/>
              <w:bottom w:val="single" w:color="auto" w:sz="4" w:space="0"/>
            </w:tcBorders>
          </w:tcPr>
          <w:p w14:paraId="55A8DB8E">
            <w:pPr>
              <w:spacing w:line="360" w:lineRule="exact"/>
              <w:jc w:val="center"/>
              <w:rPr>
                <w:rFonts w:hint="eastAsia" w:hAnsi="宋体"/>
                <w:b/>
                <w:sz w:val="24"/>
              </w:rPr>
            </w:pPr>
          </w:p>
        </w:tc>
      </w:tr>
      <w:tr w14:paraId="1191D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vAlign w:val="center"/>
          </w:tcPr>
          <w:p w14:paraId="5969A339">
            <w:pPr>
              <w:spacing w:line="360" w:lineRule="exact"/>
              <w:rPr>
                <w:rFonts w:hint="eastAsia" w:hAnsi="宋体"/>
                <w:sz w:val="24"/>
              </w:rPr>
            </w:pPr>
          </w:p>
          <w:p w14:paraId="44A7A882">
            <w:pPr>
              <w:pStyle w:val="32"/>
              <w:spacing w:line="360" w:lineRule="exact"/>
              <w:rPr>
                <w:rFonts w:hint="eastAsia" w:hAnsi="宋体" w:cs="宋体"/>
              </w:rPr>
            </w:pPr>
          </w:p>
          <w:p w14:paraId="6EF86528">
            <w:pPr>
              <w:spacing w:line="360" w:lineRule="exact"/>
              <w:rPr>
                <w:rFonts w:hint="eastAsia" w:hAnsi="宋体"/>
                <w:sz w:val="24"/>
              </w:rPr>
            </w:pPr>
          </w:p>
        </w:tc>
        <w:tc>
          <w:tcPr>
            <w:tcW w:w="3548" w:type="pct"/>
            <w:gridSpan w:val="2"/>
            <w:tcBorders>
              <w:top w:val="single" w:color="auto" w:sz="4" w:space="0"/>
              <w:bottom w:val="single" w:color="auto" w:sz="4" w:space="0"/>
            </w:tcBorders>
          </w:tcPr>
          <w:p w14:paraId="4A4D98E1">
            <w:pPr>
              <w:spacing w:line="360" w:lineRule="exact"/>
              <w:jc w:val="center"/>
              <w:rPr>
                <w:rFonts w:hint="eastAsia" w:hAnsi="宋体"/>
                <w:sz w:val="24"/>
              </w:rPr>
            </w:pPr>
          </w:p>
        </w:tc>
        <w:tc>
          <w:tcPr>
            <w:tcW w:w="527" w:type="pct"/>
            <w:tcBorders>
              <w:top w:val="single" w:color="auto" w:sz="4" w:space="0"/>
              <w:bottom w:val="single" w:color="auto" w:sz="4" w:space="0"/>
            </w:tcBorders>
          </w:tcPr>
          <w:p w14:paraId="1DEED891">
            <w:pPr>
              <w:spacing w:line="360" w:lineRule="exact"/>
              <w:jc w:val="center"/>
              <w:rPr>
                <w:rFonts w:hint="eastAsia" w:hAnsi="宋体"/>
                <w:b/>
                <w:sz w:val="24"/>
              </w:rPr>
            </w:pPr>
          </w:p>
        </w:tc>
        <w:tc>
          <w:tcPr>
            <w:tcW w:w="506" w:type="pct"/>
            <w:tcBorders>
              <w:top w:val="single" w:color="auto" w:sz="4" w:space="0"/>
              <w:bottom w:val="single" w:color="auto" w:sz="4" w:space="0"/>
            </w:tcBorders>
          </w:tcPr>
          <w:p w14:paraId="6EF6EA92">
            <w:pPr>
              <w:spacing w:line="360" w:lineRule="exact"/>
              <w:jc w:val="center"/>
              <w:rPr>
                <w:rFonts w:hint="eastAsia" w:hAnsi="宋体"/>
                <w:b/>
                <w:sz w:val="24"/>
              </w:rPr>
            </w:pPr>
          </w:p>
        </w:tc>
      </w:tr>
      <w:tr w14:paraId="279B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vAlign w:val="center"/>
          </w:tcPr>
          <w:p w14:paraId="21ED741F">
            <w:pPr>
              <w:spacing w:line="360" w:lineRule="exact"/>
              <w:jc w:val="center"/>
              <w:rPr>
                <w:rFonts w:hint="eastAsia" w:hAnsi="宋体"/>
                <w:b/>
                <w:sz w:val="24"/>
              </w:rPr>
            </w:pPr>
          </w:p>
        </w:tc>
        <w:tc>
          <w:tcPr>
            <w:tcW w:w="3548" w:type="pct"/>
            <w:gridSpan w:val="2"/>
            <w:tcBorders>
              <w:top w:val="single" w:color="auto" w:sz="4" w:space="0"/>
              <w:bottom w:val="single" w:color="auto" w:sz="4" w:space="0"/>
            </w:tcBorders>
          </w:tcPr>
          <w:p w14:paraId="2D8C8E32">
            <w:pPr>
              <w:spacing w:line="360" w:lineRule="exact"/>
              <w:jc w:val="center"/>
              <w:rPr>
                <w:rFonts w:hint="eastAsia" w:hAnsi="宋体"/>
                <w:sz w:val="24"/>
              </w:rPr>
            </w:pPr>
          </w:p>
        </w:tc>
        <w:tc>
          <w:tcPr>
            <w:tcW w:w="527" w:type="pct"/>
            <w:tcBorders>
              <w:top w:val="single" w:color="auto" w:sz="4" w:space="0"/>
              <w:bottom w:val="single" w:color="auto" w:sz="4" w:space="0"/>
            </w:tcBorders>
          </w:tcPr>
          <w:p w14:paraId="0437F234">
            <w:pPr>
              <w:spacing w:line="360" w:lineRule="exact"/>
              <w:jc w:val="center"/>
              <w:rPr>
                <w:rFonts w:hint="eastAsia" w:hAnsi="宋体"/>
                <w:b/>
                <w:sz w:val="24"/>
              </w:rPr>
            </w:pPr>
          </w:p>
        </w:tc>
        <w:tc>
          <w:tcPr>
            <w:tcW w:w="506" w:type="pct"/>
            <w:tcBorders>
              <w:top w:val="single" w:color="auto" w:sz="4" w:space="0"/>
              <w:bottom w:val="single" w:color="auto" w:sz="4" w:space="0"/>
            </w:tcBorders>
          </w:tcPr>
          <w:p w14:paraId="715366CA">
            <w:pPr>
              <w:spacing w:line="360" w:lineRule="exact"/>
              <w:jc w:val="center"/>
              <w:rPr>
                <w:rFonts w:hint="eastAsia" w:hAnsi="宋体"/>
                <w:b/>
                <w:sz w:val="24"/>
              </w:rPr>
            </w:pPr>
          </w:p>
        </w:tc>
      </w:tr>
      <w:tr w14:paraId="1087A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restart"/>
            <w:tcBorders>
              <w:top w:val="single" w:color="auto" w:sz="4" w:space="0"/>
              <w:bottom w:val="single" w:color="auto" w:sz="4" w:space="0"/>
            </w:tcBorders>
            <w:vAlign w:val="center"/>
          </w:tcPr>
          <w:p w14:paraId="0CBA350E">
            <w:pPr>
              <w:spacing w:line="360" w:lineRule="exact"/>
              <w:jc w:val="center"/>
              <w:rPr>
                <w:rFonts w:hint="eastAsia" w:hAnsi="宋体"/>
                <w:b/>
                <w:sz w:val="24"/>
              </w:rPr>
            </w:pPr>
            <w:r>
              <w:rPr>
                <w:rFonts w:hint="eastAsia" w:hAnsi="宋体"/>
                <w:b/>
                <w:sz w:val="24"/>
              </w:rPr>
              <w:t>商务部分</w:t>
            </w:r>
          </w:p>
        </w:tc>
        <w:tc>
          <w:tcPr>
            <w:tcW w:w="3548" w:type="pct"/>
            <w:gridSpan w:val="2"/>
            <w:tcBorders>
              <w:top w:val="single" w:color="auto" w:sz="4" w:space="0"/>
              <w:bottom w:val="single" w:color="auto" w:sz="4" w:space="0"/>
            </w:tcBorders>
          </w:tcPr>
          <w:p w14:paraId="5E92010C">
            <w:pPr>
              <w:spacing w:line="360" w:lineRule="exact"/>
              <w:jc w:val="center"/>
              <w:rPr>
                <w:rFonts w:hint="eastAsia" w:hAnsi="宋体"/>
                <w:b/>
                <w:sz w:val="24"/>
              </w:rPr>
            </w:pPr>
            <w:r>
              <w:rPr>
                <w:rFonts w:hint="eastAsia" w:hAnsi="宋体"/>
                <w:sz w:val="24"/>
              </w:rPr>
              <w:t>（请根据项目评分表内容调整）</w:t>
            </w:r>
          </w:p>
        </w:tc>
        <w:tc>
          <w:tcPr>
            <w:tcW w:w="527" w:type="pct"/>
            <w:tcBorders>
              <w:top w:val="single" w:color="auto" w:sz="4" w:space="0"/>
              <w:bottom w:val="single" w:color="auto" w:sz="4" w:space="0"/>
            </w:tcBorders>
          </w:tcPr>
          <w:p w14:paraId="223F1495">
            <w:pPr>
              <w:spacing w:line="360" w:lineRule="exact"/>
              <w:jc w:val="center"/>
              <w:rPr>
                <w:rFonts w:hint="eastAsia" w:hAnsi="宋体"/>
                <w:b/>
                <w:sz w:val="24"/>
              </w:rPr>
            </w:pPr>
          </w:p>
        </w:tc>
        <w:tc>
          <w:tcPr>
            <w:tcW w:w="506" w:type="pct"/>
            <w:tcBorders>
              <w:top w:val="single" w:color="auto" w:sz="4" w:space="0"/>
              <w:bottom w:val="single" w:color="auto" w:sz="4" w:space="0"/>
            </w:tcBorders>
          </w:tcPr>
          <w:p w14:paraId="69056F32">
            <w:pPr>
              <w:spacing w:line="360" w:lineRule="exact"/>
              <w:jc w:val="center"/>
              <w:rPr>
                <w:rFonts w:hint="eastAsia" w:hAnsi="宋体"/>
                <w:b/>
                <w:sz w:val="24"/>
              </w:rPr>
            </w:pPr>
          </w:p>
        </w:tc>
      </w:tr>
      <w:tr w14:paraId="65CC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vAlign w:val="center"/>
          </w:tcPr>
          <w:p w14:paraId="4019D2A3">
            <w:pPr>
              <w:spacing w:line="360" w:lineRule="exact"/>
              <w:jc w:val="center"/>
              <w:rPr>
                <w:rFonts w:hint="eastAsia" w:hAnsi="宋体"/>
                <w:b/>
                <w:sz w:val="24"/>
              </w:rPr>
            </w:pPr>
          </w:p>
        </w:tc>
        <w:tc>
          <w:tcPr>
            <w:tcW w:w="3548" w:type="pct"/>
            <w:gridSpan w:val="2"/>
            <w:tcBorders>
              <w:top w:val="single" w:color="auto" w:sz="4" w:space="0"/>
              <w:bottom w:val="single" w:color="auto" w:sz="4" w:space="0"/>
            </w:tcBorders>
          </w:tcPr>
          <w:p w14:paraId="39B29DF1">
            <w:pPr>
              <w:spacing w:line="360" w:lineRule="exact"/>
              <w:jc w:val="center"/>
              <w:rPr>
                <w:rFonts w:hint="eastAsia" w:hAnsi="宋体"/>
                <w:b/>
                <w:sz w:val="24"/>
              </w:rPr>
            </w:pPr>
            <w:r>
              <w:rPr>
                <w:rFonts w:hint="eastAsia" w:hAnsi="宋体"/>
                <w:bCs/>
                <w:sz w:val="24"/>
              </w:rPr>
              <w:t>示例：类似业绩</w:t>
            </w:r>
          </w:p>
        </w:tc>
        <w:tc>
          <w:tcPr>
            <w:tcW w:w="527" w:type="pct"/>
            <w:tcBorders>
              <w:top w:val="single" w:color="auto" w:sz="4" w:space="0"/>
              <w:bottom w:val="single" w:color="auto" w:sz="4" w:space="0"/>
            </w:tcBorders>
          </w:tcPr>
          <w:p w14:paraId="14620184">
            <w:pPr>
              <w:spacing w:line="360" w:lineRule="exact"/>
              <w:jc w:val="center"/>
              <w:rPr>
                <w:rFonts w:hint="eastAsia" w:hAnsi="宋体"/>
                <w:b/>
                <w:sz w:val="24"/>
              </w:rPr>
            </w:pPr>
          </w:p>
        </w:tc>
        <w:tc>
          <w:tcPr>
            <w:tcW w:w="506" w:type="pct"/>
            <w:tcBorders>
              <w:top w:val="single" w:color="auto" w:sz="4" w:space="0"/>
              <w:bottom w:val="single" w:color="auto" w:sz="4" w:space="0"/>
            </w:tcBorders>
          </w:tcPr>
          <w:p w14:paraId="0EE0EC10">
            <w:pPr>
              <w:spacing w:line="360" w:lineRule="exact"/>
              <w:jc w:val="center"/>
              <w:rPr>
                <w:rFonts w:hint="eastAsia" w:hAnsi="宋体"/>
                <w:b/>
                <w:sz w:val="24"/>
              </w:rPr>
            </w:pPr>
          </w:p>
        </w:tc>
      </w:tr>
      <w:tr w14:paraId="622C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vAlign w:val="center"/>
          </w:tcPr>
          <w:p w14:paraId="004A1099">
            <w:pPr>
              <w:spacing w:line="360" w:lineRule="exact"/>
              <w:jc w:val="center"/>
              <w:rPr>
                <w:rFonts w:hint="eastAsia" w:hAnsi="宋体"/>
                <w:b/>
                <w:sz w:val="24"/>
              </w:rPr>
            </w:pPr>
          </w:p>
        </w:tc>
        <w:tc>
          <w:tcPr>
            <w:tcW w:w="3548" w:type="pct"/>
            <w:gridSpan w:val="2"/>
            <w:tcBorders>
              <w:top w:val="single" w:color="auto" w:sz="4" w:space="0"/>
              <w:bottom w:val="single" w:color="auto" w:sz="4" w:space="0"/>
            </w:tcBorders>
          </w:tcPr>
          <w:p w14:paraId="346B7AE0">
            <w:pPr>
              <w:spacing w:line="360" w:lineRule="exact"/>
              <w:jc w:val="center"/>
              <w:rPr>
                <w:rFonts w:hint="eastAsia" w:hAnsi="宋体"/>
                <w:b/>
                <w:sz w:val="24"/>
              </w:rPr>
            </w:pPr>
          </w:p>
        </w:tc>
        <w:tc>
          <w:tcPr>
            <w:tcW w:w="527" w:type="pct"/>
            <w:tcBorders>
              <w:top w:val="single" w:color="auto" w:sz="4" w:space="0"/>
              <w:bottom w:val="single" w:color="auto" w:sz="4" w:space="0"/>
            </w:tcBorders>
          </w:tcPr>
          <w:p w14:paraId="1A55AD2F">
            <w:pPr>
              <w:spacing w:line="360" w:lineRule="exact"/>
              <w:jc w:val="center"/>
              <w:rPr>
                <w:rFonts w:hint="eastAsia" w:hAnsi="宋体"/>
                <w:b/>
                <w:sz w:val="24"/>
              </w:rPr>
            </w:pPr>
          </w:p>
        </w:tc>
        <w:tc>
          <w:tcPr>
            <w:tcW w:w="506" w:type="pct"/>
            <w:tcBorders>
              <w:top w:val="single" w:color="auto" w:sz="4" w:space="0"/>
              <w:bottom w:val="single" w:color="auto" w:sz="4" w:space="0"/>
            </w:tcBorders>
          </w:tcPr>
          <w:p w14:paraId="63E1A2B6">
            <w:pPr>
              <w:spacing w:line="360" w:lineRule="exact"/>
              <w:jc w:val="center"/>
              <w:rPr>
                <w:rFonts w:hint="eastAsia" w:hAnsi="宋体"/>
                <w:b/>
                <w:sz w:val="24"/>
              </w:rPr>
            </w:pPr>
          </w:p>
        </w:tc>
      </w:tr>
      <w:tr w14:paraId="07E6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vAlign w:val="center"/>
          </w:tcPr>
          <w:p w14:paraId="5106454A">
            <w:pPr>
              <w:spacing w:line="360" w:lineRule="exact"/>
              <w:jc w:val="center"/>
              <w:rPr>
                <w:rFonts w:hint="eastAsia" w:hAnsi="宋体"/>
                <w:sz w:val="24"/>
              </w:rPr>
            </w:pPr>
          </w:p>
          <w:p w14:paraId="789D0790">
            <w:pPr>
              <w:pStyle w:val="32"/>
              <w:spacing w:line="360" w:lineRule="exact"/>
              <w:rPr>
                <w:rFonts w:hint="eastAsia" w:hAnsi="宋体" w:cs="宋体"/>
              </w:rPr>
            </w:pPr>
          </w:p>
          <w:p w14:paraId="3B381DCB">
            <w:pPr>
              <w:spacing w:line="360" w:lineRule="exact"/>
              <w:rPr>
                <w:rFonts w:hint="eastAsia" w:hAnsi="宋体"/>
                <w:sz w:val="24"/>
              </w:rPr>
            </w:pPr>
          </w:p>
        </w:tc>
        <w:tc>
          <w:tcPr>
            <w:tcW w:w="3548" w:type="pct"/>
            <w:gridSpan w:val="2"/>
            <w:tcBorders>
              <w:top w:val="single" w:color="auto" w:sz="4" w:space="0"/>
              <w:bottom w:val="single" w:color="auto" w:sz="4" w:space="0"/>
            </w:tcBorders>
          </w:tcPr>
          <w:p w14:paraId="72DBBF99">
            <w:pPr>
              <w:spacing w:line="360" w:lineRule="exact"/>
              <w:jc w:val="center"/>
              <w:rPr>
                <w:rFonts w:hint="eastAsia" w:hAnsi="宋体"/>
                <w:b/>
                <w:sz w:val="24"/>
              </w:rPr>
            </w:pPr>
          </w:p>
        </w:tc>
        <w:tc>
          <w:tcPr>
            <w:tcW w:w="527" w:type="pct"/>
            <w:tcBorders>
              <w:top w:val="single" w:color="auto" w:sz="4" w:space="0"/>
              <w:bottom w:val="single" w:color="auto" w:sz="4" w:space="0"/>
            </w:tcBorders>
          </w:tcPr>
          <w:p w14:paraId="73523C07">
            <w:pPr>
              <w:spacing w:line="360" w:lineRule="exact"/>
              <w:jc w:val="center"/>
              <w:rPr>
                <w:rFonts w:hint="eastAsia" w:hAnsi="宋体"/>
                <w:b/>
                <w:sz w:val="24"/>
              </w:rPr>
            </w:pPr>
          </w:p>
        </w:tc>
        <w:tc>
          <w:tcPr>
            <w:tcW w:w="506" w:type="pct"/>
            <w:tcBorders>
              <w:top w:val="single" w:color="auto" w:sz="4" w:space="0"/>
              <w:bottom w:val="single" w:color="auto" w:sz="4" w:space="0"/>
            </w:tcBorders>
          </w:tcPr>
          <w:p w14:paraId="34D5C4AA">
            <w:pPr>
              <w:spacing w:line="360" w:lineRule="exact"/>
              <w:jc w:val="center"/>
              <w:rPr>
                <w:rFonts w:hint="eastAsia" w:hAnsi="宋体"/>
                <w:b/>
                <w:sz w:val="24"/>
              </w:rPr>
            </w:pPr>
          </w:p>
        </w:tc>
      </w:tr>
      <w:tr w14:paraId="52B87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tcBorders>
            <w:vAlign w:val="center"/>
          </w:tcPr>
          <w:p w14:paraId="328DC303">
            <w:pPr>
              <w:spacing w:line="360" w:lineRule="exact"/>
              <w:jc w:val="center"/>
              <w:rPr>
                <w:rFonts w:hint="eastAsia" w:hAnsi="宋体"/>
                <w:b/>
                <w:sz w:val="24"/>
              </w:rPr>
            </w:pPr>
          </w:p>
        </w:tc>
        <w:tc>
          <w:tcPr>
            <w:tcW w:w="3548" w:type="pct"/>
            <w:gridSpan w:val="2"/>
            <w:tcBorders>
              <w:top w:val="single" w:color="auto" w:sz="4" w:space="0"/>
            </w:tcBorders>
          </w:tcPr>
          <w:p w14:paraId="037F22E2">
            <w:pPr>
              <w:spacing w:line="360" w:lineRule="exact"/>
              <w:jc w:val="center"/>
              <w:rPr>
                <w:rFonts w:hint="eastAsia" w:hAnsi="宋体"/>
                <w:b/>
                <w:sz w:val="24"/>
              </w:rPr>
            </w:pPr>
          </w:p>
        </w:tc>
        <w:tc>
          <w:tcPr>
            <w:tcW w:w="527" w:type="pct"/>
            <w:tcBorders>
              <w:top w:val="single" w:color="auto" w:sz="4" w:space="0"/>
            </w:tcBorders>
          </w:tcPr>
          <w:p w14:paraId="3F69F4F2">
            <w:pPr>
              <w:spacing w:line="360" w:lineRule="exact"/>
              <w:jc w:val="center"/>
              <w:rPr>
                <w:rFonts w:hint="eastAsia" w:hAnsi="宋体"/>
                <w:b/>
                <w:sz w:val="24"/>
              </w:rPr>
            </w:pPr>
          </w:p>
        </w:tc>
        <w:tc>
          <w:tcPr>
            <w:tcW w:w="506" w:type="pct"/>
            <w:tcBorders>
              <w:top w:val="single" w:color="auto" w:sz="4" w:space="0"/>
            </w:tcBorders>
          </w:tcPr>
          <w:p w14:paraId="5EE6AE45">
            <w:pPr>
              <w:spacing w:line="360" w:lineRule="exact"/>
              <w:jc w:val="center"/>
              <w:rPr>
                <w:rFonts w:hint="eastAsia" w:hAnsi="宋体"/>
                <w:b/>
                <w:sz w:val="24"/>
              </w:rPr>
            </w:pPr>
          </w:p>
        </w:tc>
      </w:tr>
    </w:tbl>
    <w:p w14:paraId="0A899ED7">
      <w:pPr>
        <w:tabs>
          <w:tab w:val="clear" w:pos="426"/>
        </w:tabs>
        <w:rPr>
          <w:szCs w:val="21"/>
        </w:rPr>
      </w:pPr>
    </w:p>
    <w:p w14:paraId="5C9F57A6">
      <w:pPr>
        <w:tabs>
          <w:tab w:val="clear" w:pos="426"/>
        </w:tabs>
      </w:pPr>
      <w:r>
        <w:rPr>
          <w:rFonts w:hint="eastAsia"/>
          <w:szCs w:val="21"/>
        </w:rPr>
        <w:t>备注：对于“</w:t>
      </w:r>
      <w:r>
        <w:rPr>
          <w:rFonts w:hint="eastAsia"/>
          <w:b/>
        </w:rPr>
        <w:t>综合评分指引”</w:t>
      </w:r>
      <w:r>
        <w:rPr>
          <w:rFonts w:hint="eastAsia"/>
          <w:szCs w:val="21"/>
        </w:rPr>
        <w:t>请投标供应商按照</w:t>
      </w:r>
      <w:r>
        <w:rPr>
          <w:rFonts w:hint="eastAsia"/>
          <w:b/>
          <w:szCs w:val="21"/>
        </w:rPr>
        <w:t>评分细则表</w:t>
      </w:r>
      <w:r>
        <w:rPr>
          <w:rFonts w:hint="eastAsia"/>
          <w:szCs w:val="21"/>
        </w:rPr>
        <w:t>的评分要求，根据各评分项目以</w:t>
      </w:r>
      <w:r>
        <w:rPr>
          <w:rFonts w:hint="eastAsia"/>
          <w:b/>
          <w:szCs w:val="21"/>
        </w:rPr>
        <w:t>自上而下</w:t>
      </w:r>
      <w:r>
        <w:rPr>
          <w:rFonts w:hint="eastAsia"/>
          <w:szCs w:val="21"/>
        </w:rPr>
        <w:t>的顺序编制</w:t>
      </w:r>
      <w:r>
        <w:rPr>
          <w:rFonts w:hint="eastAsia"/>
        </w:rPr>
        <w:t>。因项目次序混乱而影响评标效率及评标结果者，投标供应商自负其责。</w:t>
      </w:r>
    </w:p>
    <w:p w14:paraId="67F26853">
      <w:r>
        <w:rPr>
          <w:rFonts w:hint="eastAsia"/>
        </w:rPr>
        <w:br w:type="page"/>
      </w:r>
    </w:p>
    <w:p w14:paraId="59991D01">
      <w:pPr>
        <w:pStyle w:val="5"/>
        <w:numPr>
          <w:ilvl w:val="0"/>
          <w:numId w:val="0"/>
        </w:numPr>
        <w:tabs>
          <w:tab w:val="left" w:pos="420"/>
          <w:tab w:val="clear" w:pos="426"/>
          <w:tab w:val="clear" w:pos="1680"/>
        </w:tabs>
        <w:jc w:val="left"/>
      </w:pPr>
      <w:bookmarkStart w:id="59" w:name="_Toc36822688"/>
      <w:bookmarkStart w:id="60" w:name="_Toc28864614"/>
      <w:bookmarkStart w:id="61" w:name="_Toc528170810"/>
      <w:bookmarkStart w:id="62" w:name="_Toc518464370"/>
      <w:bookmarkStart w:id="63" w:name="_Toc528675182"/>
      <w:bookmarkStart w:id="64" w:name="_Toc25308077"/>
      <w:r>
        <w:rPr>
          <w:rFonts w:hint="eastAsia"/>
          <w:bCs w:val="0"/>
        </w:rPr>
        <w:t>一</w:t>
      </w:r>
      <w:r>
        <w:rPr>
          <w:rFonts w:hint="eastAsia"/>
        </w:rPr>
        <w:t>、投标函</w:t>
      </w:r>
      <w:bookmarkEnd w:id="59"/>
      <w:bookmarkEnd w:id="60"/>
      <w:bookmarkEnd w:id="61"/>
      <w:bookmarkEnd w:id="62"/>
      <w:bookmarkEnd w:id="63"/>
      <w:bookmarkEnd w:id="64"/>
    </w:p>
    <w:p w14:paraId="61FA9BEF">
      <w:pPr>
        <w:widowControl w:val="0"/>
        <w:shd w:val="clear" w:color="auto" w:fill="auto"/>
        <w:tabs>
          <w:tab w:val="clear" w:pos="426"/>
        </w:tabs>
        <w:adjustRightInd/>
        <w:snapToGrid/>
        <w:spacing w:line="300" w:lineRule="auto"/>
        <w:jc w:val="center"/>
        <w:rPr>
          <w:rFonts w:cs="Times New Roman"/>
          <w:bCs/>
          <w:kern w:val="2"/>
          <w:sz w:val="32"/>
          <w:szCs w:val="32"/>
        </w:rPr>
      </w:pPr>
      <w:bookmarkStart w:id="65" w:name="_Toc201997950"/>
      <w:bookmarkStart w:id="66" w:name="_Toc201719122"/>
      <w:bookmarkStart w:id="67" w:name="_Toc201742865"/>
      <w:bookmarkStart w:id="68" w:name="_Toc201743120"/>
      <w:r>
        <w:rPr>
          <w:rFonts w:hint="eastAsia" w:cs="Times New Roman"/>
          <w:bCs/>
          <w:kern w:val="2"/>
          <w:sz w:val="32"/>
          <w:szCs w:val="32"/>
        </w:rPr>
        <w:t>投标函</w:t>
      </w:r>
      <w:bookmarkEnd w:id="65"/>
      <w:bookmarkEnd w:id="66"/>
      <w:bookmarkEnd w:id="67"/>
      <w:bookmarkEnd w:id="68"/>
    </w:p>
    <w:p w14:paraId="663D013B">
      <w:pPr>
        <w:tabs>
          <w:tab w:val="clear" w:pos="426"/>
        </w:tabs>
        <w:spacing w:line="300" w:lineRule="auto"/>
        <w:rPr>
          <w:szCs w:val="21"/>
        </w:rPr>
      </w:pPr>
    </w:p>
    <w:p w14:paraId="4D65135E">
      <w:pPr>
        <w:spacing w:line="360" w:lineRule="exact"/>
        <w:rPr>
          <w:rFonts w:hint="eastAsia" w:hAnsi="宋体"/>
          <w:color w:val="000000"/>
          <w:sz w:val="22"/>
          <w:szCs w:val="22"/>
        </w:rPr>
      </w:pPr>
      <w:r>
        <w:rPr>
          <w:rFonts w:hint="eastAsia" w:hAnsi="宋体"/>
          <w:color w:val="000000"/>
          <w:sz w:val="22"/>
          <w:szCs w:val="22"/>
        </w:rPr>
        <w:t>致：深圳市东海国际招标有限公司</w:t>
      </w:r>
    </w:p>
    <w:p w14:paraId="39A4DC4F">
      <w:pPr>
        <w:spacing w:line="360" w:lineRule="exact"/>
        <w:ind w:firstLine="440" w:firstLineChars="200"/>
        <w:rPr>
          <w:rFonts w:hint="eastAsia" w:hAnsi="宋体"/>
          <w:color w:val="000000"/>
          <w:sz w:val="22"/>
          <w:szCs w:val="22"/>
        </w:rPr>
      </w:pPr>
      <w:r>
        <w:rPr>
          <w:rFonts w:hint="eastAsia" w:hAnsi="宋体"/>
          <w:color w:val="000000"/>
          <w:sz w:val="22"/>
          <w:szCs w:val="22"/>
        </w:rPr>
        <w:t>根据贵方</w:t>
      </w:r>
      <w:r>
        <w:rPr>
          <w:rFonts w:hint="eastAsia" w:hAnsi="宋体"/>
          <w:color w:val="000000"/>
          <w:sz w:val="22"/>
          <w:szCs w:val="22"/>
          <w:u w:val="single"/>
        </w:rPr>
        <w:t xml:space="preserve">                     （项目名称）</w:t>
      </w:r>
      <w:r>
        <w:rPr>
          <w:rFonts w:hint="eastAsia" w:hAnsi="宋体"/>
          <w:color w:val="000000"/>
          <w:sz w:val="22"/>
          <w:szCs w:val="22"/>
        </w:rPr>
        <w:t>的招标公告</w:t>
      </w:r>
      <w:r>
        <w:rPr>
          <w:rFonts w:hint="eastAsia" w:hAnsi="宋体"/>
          <w:color w:val="000000"/>
          <w:sz w:val="22"/>
          <w:szCs w:val="22"/>
          <w:u w:val="single"/>
        </w:rPr>
        <w:t>（项目编号为      ）</w:t>
      </w:r>
      <w:r>
        <w:rPr>
          <w:rFonts w:hint="eastAsia" w:hAnsi="宋体"/>
          <w:color w:val="000000"/>
          <w:sz w:val="22"/>
          <w:szCs w:val="22"/>
        </w:rPr>
        <w:t>，本人经我方法定代表人授权正式代表投标人</w:t>
      </w:r>
      <w:r>
        <w:rPr>
          <w:rFonts w:hint="eastAsia" w:hAnsi="宋体"/>
          <w:color w:val="000000"/>
          <w:sz w:val="22"/>
          <w:szCs w:val="22"/>
          <w:u w:val="single"/>
        </w:rPr>
        <w:t xml:space="preserve">                    </w:t>
      </w:r>
      <w:r>
        <w:rPr>
          <w:rFonts w:hint="eastAsia" w:hAnsi="宋体"/>
          <w:color w:val="000000"/>
          <w:sz w:val="22"/>
          <w:szCs w:val="22"/>
        </w:rPr>
        <w:t>（投标人的名称），提交唱标信封1份及投标文件正本1份，副本5份，投标文件电子版1份（盖章扫描件）。</w:t>
      </w:r>
    </w:p>
    <w:p w14:paraId="04A49067">
      <w:pPr>
        <w:spacing w:line="360" w:lineRule="exact"/>
        <w:ind w:firstLine="440" w:firstLineChars="200"/>
        <w:rPr>
          <w:rFonts w:hint="eastAsia" w:hAnsi="宋体"/>
          <w:color w:val="000000"/>
          <w:sz w:val="22"/>
          <w:szCs w:val="22"/>
        </w:rPr>
      </w:pPr>
      <w:r>
        <w:rPr>
          <w:rFonts w:hint="eastAsia" w:hAnsi="宋体"/>
          <w:color w:val="000000"/>
          <w:sz w:val="22"/>
          <w:szCs w:val="22"/>
        </w:rPr>
        <w:t>据此函，本人代表投标方保证，所提供的全部资料是真实的。本人承诺：</w:t>
      </w:r>
    </w:p>
    <w:p w14:paraId="384480C2">
      <w:pPr>
        <w:spacing w:line="360" w:lineRule="exact"/>
        <w:ind w:firstLine="440" w:firstLineChars="200"/>
        <w:rPr>
          <w:rFonts w:hint="eastAsia" w:hAnsi="宋体"/>
          <w:color w:val="000000"/>
          <w:sz w:val="22"/>
          <w:szCs w:val="22"/>
        </w:rPr>
      </w:pPr>
      <w:r>
        <w:rPr>
          <w:rFonts w:hint="eastAsia" w:hAnsi="宋体"/>
          <w:color w:val="000000"/>
          <w:sz w:val="22"/>
          <w:szCs w:val="22"/>
        </w:rPr>
        <w:t>（1）我方愿以开标一览表中的投标报价并按采购文件要求承包上述项目并修补其任何缺陷；</w:t>
      </w:r>
    </w:p>
    <w:p w14:paraId="370C54F0">
      <w:pPr>
        <w:spacing w:line="360" w:lineRule="exact"/>
        <w:ind w:firstLine="440" w:firstLineChars="200"/>
        <w:rPr>
          <w:rFonts w:hint="eastAsia" w:hAnsi="宋体"/>
          <w:color w:val="000000"/>
          <w:sz w:val="22"/>
          <w:szCs w:val="22"/>
        </w:rPr>
      </w:pPr>
      <w:r>
        <w:rPr>
          <w:rFonts w:hint="eastAsia" w:hAnsi="宋体"/>
          <w:color w:val="000000"/>
          <w:sz w:val="22"/>
          <w:szCs w:val="22"/>
        </w:rPr>
        <w:t>（2）我方承担根据采购文件的规定，完成合同的责任和义务。</w:t>
      </w:r>
    </w:p>
    <w:p w14:paraId="6F235972">
      <w:pPr>
        <w:spacing w:line="360" w:lineRule="exact"/>
        <w:ind w:firstLine="440" w:firstLineChars="200"/>
        <w:rPr>
          <w:rFonts w:hint="eastAsia" w:hAnsi="宋体"/>
          <w:color w:val="000000"/>
          <w:sz w:val="22"/>
          <w:szCs w:val="22"/>
        </w:rPr>
      </w:pPr>
      <w:r>
        <w:rPr>
          <w:rFonts w:hint="eastAsia" w:hAnsi="宋体"/>
          <w:color w:val="000000"/>
          <w:sz w:val="22"/>
          <w:szCs w:val="22"/>
        </w:rPr>
        <w:t>（3）我方已详细阅读了全部采购文件，包括采购文件修改书（如果有的话），参考资料及有关附件，我们完全理解并同意放弃对这方面有不清楚或误解的问题和质疑投诉的权利。</w:t>
      </w:r>
    </w:p>
    <w:p w14:paraId="3A2B5796">
      <w:pPr>
        <w:spacing w:line="360" w:lineRule="exact"/>
        <w:ind w:firstLine="440" w:firstLineChars="200"/>
        <w:rPr>
          <w:rFonts w:hint="eastAsia" w:hAnsi="宋体"/>
          <w:color w:val="000000"/>
          <w:sz w:val="22"/>
          <w:szCs w:val="22"/>
        </w:rPr>
      </w:pPr>
      <w:r>
        <w:rPr>
          <w:rFonts w:hint="eastAsia" w:hAnsi="宋体"/>
          <w:color w:val="000000"/>
          <w:sz w:val="22"/>
          <w:szCs w:val="22"/>
        </w:rPr>
        <w:t>（4）我方同意所递交的投标文件在“投标须知前附表”规定的投标有效期内有效，在此期间内我方的投标有可能中标，我方将受此约束。如果在投标有效期内撤回其投标，其投标保证金将全部被没收。</w:t>
      </w:r>
    </w:p>
    <w:p w14:paraId="2BCBE1FF">
      <w:pPr>
        <w:spacing w:line="360" w:lineRule="exact"/>
        <w:ind w:firstLine="440" w:firstLineChars="200"/>
        <w:rPr>
          <w:rFonts w:hint="eastAsia" w:hAnsi="宋体"/>
          <w:color w:val="000000"/>
          <w:sz w:val="22"/>
          <w:szCs w:val="22"/>
        </w:rPr>
      </w:pPr>
      <w:r>
        <w:rPr>
          <w:rFonts w:hint="eastAsia" w:hAnsi="宋体"/>
          <w:color w:val="000000"/>
          <w:sz w:val="22"/>
          <w:szCs w:val="22"/>
        </w:rPr>
        <w:t>（5）除非另外达成协议并生效，贵方的中标通知书和本投标文件将构成约束我们双方的合同。</w:t>
      </w:r>
    </w:p>
    <w:p w14:paraId="47A9B892">
      <w:pPr>
        <w:spacing w:line="360" w:lineRule="exact"/>
        <w:ind w:firstLine="440" w:firstLineChars="200"/>
        <w:rPr>
          <w:rFonts w:hint="eastAsia" w:hAnsi="宋体"/>
          <w:color w:val="000000"/>
          <w:sz w:val="22"/>
          <w:szCs w:val="22"/>
        </w:rPr>
      </w:pPr>
      <w:r>
        <w:rPr>
          <w:rFonts w:hint="eastAsia" w:hAnsi="宋体"/>
          <w:color w:val="000000"/>
          <w:sz w:val="22"/>
          <w:szCs w:val="22"/>
        </w:rPr>
        <w:t>（6）同意向贵方提供贵方可能要求的与本投标有关的任何证据或资料。</w:t>
      </w:r>
    </w:p>
    <w:p w14:paraId="551A9713">
      <w:pPr>
        <w:spacing w:line="360" w:lineRule="exact"/>
        <w:ind w:firstLine="440" w:firstLineChars="200"/>
        <w:rPr>
          <w:rFonts w:hint="eastAsia" w:hAnsi="宋体"/>
          <w:color w:val="000000"/>
          <w:sz w:val="22"/>
          <w:szCs w:val="22"/>
        </w:rPr>
      </w:pPr>
      <w:r>
        <w:rPr>
          <w:rFonts w:hint="eastAsia" w:hAnsi="宋体"/>
          <w:color w:val="000000"/>
          <w:sz w:val="22"/>
          <w:szCs w:val="22"/>
        </w:rPr>
        <w:t>（7）我方完全理解贵方不一定要接受最低报价的投标或收到的任何投标。</w:t>
      </w:r>
    </w:p>
    <w:p w14:paraId="78228C2A">
      <w:pPr>
        <w:spacing w:line="360" w:lineRule="exact"/>
        <w:ind w:firstLine="440" w:firstLineChars="200"/>
        <w:rPr>
          <w:rFonts w:hint="eastAsia" w:hAnsi="宋体"/>
          <w:color w:val="000000"/>
          <w:sz w:val="22"/>
          <w:szCs w:val="22"/>
        </w:rPr>
      </w:pPr>
    </w:p>
    <w:p w14:paraId="60682669">
      <w:pPr>
        <w:spacing w:line="360" w:lineRule="exact"/>
        <w:ind w:firstLine="440" w:firstLineChars="200"/>
        <w:rPr>
          <w:rFonts w:hint="eastAsia" w:hAnsi="宋体"/>
          <w:color w:val="000000"/>
          <w:sz w:val="22"/>
          <w:szCs w:val="22"/>
        </w:rPr>
      </w:pPr>
    </w:p>
    <w:p w14:paraId="16966D6D">
      <w:pPr>
        <w:spacing w:line="360" w:lineRule="exact"/>
        <w:ind w:firstLine="440" w:firstLineChars="200"/>
        <w:rPr>
          <w:rFonts w:hint="eastAsia" w:hAnsi="宋体"/>
          <w:color w:val="000000"/>
          <w:sz w:val="22"/>
          <w:szCs w:val="22"/>
        </w:rPr>
      </w:pPr>
      <w:r>
        <w:rPr>
          <w:rFonts w:hint="eastAsia" w:hAnsi="宋体"/>
          <w:color w:val="000000"/>
          <w:sz w:val="22"/>
          <w:szCs w:val="22"/>
        </w:rPr>
        <w:t>与本投标有关的正式通信方式：</w:t>
      </w:r>
    </w:p>
    <w:p w14:paraId="23F0BBED">
      <w:pPr>
        <w:spacing w:line="360" w:lineRule="exact"/>
        <w:ind w:firstLine="440" w:firstLineChars="200"/>
        <w:rPr>
          <w:rFonts w:hint="eastAsia" w:hAnsi="宋体"/>
          <w:color w:val="000000"/>
          <w:sz w:val="22"/>
          <w:szCs w:val="22"/>
          <w:u w:val="single"/>
        </w:rPr>
      </w:pPr>
      <w:r>
        <w:rPr>
          <w:rFonts w:hint="eastAsia" w:hAnsi="宋体"/>
          <w:color w:val="000000"/>
          <w:sz w:val="22"/>
          <w:szCs w:val="22"/>
        </w:rPr>
        <w:t>地址：</w:t>
      </w:r>
      <w:r>
        <w:rPr>
          <w:rFonts w:hint="eastAsia" w:hAnsi="宋体"/>
          <w:color w:val="000000"/>
          <w:sz w:val="22"/>
          <w:szCs w:val="22"/>
          <w:u w:val="single"/>
        </w:rPr>
        <w:t xml:space="preserve">                                          </w:t>
      </w:r>
      <w:r>
        <w:rPr>
          <w:rFonts w:hint="eastAsia" w:hAnsi="宋体"/>
          <w:color w:val="000000"/>
          <w:sz w:val="22"/>
          <w:szCs w:val="22"/>
        </w:rPr>
        <w:t xml:space="preserve"> 邮政编码：</w:t>
      </w:r>
      <w:r>
        <w:rPr>
          <w:rFonts w:hint="eastAsia" w:hAnsi="宋体"/>
          <w:color w:val="000000"/>
          <w:sz w:val="22"/>
          <w:szCs w:val="22"/>
          <w:u w:val="single"/>
        </w:rPr>
        <w:t xml:space="preserve">         </w:t>
      </w:r>
    </w:p>
    <w:p w14:paraId="656637F4">
      <w:pPr>
        <w:spacing w:line="360" w:lineRule="exact"/>
        <w:ind w:firstLine="440" w:firstLineChars="200"/>
        <w:rPr>
          <w:rFonts w:hint="eastAsia" w:hAnsi="宋体"/>
          <w:color w:val="000000"/>
          <w:sz w:val="22"/>
          <w:szCs w:val="22"/>
          <w:u w:val="single"/>
        </w:rPr>
      </w:pPr>
      <w:r>
        <w:rPr>
          <w:rFonts w:hint="eastAsia" w:hAnsi="宋体"/>
          <w:color w:val="000000"/>
          <w:sz w:val="22"/>
          <w:szCs w:val="22"/>
        </w:rPr>
        <w:t>电话、手机、传真或电传：</w:t>
      </w:r>
      <w:r>
        <w:rPr>
          <w:rFonts w:hint="eastAsia" w:hAnsi="宋体"/>
          <w:color w:val="000000"/>
          <w:sz w:val="22"/>
          <w:szCs w:val="22"/>
          <w:u w:val="single"/>
        </w:rPr>
        <w:t xml:space="preserve">                                            </w:t>
      </w:r>
    </w:p>
    <w:p w14:paraId="1D7D8913">
      <w:pPr>
        <w:spacing w:line="360" w:lineRule="exact"/>
        <w:ind w:firstLine="440" w:firstLineChars="200"/>
        <w:rPr>
          <w:rFonts w:hint="eastAsia" w:hAnsi="宋体"/>
          <w:color w:val="000000"/>
          <w:sz w:val="22"/>
          <w:szCs w:val="22"/>
        </w:rPr>
      </w:pPr>
      <w:r>
        <w:rPr>
          <w:rFonts w:hint="eastAsia" w:hAnsi="宋体"/>
          <w:color w:val="000000"/>
          <w:sz w:val="22"/>
          <w:szCs w:val="22"/>
          <w:lang w:val="zh-CN"/>
        </w:rPr>
        <w:t>法定代表人（</w:t>
      </w:r>
      <w:r>
        <w:rPr>
          <w:rFonts w:hint="eastAsia" w:hAnsi="宋体"/>
          <w:color w:val="000000"/>
          <w:sz w:val="22"/>
          <w:szCs w:val="22"/>
        </w:rPr>
        <w:t>单位负责人</w:t>
      </w:r>
      <w:r>
        <w:rPr>
          <w:rFonts w:hint="eastAsia" w:hAnsi="宋体"/>
          <w:color w:val="000000"/>
          <w:sz w:val="22"/>
          <w:szCs w:val="22"/>
          <w:lang w:val="zh-CN"/>
        </w:rPr>
        <w:t>）或其授权代表（签字</w:t>
      </w:r>
      <w:r>
        <w:rPr>
          <w:rFonts w:hint="eastAsia" w:hAnsi="宋体"/>
          <w:color w:val="000000"/>
          <w:sz w:val="22"/>
          <w:szCs w:val="22"/>
        </w:rPr>
        <w:t>或盖章</w:t>
      </w:r>
      <w:r>
        <w:rPr>
          <w:rFonts w:hint="eastAsia" w:hAnsi="宋体"/>
          <w:color w:val="000000"/>
          <w:sz w:val="22"/>
          <w:szCs w:val="22"/>
          <w:lang w:val="zh-CN"/>
        </w:rPr>
        <w:t>）</w:t>
      </w:r>
      <w:r>
        <w:rPr>
          <w:rFonts w:hint="eastAsia" w:hAnsi="宋体"/>
          <w:color w:val="000000"/>
          <w:sz w:val="22"/>
          <w:szCs w:val="22"/>
        </w:rPr>
        <w:t>：</w:t>
      </w:r>
      <w:r>
        <w:rPr>
          <w:rFonts w:hint="eastAsia" w:hAnsi="宋体"/>
          <w:color w:val="000000"/>
          <w:sz w:val="22"/>
          <w:szCs w:val="22"/>
          <w:u w:val="single"/>
        </w:rPr>
        <w:t xml:space="preserve">                </w:t>
      </w:r>
    </w:p>
    <w:p w14:paraId="740053EC">
      <w:pPr>
        <w:spacing w:line="360" w:lineRule="exact"/>
        <w:ind w:firstLine="440" w:firstLineChars="200"/>
        <w:rPr>
          <w:rFonts w:hint="eastAsia" w:hAnsi="宋体"/>
          <w:color w:val="000000"/>
          <w:sz w:val="22"/>
          <w:szCs w:val="22"/>
        </w:rPr>
      </w:pPr>
      <w:r>
        <w:rPr>
          <w:rFonts w:hint="eastAsia" w:hAnsi="宋体"/>
          <w:color w:val="000000"/>
          <w:sz w:val="22"/>
          <w:szCs w:val="22"/>
        </w:rPr>
        <w:t>投标人名称（盖章）：</w:t>
      </w:r>
      <w:r>
        <w:rPr>
          <w:rFonts w:hint="eastAsia" w:hAnsi="宋体"/>
          <w:color w:val="000000"/>
          <w:sz w:val="22"/>
          <w:szCs w:val="22"/>
          <w:u w:val="single"/>
        </w:rPr>
        <w:t xml:space="preserve">                        </w:t>
      </w:r>
    </w:p>
    <w:p w14:paraId="4BA08383">
      <w:pPr>
        <w:spacing w:line="360" w:lineRule="exact"/>
        <w:ind w:firstLine="440" w:firstLineChars="200"/>
        <w:rPr>
          <w:rFonts w:hint="eastAsia" w:hAnsi="宋体"/>
          <w:color w:val="000000"/>
          <w:sz w:val="22"/>
          <w:szCs w:val="22"/>
        </w:rPr>
      </w:pPr>
      <w:r>
        <w:rPr>
          <w:rFonts w:hint="eastAsia" w:hAnsi="宋体"/>
          <w:color w:val="000000"/>
          <w:sz w:val="22"/>
          <w:szCs w:val="22"/>
        </w:rPr>
        <w:t>日期：   年   月   日</w:t>
      </w:r>
    </w:p>
    <w:p w14:paraId="67E21F50">
      <w:pPr>
        <w:tabs>
          <w:tab w:val="clear" w:pos="426"/>
        </w:tabs>
        <w:spacing w:line="300" w:lineRule="auto"/>
        <w:rPr>
          <w:szCs w:val="21"/>
        </w:rPr>
      </w:pPr>
    </w:p>
    <w:p w14:paraId="68D84163">
      <w:pPr>
        <w:tabs>
          <w:tab w:val="clear" w:pos="426"/>
        </w:tabs>
        <w:spacing w:line="300" w:lineRule="auto"/>
        <w:rPr>
          <w:szCs w:val="21"/>
        </w:rPr>
      </w:pPr>
    </w:p>
    <w:p w14:paraId="4B51606F">
      <w:pPr>
        <w:tabs>
          <w:tab w:val="clear" w:pos="426"/>
        </w:tabs>
        <w:spacing w:line="300" w:lineRule="auto"/>
        <w:rPr>
          <w:szCs w:val="21"/>
        </w:rPr>
      </w:pPr>
    </w:p>
    <w:p w14:paraId="0BED6AA1">
      <w:pPr>
        <w:tabs>
          <w:tab w:val="clear" w:pos="426"/>
        </w:tabs>
        <w:spacing w:line="300" w:lineRule="auto"/>
        <w:rPr>
          <w:szCs w:val="21"/>
        </w:rPr>
      </w:pPr>
    </w:p>
    <w:p w14:paraId="2E204FF9">
      <w:pPr>
        <w:shd w:val="clear" w:color="auto" w:fill="auto"/>
        <w:tabs>
          <w:tab w:val="clear" w:pos="426"/>
        </w:tabs>
        <w:adjustRightInd/>
        <w:snapToGrid/>
        <w:spacing w:line="240" w:lineRule="auto"/>
        <w:jc w:val="left"/>
        <w:rPr>
          <w:szCs w:val="21"/>
        </w:rPr>
      </w:pPr>
      <w:r>
        <w:rPr>
          <w:szCs w:val="21"/>
        </w:rPr>
        <w:br w:type="page"/>
      </w:r>
    </w:p>
    <w:p w14:paraId="28A8C0C0">
      <w:pPr>
        <w:pStyle w:val="5"/>
        <w:numPr>
          <w:ilvl w:val="0"/>
          <w:numId w:val="0"/>
        </w:numPr>
        <w:tabs>
          <w:tab w:val="left" w:pos="420"/>
          <w:tab w:val="clear" w:pos="426"/>
          <w:tab w:val="clear" w:pos="1680"/>
        </w:tabs>
        <w:jc w:val="left"/>
      </w:pPr>
      <w:bookmarkStart w:id="69" w:name="_Toc36822689"/>
      <w:r>
        <w:rPr>
          <w:rFonts w:hint="eastAsia"/>
          <w:bCs w:val="0"/>
        </w:rPr>
        <w:t>二</w:t>
      </w:r>
      <w:r>
        <w:rPr>
          <w:rFonts w:hint="eastAsia"/>
        </w:rPr>
        <w:t>、政府采购投标及履约承诺函</w:t>
      </w:r>
      <w:bookmarkEnd w:id="69"/>
    </w:p>
    <w:p w14:paraId="6CF74F8D">
      <w:pPr>
        <w:widowControl w:val="0"/>
        <w:shd w:val="clear" w:color="auto" w:fill="auto"/>
        <w:tabs>
          <w:tab w:val="clear" w:pos="426"/>
        </w:tabs>
        <w:adjustRightInd/>
        <w:snapToGrid/>
        <w:spacing w:line="300" w:lineRule="auto"/>
        <w:jc w:val="center"/>
        <w:rPr>
          <w:rFonts w:cs="Times New Roman"/>
          <w:bCs/>
          <w:kern w:val="2"/>
          <w:sz w:val="32"/>
          <w:szCs w:val="32"/>
        </w:rPr>
      </w:pPr>
      <w:r>
        <w:rPr>
          <w:rFonts w:hint="eastAsia" w:cs="Times New Roman"/>
          <w:bCs/>
          <w:kern w:val="2"/>
          <w:sz w:val="32"/>
          <w:szCs w:val="32"/>
        </w:rPr>
        <w:t>政府采购投标及履约承诺函</w:t>
      </w:r>
    </w:p>
    <w:p w14:paraId="66B3D133">
      <w:pPr>
        <w:spacing w:line="360" w:lineRule="exact"/>
        <w:jc w:val="left"/>
        <w:rPr>
          <w:rFonts w:hint="eastAsia" w:hAnsi="宋体"/>
          <w:sz w:val="22"/>
        </w:rPr>
      </w:pPr>
      <w:bookmarkStart w:id="70" w:name="_Toc36822690"/>
    </w:p>
    <w:p w14:paraId="1B6D90D5">
      <w:pPr>
        <w:spacing w:line="360" w:lineRule="exact"/>
        <w:jc w:val="left"/>
        <w:rPr>
          <w:rFonts w:hint="eastAsia" w:hAnsi="宋体"/>
          <w:sz w:val="22"/>
        </w:rPr>
      </w:pPr>
      <w:r>
        <w:rPr>
          <w:rFonts w:hint="eastAsia" w:hAnsi="宋体"/>
          <w:sz w:val="22"/>
        </w:rPr>
        <w:t>致：深圳市东海国际招标有限公司</w:t>
      </w:r>
    </w:p>
    <w:p w14:paraId="555A0628">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我公司承诺：</w:t>
      </w:r>
    </w:p>
    <w:p w14:paraId="79AB1102">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1.我公司本招标项目所提供的货物或服务未侵犯知识产权。</w:t>
      </w:r>
    </w:p>
    <w:p w14:paraId="32B869D2">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2.我公司参与本项目投标前三年内，在经营活动中没有重大违法记录。</w:t>
      </w:r>
    </w:p>
    <w:p w14:paraId="67C06CF0">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3.我公司参与本项目政府采购活动时不存在被有关部门禁止参与政府采购活动且在有效期内的情况。</w:t>
      </w:r>
    </w:p>
    <w:p w14:paraId="5C20103F">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4.我公司具备《中华人民共和国政府采购法》第二十二条第一款规定的六项条件。</w:t>
      </w:r>
    </w:p>
    <w:p w14:paraId="551C31A7">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5.我公司未被列入失信被执行人、重大税收违法案件当事人名单、政府采购严重违法失信行为记录名单。</w:t>
      </w:r>
    </w:p>
    <w:p w14:paraId="35A9BBAB">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6.我公司不存在单位负责人为同一人或者存在直接控股、管理关系的不同供应商，同时参加本项目的投标。</w:t>
      </w:r>
    </w:p>
    <w:p w14:paraId="4B916D75">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7.我公司不存在</w:t>
      </w:r>
      <w:r>
        <w:rPr>
          <w:rFonts w:hint="eastAsia" w:hAnsi="宋体"/>
          <w:sz w:val="22"/>
          <w:lang w:val="zh-CN"/>
        </w:rPr>
        <w:t>对本次采购项目提供整体设计、规范编制或者项目管理、监理、检测等服务。</w:t>
      </w:r>
    </w:p>
    <w:p w14:paraId="2520EF48">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8.我公司参与该项目投标，严格遵循公平竞争的原则，不恶意串通，不妨碍其他投标人的竞争行为，不损害采购人或者其他投标人的合法权益。我公司已清楚，如违反上述要求，将作投标无效处理。</w:t>
      </w:r>
    </w:p>
    <w:p w14:paraId="7B886575">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9.我公司如果中标，做到守信，不偷工减料，依照本项目招标文件需求内容、签署的采购合同及本公司在投标中所作的一切承诺履约。</w:t>
      </w:r>
    </w:p>
    <w:p w14:paraId="3AA94492">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10.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0AB873AD">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11.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613A7722">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12.我公司承诺不非法转包、分包。</w:t>
      </w:r>
    </w:p>
    <w:p w14:paraId="1AF9318A">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13.我公司承诺所投标（响应）的货物、工程或服务，不存在侵犯知识产权的情况；已知悉并同意中标（成交）结果信息公示（公开）的内容。</w:t>
      </w:r>
    </w:p>
    <w:p w14:paraId="64EE3AF8">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14.我公司保证，若所投货物涉及《财政部生态环境部关于印发节能产品政府采购品目清单的通知》（财库〔2019〕19号）列明的政府采购强制产品，则所投该产品符合节能产品的认证要求。</w:t>
      </w:r>
    </w:p>
    <w:p w14:paraId="22593302">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15.我公司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53069151">
      <w:pPr>
        <w:widowControl w:val="0"/>
        <w:tabs>
          <w:tab w:val="left" w:pos="567"/>
          <w:tab w:val="clear" w:pos="426"/>
        </w:tabs>
        <w:adjustRightInd/>
        <w:snapToGrid/>
        <w:spacing w:line="360" w:lineRule="exact"/>
        <w:ind w:firstLine="440" w:firstLineChars="200"/>
        <w:jc w:val="left"/>
        <w:rPr>
          <w:rFonts w:hint="eastAsia" w:hAnsi="宋体"/>
          <w:sz w:val="22"/>
        </w:rPr>
      </w:pPr>
    </w:p>
    <w:p w14:paraId="3E01B61B">
      <w:pPr>
        <w:widowControl w:val="0"/>
        <w:tabs>
          <w:tab w:val="left" w:pos="567"/>
          <w:tab w:val="clear" w:pos="426"/>
        </w:tabs>
        <w:adjustRightInd/>
        <w:snapToGrid/>
        <w:spacing w:line="360" w:lineRule="exact"/>
        <w:ind w:firstLine="440" w:firstLineChars="200"/>
        <w:jc w:val="left"/>
        <w:rPr>
          <w:rFonts w:hint="eastAsia" w:hAnsi="宋体"/>
          <w:sz w:val="22"/>
        </w:rPr>
      </w:pPr>
      <w:r>
        <w:rPr>
          <w:rFonts w:hint="eastAsia" w:hAnsi="宋体"/>
          <w:sz w:val="22"/>
        </w:rPr>
        <w:t>以上承诺，如有违反，愿依照国家相关法律处理，并承担由此给采购人带来的损失。</w:t>
      </w:r>
    </w:p>
    <w:p w14:paraId="62B3EFF1">
      <w:pPr>
        <w:tabs>
          <w:tab w:val="left" w:pos="567"/>
          <w:tab w:val="clear" w:pos="426"/>
        </w:tabs>
        <w:spacing w:line="360" w:lineRule="exact"/>
        <w:ind w:left="420"/>
        <w:jc w:val="left"/>
        <w:rPr>
          <w:rFonts w:hint="eastAsia" w:hAnsi="宋体"/>
          <w:sz w:val="22"/>
        </w:rPr>
      </w:pPr>
    </w:p>
    <w:p w14:paraId="2C08CAFE">
      <w:pPr>
        <w:tabs>
          <w:tab w:val="left" w:pos="567"/>
          <w:tab w:val="clear" w:pos="426"/>
        </w:tabs>
        <w:spacing w:line="360" w:lineRule="exact"/>
        <w:ind w:left="420"/>
        <w:jc w:val="left"/>
        <w:rPr>
          <w:rFonts w:hint="eastAsia" w:hAnsi="宋体"/>
          <w:sz w:val="22"/>
        </w:rPr>
      </w:pPr>
      <w:r>
        <w:rPr>
          <w:rFonts w:hint="eastAsia" w:hAnsi="宋体"/>
          <w:sz w:val="22"/>
        </w:rPr>
        <w:t>投标人名称（盖章）：</w:t>
      </w:r>
    </w:p>
    <w:p w14:paraId="68602EF7">
      <w:pPr>
        <w:tabs>
          <w:tab w:val="clear" w:pos="426"/>
        </w:tabs>
        <w:spacing w:line="360" w:lineRule="exact"/>
        <w:ind w:firstLine="440" w:firstLineChars="200"/>
        <w:rPr>
          <w:rFonts w:hint="eastAsia" w:hAnsi="宋体"/>
          <w:sz w:val="22"/>
          <w:szCs w:val="21"/>
        </w:rPr>
      </w:pPr>
      <w:r>
        <w:rPr>
          <w:rFonts w:hint="eastAsia" w:hAnsi="宋体"/>
          <w:sz w:val="22"/>
        </w:rPr>
        <w:t>日期：年 月 日</w:t>
      </w:r>
    </w:p>
    <w:p w14:paraId="4CF69884">
      <w:pPr>
        <w:tabs>
          <w:tab w:val="left" w:pos="0"/>
          <w:tab w:val="clear" w:pos="426"/>
        </w:tabs>
        <w:jc w:val="left"/>
        <w:outlineLvl w:val="2"/>
        <w:rPr>
          <w:rFonts w:hAnsi="Calibri"/>
          <w:sz w:val="22"/>
          <w:szCs w:val="21"/>
        </w:rPr>
      </w:pPr>
      <w:r>
        <w:rPr>
          <w:rFonts w:hAnsi="Calibri"/>
          <w:sz w:val="22"/>
          <w:szCs w:val="21"/>
        </w:rPr>
        <w:br w:type="page"/>
      </w:r>
    </w:p>
    <w:p w14:paraId="2B45D12D">
      <w:pPr>
        <w:pStyle w:val="5"/>
        <w:numPr>
          <w:ilvl w:val="0"/>
          <w:numId w:val="0"/>
        </w:numPr>
        <w:tabs>
          <w:tab w:val="left" w:pos="420"/>
          <w:tab w:val="clear" w:pos="426"/>
          <w:tab w:val="clear" w:pos="1680"/>
        </w:tabs>
        <w:jc w:val="left"/>
        <w:rPr>
          <w:bCs w:val="0"/>
        </w:rPr>
      </w:pPr>
      <w:r>
        <w:rPr>
          <w:rFonts w:hint="eastAsia"/>
          <w:bCs w:val="0"/>
        </w:rPr>
        <w:t>三、诚信承诺函</w:t>
      </w:r>
    </w:p>
    <w:p w14:paraId="3076814B">
      <w:pPr>
        <w:widowControl w:val="0"/>
        <w:shd w:val="clear" w:color="auto" w:fill="auto"/>
        <w:tabs>
          <w:tab w:val="clear" w:pos="426"/>
        </w:tabs>
        <w:adjustRightInd/>
        <w:snapToGrid/>
        <w:spacing w:line="300" w:lineRule="auto"/>
        <w:jc w:val="center"/>
        <w:rPr>
          <w:rFonts w:cs="Times New Roman"/>
          <w:bCs/>
          <w:kern w:val="2"/>
          <w:sz w:val="32"/>
          <w:szCs w:val="32"/>
        </w:rPr>
      </w:pPr>
      <w:r>
        <w:rPr>
          <w:rFonts w:hint="eastAsia" w:cs="Times New Roman"/>
          <w:bCs/>
          <w:kern w:val="2"/>
          <w:sz w:val="32"/>
          <w:szCs w:val="32"/>
        </w:rPr>
        <w:t>诚信承诺函</w:t>
      </w:r>
    </w:p>
    <w:p w14:paraId="4D4ADAD5">
      <w:pPr>
        <w:rPr>
          <w:rFonts w:hint="eastAsia" w:hAnsi="宋体"/>
          <w:sz w:val="22"/>
        </w:rPr>
      </w:pPr>
    </w:p>
    <w:p w14:paraId="4BBA0D3F">
      <w:pPr>
        <w:rPr>
          <w:rFonts w:hint="eastAsia" w:hAnsi="宋体"/>
          <w:sz w:val="22"/>
        </w:rPr>
      </w:pPr>
      <w:r>
        <w:rPr>
          <w:rFonts w:hint="eastAsia" w:hAnsi="宋体"/>
          <w:sz w:val="22"/>
        </w:rPr>
        <w:t>致：深圳市东海国际招标有限公司</w:t>
      </w:r>
    </w:p>
    <w:p w14:paraId="3B9B0AFF">
      <w:pPr>
        <w:ind w:firstLine="440" w:firstLineChars="200"/>
        <w:rPr>
          <w:rFonts w:hint="eastAsia" w:hAnsi="宋体"/>
          <w:sz w:val="22"/>
        </w:rPr>
      </w:pPr>
      <w:r>
        <w:rPr>
          <w:rFonts w:hint="eastAsia" w:hAnsi="宋体"/>
          <w:sz w:val="22"/>
        </w:rPr>
        <w:t>我公司承诺，在政府采购招标投标活动中无下列行为：</w:t>
      </w:r>
    </w:p>
    <w:p w14:paraId="46019BB3">
      <w:pPr>
        <w:tabs>
          <w:tab w:val="left" w:pos="567"/>
          <w:tab w:val="clear" w:pos="426"/>
        </w:tabs>
        <w:ind w:left="420"/>
        <w:jc w:val="left"/>
        <w:rPr>
          <w:rFonts w:hint="eastAsia" w:hAnsi="宋体"/>
          <w:sz w:val="22"/>
        </w:rPr>
      </w:pPr>
      <w:r>
        <w:rPr>
          <w:rFonts w:hint="eastAsia" w:hAnsi="宋体"/>
          <w:sz w:val="22"/>
        </w:rPr>
        <w:t>（一）被纪检监察部门立案调查，违法违规事实成立的；</w:t>
      </w:r>
    </w:p>
    <w:p w14:paraId="46BEEB4F">
      <w:pPr>
        <w:tabs>
          <w:tab w:val="left" w:pos="567"/>
          <w:tab w:val="clear" w:pos="426"/>
        </w:tabs>
        <w:ind w:left="420"/>
        <w:jc w:val="left"/>
        <w:rPr>
          <w:rFonts w:hint="eastAsia" w:hAnsi="宋体"/>
          <w:sz w:val="22"/>
        </w:rPr>
      </w:pPr>
      <w:r>
        <w:rPr>
          <w:rFonts w:hint="eastAsia" w:hAnsi="宋体"/>
          <w:sz w:val="22"/>
        </w:rPr>
        <w:t>（二）未按本条例规定签订、履行采购合同，造成严重后果的；</w:t>
      </w:r>
    </w:p>
    <w:p w14:paraId="255601E7">
      <w:pPr>
        <w:tabs>
          <w:tab w:val="left" w:pos="567"/>
          <w:tab w:val="clear" w:pos="426"/>
        </w:tabs>
        <w:ind w:left="420"/>
        <w:jc w:val="left"/>
        <w:rPr>
          <w:rFonts w:hint="eastAsia" w:hAnsi="宋体"/>
          <w:sz w:val="22"/>
        </w:rPr>
      </w:pPr>
      <w:r>
        <w:rPr>
          <w:rFonts w:hint="eastAsia" w:hAnsi="宋体"/>
          <w:sz w:val="22"/>
        </w:rPr>
        <w:t>（三）隐瞒真实情况，提供虚假资料的；</w:t>
      </w:r>
    </w:p>
    <w:p w14:paraId="6F93CA57">
      <w:pPr>
        <w:tabs>
          <w:tab w:val="left" w:pos="567"/>
          <w:tab w:val="clear" w:pos="426"/>
        </w:tabs>
        <w:ind w:left="420"/>
        <w:jc w:val="left"/>
        <w:rPr>
          <w:rFonts w:hint="eastAsia" w:hAnsi="宋体"/>
          <w:sz w:val="22"/>
        </w:rPr>
      </w:pPr>
      <w:r>
        <w:rPr>
          <w:rFonts w:hint="eastAsia" w:hAnsi="宋体"/>
          <w:sz w:val="22"/>
        </w:rPr>
        <w:t>（四）以非法手段排斥其他供应商参与竞争的；</w:t>
      </w:r>
    </w:p>
    <w:p w14:paraId="13C65A21">
      <w:pPr>
        <w:tabs>
          <w:tab w:val="left" w:pos="567"/>
          <w:tab w:val="clear" w:pos="426"/>
        </w:tabs>
        <w:ind w:left="420"/>
        <w:jc w:val="left"/>
        <w:rPr>
          <w:rFonts w:hint="eastAsia" w:hAnsi="宋体"/>
          <w:sz w:val="22"/>
        </w:rPr>
      </w:pPr>
      <w:r>
        <w:rPr>
          <w:rFonts w:hint="eastAsia" w:hAnsi="宋体"/>
          <w:sz w:val="22"/>
        </w:rPr>
        <w:t>（五）与其他采购参加人串通投标的；</w:t>
      </w:r>
    </w:p>
    <w:p w14:paraId="3B7C5478">
      <w:pPr>
        <w:tabs>
          <w:tab w:val="left" w:pos="567"/>
          <w:tab w:val="clear" w:pos="426"/>
        </w:tabs>
        <w:ind w:left="420"/>
        <w:jc w:val="left"/>
        <w:rPr>
          <w:rFonts w:hint="eastAsia" w:hAnsi="宋体"/>
          <w:sz w:val="22"/>
        </w:rPr>
      </w:pPr>
      <w:r>
        <w:rPr>
          <w:rFonts w:hint="eastAsia" w:hAnsi="宋体"/>
          <w:sz w:val="22"/>
        </w:rPr>
        <w:t xml:space="preserve">（六）在采购活动中应当回避而未回避的； </w:t>
      </w:r>
    </w:p>
    <w:p w14:paraId="2BC14714">
      <w:pPr>
        <w:tabs>
          <w:tab w:val="left" w:pos="567"/>
          <w:tab w:val="clear" w:pos="426"/>
        </w:tabs>
        <w:ind w:left="420"/>
        <w:jc w:val="left"/>
        <w:rPr>
          <w:rFonts w:hint="eastAsia" w:hAnsi="宋体"/>
          <w:sz w:val="22"/>
        </w:rPr>
      </w:pPr>
      <w:r>
        <w:rPr>
          <w:rFonts w:hint="eastAsia" w:hAnsi="宋体"/>
          <w:sz w:val="22"/>
        </w:rPr>
        <w:t xml:space="preserve">（七）恶意投诉的； </w:t>
      </w:r>
    </w:p>
    <w:p w14:paraId="30D088AF">
      <w:pPr>
        <w:tabs>
          <w:tab w:val="left" w:pos="567"/>
          <w:tab w:val="clear" w:pos="426"/>
        </w:tabs>
        <w:ind w:left="420"/>
        <w:jc w:val="left"/>
        <w:rPr>
          <w:rFonts w:hint="eastAsia" w:hAnsi="宋体"/>
          <w:sz w:val="22"/>
        </w:rPr>
      </w:pPr>
      <w:r>
        <w:rPr>
          <w:rFonts w:hint="eastAsia" w:hAnsi="宋体"/>
          <w:sz w:val="22"/>
        </w:rPr>
        <w:t xml:space="preserve">（八）向采购项目相关人行贿或者提供其他不当利益的； </w:t>
      </w:r>
    </w:p>
    <w:p w14:paraId="4B1860D0">
      <w:pPr>
        <w:tabs>
          <w:tab w:val="left" w:pos="567"/>
          <w:tab w:val="clear" w:pos="426"/>
        </w:tabs>
        <w:ind w:left="420"/>
        <w:jc w:val="left"/>
        <w:rPr>
          <w:rFonts w:hint="eastAsia" w:hAnsi="宋体"/>
          <w:sz w:val="22"/>
        </w:rPr>
      </w:pPr>
      <w:r>
        <w:rPr>
          <w:rFonts w:hint="eastAsia" w:hAnsi="宋体"/>
          <w:sz w:val="22"/>
        </w:rPr>
        <w:t>（九）阻碍、抗拒主管部门监督检查的；</w:t>
      </w:r>
    </w:p>
    <w:p w14:paraId="0146F118">
      <w:pPr>
        <w:tabs>
          <w:tab w:val="left" w:pos="567"/>
          <w:tab w:val="clear" w:pos="426"/>
        </w:tabs>
        <w:ind w:left="420"/>
        <w:jc w:val="left"/>
        <w:rPr>
          <w:rFonts w:hint="eastAsia" w:hAnsi="宋体"/>
          <w:sz w:val="22"/>
        </w:rPr>
      </w:pPr>
      <w:r>
        <w:rPr>
          <w:rFonts w:hint="eastAsia" w:hAnsi="宋体"/>
          <w:sz w:val="22"/>
        </w:rPr>
        <w:t>（十）履约检查不合格或者评价为差的；</w:t>
      </w:r>
    </w:p>
    <w:p w14:paraId="199BDDEB">
      <w:pPr>
        <w:tabs>
          <w:tab w:val="left" w:pos="567"/>
          <w:tab w:val="clear" w:pos="426"/>
        </w:tabs>
        <w:ind w:left="420"/>
        <w:jc w:val="left"/>
        <w:rPr>
          <w:rFonts w:hint="eastAsia" w:hAnsi="宋体"/>
          <w:sz w:val="22"/>
        </w:rPr>
      </w:pPr>
      <w:r>
        <w:rPr>
          <w:rFonts w:hint="eastAsia" w:hAnsi="宋体"/>
          <w:sz w:val="22"/>
        </w:rPr>
        <w:t xml:space="preserve">（十一）参与本项目投标前三年内，在经营活动中有重大违法记录； </w:t>
      </w:r>
    </w:p>
    <w:p w14:paraId="0B9D3CB1">
      <w:pPr>
        <w:tabs>
          <w:tab w:val="left" w:pos="567"/>
          <w:tab w:val="clear" w:pos="426"/>
        </w:tabs>
        <w:ind w:left="420"/>
        <w:jc w:val="left"/>
        <w:rPr>
          <w:rFonts w:hint="eastAsia" w:hAnsi="宋体"/>
          <w:sz w:val="22"/>
        </w:rPr>
      </w:pPr>
      <w:r>
        <w:rPr>
          <w:rFonts w:hint="eastAsia" w:hAnsi="宋体"/>
          <w:sz w:val="22"/>
        </w:rPr>
        <w:t>（十二）参与本项目政府采购活动时存在处于被有关部门禁止参与政府采购活动且在有效期内的情况；</w:t>
      </w:r>
    </w:p>
    <w:p w14:paraId="2A2E19BF">
      <w:pPr>
        <w:ind w:firstLine="440" w:firstLineChars="200"/>
        <w:rPr>
          <w:rFonts w:hint="eastAsia" w:hAnsi="宋体"/>
          <w:sz w:val="22"/>
        </w:rPr>
      </w:pPr>
      <w:r>
        <w:rPr>
          <w:rFonts w:hint="eastAsia" w:hAnsi="宋体"/>
          <w:sz w:val="22"/>
        </w:rPr>
        <w:t>（十三）主管部门认定的其他情形。</w:t>
      </w:r>
    </w:p>
    <w:p w14:paraId="459E8280">
      <w:pPr>
        <w:ind w:firstLine="440" w:firstLineChars="200"/>
        <w:rPr>
          <w:rFonts w:hint="eastAsia" w:hAnsi="宋体"/>
          <w:sz w:val="22"/>
        </w:rPr>
      </w:pPr>
      <w:r>
        <w:rPr>
          <w:rFonts w:hint="eastAsia" w:hAnsi="宋体"/>
          <w:sz w:val="22"/>
        </w:rPr>
        <w:t>如我司在开标日前三年内存在上述行为超出法定追诉时效未被追诉、或者上述情节轻微未给予禁止参加政府采购的行政处罚，我司自愿承担虚假应标以及其他一切不利的法律后果。</w:t>
      </w:r>
    </w:p>
    <w:p w14:paraId="6D013CFB">
      <w:pPr>
        <w:ind w:firstLine="440" w:firstLineChars="200"/>
        <w:rPr>
          <w:rFonts w:hint="eastAsia" w:hAnsi="宋体"/>
          <w:sz w:val="22"/>
        </w:rPr>
      </w:pPr>
      <w:r>
        <w:rPr>
          <w:rFonts w:hint="eastAsia" w:hAnsi="宋体"/>
          <w:sz w:val="22"/>
        </w:rPr>
        <w:t>特此承诺。</w:t>
      </w:r>
    </w:p>
    <w:p w14:paraId="638D4E7C">
      <w:pPr>
        <w:ind w:firstLine="480" w:firstLineChars="200"/>
        <w:rPr>
          <w:rFonts w:hint="eastAsia" w:hAnsi="宋体"/>
          <w:sz w:val="24"/>
        </w:rPr>
      </w:pPr>
    </w:p>
    <w:p w14:paraId="3F08DB11">
      <w:pPr>
        <w:rPr>
          <w:sz w:val="22"/>
        </w:rPr>
      </w:pPr>
      <w:r>
        <w:rPr>
          <w:rFonts w:hint="eastAsia" w:hAnsi="宋体"/>
          <w:sz w:val="22"/>
          <w:lang w:val="zh-CN"/>
        </w:rPr>
        <w:t>法定代表人（</w:t>
      </w:r>
      <w:r>
        <w:rPr>
          <w:rFonts w:hint="eastAsia" w:hAnsi="宋体"/>
          <w:sz w:val="22"/>
        </w:rPr>
        <w:t>单位负责人</w:t>
      </w:r>
      <w:r>
        <w:rPr>
          <w:rFonts w:hint="eastAsia" w:hAnsi="宋体"/>
          <w:sz w:val="22"/>
          <w:lang w:val="zh-CN"/>
        </w:rPr>
        <w:t>）或其授权代表（签字</w:t>
      </w:r>
      <w:r>
        <w:rPr>
          <w:rFonts w:hint="eastAsia" w:hAnsi="宋体"/>
          <w:sz w:val="22"/>
        </w:rPr>
        <w:t>或盖章</w:t>
      </w:r>
      <w:r>
        <w:rPr>
          <w:rFonts w:hint="eastAsia" w:hAnsi="宋体"/>
          <w:sz w:val="22"/>
          <w:lang w:val="zh-CN"/>
        </w:rPr>
        <w:t>）</w:t>
      </w:r>
      <w:r>
        <w:rPr>
          <w:rFonts w:hint="eastAsia"/>
          <w:sz w:val="22"/>
        </w:rPr>
        <w:t xml:space="preserve">：                   </w:t>
      </w:r>
    </w:p>
    <w:p w14:paraId="51C8E3DB">
      <w:pPr>
        <w:rPr>
          <w:sz w:val="22"/>
        </w:rPr>
      </w:pPr>
      <w:r>
        <w:rPr>
          <w:rFonts w:hint="eastAsia"/>
          <w:sz w:val="22"/>
        </w:rPr>
        <w:t xml:space="preserve">投标人名称（盖章）：                        </w:t>
      </w:r>
    </w:p>
    <w:p w14:paraId="22DA29BE">
      <w:pPr>
        <w:rPr>
          <w:sz w:val="22"/>
        </w:rPr>
      </w:pPr>
      <w:r>
        <w:rPr>
          <w:rFonts w:hint="eastAsia"/>
          <w:sz w:val="22"/>
        </w:rPr>
        <w:t>日期：   年   月   日</w:t>
      </w:r>
    </w:p>
    <w:p w14:paraId="2680280E">
      <w:pPr>
        <w:rPr>
          <w:rFonts w:ascii="Arial" w:hAnsi="Arial" w:eastAsia="黑体" w:cs="Times New Roman"/>
          <w:b/>
          <w:bCs/>
          <w:kern w:val="2"/>
          <w:sz w:val="28"/>
          <w:szCs w:val="28"/>
        </w:rPr>
      </w:pPr>
      <w:r>
        <w:rPr>
          <w:rFonts w:hint="eastAsia" w:ascii="Arial" w:hAnsi="Arial" w:eastAsia="黑体" w:cs="Times New Roman"/>
          <w:b/>
          <w:bCs/>
          <w:kern w:val="2"/>
          <w:sz w:val="28"/>
          <w:szCs w:val="28"/>
        </w:rPr>
        <w:br w:type="page"/>
      </w:r>
    </w:p>
    <w:p w14:paraId="1D8D663F">
      <w:pPr>
        <w:tabs>
          <w:tab w:val="left" w:pos="0"/>
          <w:tab w:val="clear" w:pos="426"/>
        </w:tabs>
        <w:jc w:val="left"/>
        <w:outlineLvl w:val="2"/>
        <w:rPr>
          <w:sz w:val="24"/>
        </w:rPr>
      </w:pPr>
      <w:bookmarkStart w:id="71" w:name="_Toc11544"/>
      <w:r>
        <w:rPr>
          <w:rFonts w:hint="eastAsia" w:ascii="Arial" w:hAnsi="Arial" w:eastAsia="黑体" w:cs="Times New Roman"/>
          <w:b/>
          <w:bCs/>
          <w:kern w:val="2"/>
          <w:sz w:val="28"/>
          <w:szCs w:val="28"/>
        </w:rPr>
        <w:t>四、政府采购违法行为风险知悉确认书</w:t>
      </w:r>
      <w:bookmarkEnd w:id="71"/>
    </w:p>
    <w:p w14:paraId="54984B76">
      <w:pPr>
        <w:widowControl w:val="0"/>
        <w:shd w:val="clear" w:color="auto" w:fill="auto"/>
        <w:tabs>
          <w:tab w:val="clear" w:pos="426"/>
        </w:tabs>
        <w:adjustRightInd/>
        <w:snapToGrid/>
        <w:spacing w:line="300" w:lineRule="auto"/>
        <w:jc w:val="center"/>
        <w:rPr>
          <w:rFonts w:cs="Times New Roman"/>
          <w:bCs/>
          <w:kern w:val="2"/>
          <w:sz w:val="32"/>
          <w:szCs w:val="32"/>
        </w:rPr>
      </w:pPr>
      <w:r>
        <w:rPr>
          <w:rFonts w:hint="eastAsia" w:cs="Times New Roman"/>
          <w:bCs/>
          <w:kern w:val="2"/>
          <w:sz w:val="32"/>
          <w:szCs w:val="32"/>
        </w:rPr>
        <w:t>政府采购违法行为风险知悉确认书</w:t>
      </w:r>
    </w:p>
    <w:p w14:paraId="7193E021">
      <w:pPr>
        <w:ind w:firstLine="440" w:firstLineChars="200"/>
        <w:rPr>
          <w:rFonts w:hint="eastAsia" w:hAnsi="宋体"/>
          <w:sz w:val="22"/>
        </w:rPr>
      </w:pPr>
    </w:p>
    <w:p w14:paraId="510A5244">
      <w:pPr>
        <w:ind w:firstLine="440" w:firstLineChars="200"/>
        <w:rPr>
          <w:rFonts w:hint="eastAsia" w:hAnsi="宋体"/>
          <w:sz w:val="22"/>
        </w:rPr>
      </w:pPr>
      <w:r>
        <w:rPr>
          <w:rFonts w:hint="eastAsia" w:hAnsi="宋体"/>
          <w:sz w:val="22"/>
        </w:rPr>
        <w:t>本公司在投标前已充分知悉以下情形为参与政府采购活动时的重大风险事项，并承诺已对下述风险提示事项重点排查，做到严谨、诚信、依法依规参与政府采购活动。</w:t>
      </w:r>
      <w:r>
        <w:rPr>
          <w:rFonts w:hint="eastAsia" w:hAnsi="宋体"/>
          <w:color w:val="000000"/>
          <w:sz w:val="22"/>
        </w:rPr>
        <w:t xml:space="preserve"> </w:t>
      </w:r>
    </w:p>
    <w:p w14:paraId="1402D359">
      <w:pPr>
        <w:rPr>
          <w:rFonts w:hint="eastAsia" w:hAnsi="宋体"/>
          <w:sz w:val="22"/>
        </w:rPr>
      </w:pPr>
      <w:r>
        <w:rPr>
          <w:rFonts w:hint="eastAsia" w:hAnsi="宋体"/>
          <w:b/>
          <w:bCs/>
          <w:color w:val="000000"/>
          <w:sz w:val="22"/>
        </w:rPr>
        <w:t>一、本公司已充分知悉“隐瞒真实情况，提供虚假资料”的法定情形，相关情形包括但不限于</w:t>
      </w:r>
      <w:r>
        <w:rPr>
          <w:rFonts w:hint="eastAsia" w:hAnsi="宋体"/>
          <w:color w:val="000000"/>
          <w:sz w:val="22"/>
        </w:rPr>
        <w:t xml:space="preserve">： </w:t>
      </w:r>
    </w:p>
    <w:p w14:paraId="4B72AC3D">
      <w:pPr>
        <w:ind w:firstLine="440" w:firstLineChars="200"/>
        <w:rPr>
          <w:rFonts w:hint="eastAsia" w:hAnsi="宋体"/>
          <w:sz w:val="22"/>
        </w:rPr>
      </w:pPr>
      <w:r>
        <w:rPr>
          <w:rFonts w:hint="eastAsia" w:hAnsi="宋体"/>
          <w:sz w:val="22"/>
        </w:rPr>
        <w:t xml:space="preserve">（一）通过转让或者租借等方式从其他单位获取资格或者资质证书投标的。 </w:t>
      </w:r>
    </w:p>
    <w:p w14:paraId="09466EC3">
      <w:pPr>
        <w:ind w:firstLine="440" w:firstLineChars="200"/>
        <w:rPr>
          <w:rFonts w:hint="eastAsia" w:hAnsi="宋体"/>
          <w:sz w:val="22"/>
        </w:rPr>
      </w:pPr>
      <w:r>
        <w:rPr>
          <w:rFonts w:hint="eastAsia" w:hAnsi="宋体"/>
          <w:sz w:val="22"/>
        </w:rPr>
        <w:t xml:space="preserve">（二）由其他单位或者其他单位负责人在投标供应商编制的投标文件上加盖印章或者签字的。 </w:t>
      </w:r>
    </w:p>
    <w:p w14:paraId="6E13F711">
      <w:pPr>
        <w:ind w:firstLine="440" w:firstLineChars="200"/>
        <w:rPr>
          <w:rFonts w:hint="eastAsia" w:hAnsi="宋体"/>
          <w:sz w:val="22"/>
        </w:rPr>
      </w:pPr>
      <w:r>
        <w:rPr>
          <w:rFonts w:hint="eastAsia" w:hAnsi="宋体"/>
          <w:sz w:val="22"/>
        </w:rPr>
        <w:t xml:space="preserve">（三）项目负责人或者主要技术人员不是本单位人员的。 </w:t>
      </w:r>
    </w:p>
    <w:p w14:paraId="0EFA4B47">
      <w:pPr>
        <w:ind w:firstLine="440" w:firstLineChars="200"/>
        <w:rPr>
          <w:rFonts w:hint="eastAsia" w:hAnsi="宋体"/>
          <w:sz w:val="22"/>
        </w:rPr>
      </w:pPr>
      <w:r>
        <w:rPr>
          <w:rFonts w:hint="eastAsia" w:hAnsi="宋体"/>
          <w:sz w:val="22"/>
        </w:rPr>
        <w:t xml:space="preserve">（四）投标保证金不是从投标供应商基本账户转出的。 </w:t>
      </w:r>
    </w:p>
    <w:p w14:paraId="33269F43">
      <w:pPr>
        <w:ind w:firstLine="440" w:firstLineChars="200"/>
        <w:rPr>
          <w:rFonts w:hint="eastAsia" w:hAnsi="宋体"/>
          <w:sz w:val="22"/>
        </w:rPr>
      </w:pPr>
      <w:r>
        <w:rPr>
          <w:rFonts w:hint="eastAsia" w:hAnsi="宋体"/>
          <w:sz w:val="22"/>
        </w:rPr>
        <w:t xml:space="preserve">（五）其他隐瞒真实情况、提供虚假资料的行为。 </w:t>
      </w:r>
    </w:p>
    <w:p w14:paraId="6BB89738">
      <w:pPr>
        <w:rPr>
          <w:rFonts w:hint="eastAsia" w:hAnsi="宋体"/>
          <w:sz w:val="22"/>
        </w:rPr>
      </w:pPr>
      <w:r>
        <w:rPr>
          <w:rFonts w:hint="eastAsia" w:hAnsi="宋体"/>
          <w:b/>
          <w:bCs/>
          <w:color w:val="000000"/>
          <w:sz w:val="22"/>
        </w:rPr>
        <w:t xml:space="preserve">二、本公司已充分知悉“与其他采购参加人串通投标”的法定情形，相关情形包括但不限于： </w:t>
      </w:r>
    </w:p>
    <w:p w14:paraId="238E1CEE">
      <w:pPr>
        <w:ind w:firstLine="440" w:firstLineChars="200"/>
        <w:rPr>
          <w:rFonts w:hint="eastAsia" w:hAnsi="宋体"/>
          <w:sz w:val="22"/>
        </w:rPr>
      </w:pPr>
      <w:r>
        <w:rPr>
          <w:rFonts w:hint="eastAsia" w:hAnsi="宋体"/>
          <w:color w:val="000000"/>
          <w:sz w:val="22"/>
        </w:rPr>
        <w:t>（一）投标供应商之间相互约定给予未中标的供应商利益补偿。</w:t>
      </w:r>
    </w:p>
    <w:p w14:paraId="1DF8AB5B">
      <w:pPr>
        <w:ind w:firstLine="440" w:firstLineChars="200"/>
        <w:rPr>
          <w:rFonts w:hint="eastAsia" w:hAnsi="宋体"/>
          <w:sz w:val="22"/>
        </w:rPr>
      </w:pPr>
      <w:r>
        <w:rPr>
          <w:rFonts w:hint="eastAsia" w:hAnsi="宋体"/>
          <w:color w:val="000000"/>
          <w:sz w:val="22"/>
        </w:rPr>
        <w:t xml:space="preserve">（二）不同投标供应商的法定代表人、主要经营负责人、项目投标授权代表人、项目负责人、主要技术人员为同一人、属同一单位或者在同一单位缴纳社会保险。 </w:t>
      </w:r>
    </w:p>
    <w:p w14:paraId="67D2942E">
      <w:pPr>
        <w:ind w:firstLine="440" w:firstLineChars="200"/>
        <w:rPr>
          <w:rFonts w:hint="eastAsia" w:hAnsi="宋体"/>
          <w:sz w:val="22"/>
        </w:rPr>
      </w:pPr>
      <w:r>
        <w:rPr>
          <w:rFonts w:hint="eastAsia" w:hAnsi="宋体"/>
          <w:color w:val="000000"/>
          <w:sz w:val="22"/>
        </w:rPr>
        <w:t xml:space="preserve">（三）不同投标供应商的投标文件由同一单位或者同一人编制，或者由同一人分阶段参与编制的。 </w:t>
      </w:r>
    </w:p>
    <w:p w14:paraId="148B858D">
      <w:pPr>
        <w:ind w:firstLine="440" w:firstLineChars="200"/>
        <w:rPr>
          <w:rFonts w:hint="eastAsia" w:hAnsi="宋体"/>
          <w:sz w:val="22"/>
        </w:rPr>
      </w:pPr>
      <w:r>
        <w:rPr>
          <w:rFonts w:hint="eastAsia" w:hAnsi="宋体"/>
          <w:color w:val="000000"/>
          <w:sz w:val="22"/>
        </w:rPr>
        <w:t>（四）不同投标供应商的投标文件或部分投标文件相互混装。</w:t>
      </w:r>
    </w:p>
    <w:p w14:paraId="478F27B9">
      <w:pPr>
        <w:ind w:firstLine="440" w:firstLineChars="200"/>
        <w:rPr>
          <w:rFonts w:hint="eastAsia" w:hAnsi="宋体"/>
          <w:sz w:val="22"/>
        </w:rPr>
      </w:pPr>
      <w:r>
        <w:rPr>
          <w:rFonts w:hint="eastAsia" w:hAnsi="宋体"/>
          <w:color w:val="000000"/>
          <w:sz w:val="22"/>
        </w:rPr>
        <w:t xml:space="preserve">（五）不同投标供应商的投标文件内容存在非正常一致。 </w:t>
      </w:r>
    </w:p>
    <w:p w14:paraId="59F3B235">
      <w:pPr>
        <w:ind w:firstLine="440" w:firstLineChars="200"/>
        <w:rPr>
          <w:rFonts w:hint="eastAsia" w:hAnsi="宋体"/>
          <w:sz w:val="22"/>
        </w:rPr>
      </w:pPr>
      <w:r>
        <w:rPr>
          <w:rFonts w:hint="eastAsia" w:hAnsi="宋体"/>
          <w:color w:val="000000"/>
          <w:sz w:val="22"/>
        </w:rPr>
        <w:t xml:space="preserve">（六）由同一单位工作人员为两家以上（含两家）供应商进行同一项投标活动的。 </w:t>
      </w:r>
    </w:p>
    <w:p w14:paraId="75087876">
      <w:pPr>
        <w:ind w:firstLine="440" w:firstLineChars="200"/>
        <w:rPr>
          <w:rFonts w:hint="eastAsia" w:hAnsi="宋体"/>
          <w:sz w:val="22"/>
        </w:rPr>
      </w:pPr>
      <w:r>
        <w:rPr>
          <w:rFonts w:hint="eastAsia" w:hAnsi="宋体"/>
          <w:color w:val="000000"/>
          <w:sz w:val="22"/>
        </w:rPr>
        <w:t xml:space="preserve">（七）不同投标人的投标报价呈规律性差异。 </w:t>
      </w:r>
    </w:p>
    <w:p w14:paraId="61024592">
      <w:pPr>
        <w:ind w:firstLine="440" w:firstLineChars="200"/>
        <w:rPr>
          <w:rFonts w:hint="eastAsia" w:hAnsi="宋体"/>
          <w:sz w:val="22"/>
        </w:rPr>
      </w:pPr>
      <w:r>
        <w:rPr>
          <w:rFonts w:hint="eastAsia" w:hAnsi="宋体"/>
          <w:color w:val="000000"/>
          <w:sz w:val="22"/>
        </w:rPr>
        <w:t>（八）不同投标人的投标保证金从同一单位或者个人的账户转出。</w:t>
      </w:r>
    </w:p>
    <w:p w14:paraId="2F33D1E0">
      <w:pPr>
        <w:ind w:firstLine="440" w:firstLineChars="200"/>
        <w:rPr>
          <w:rFonts w:hint="eastAsia" w:hAnsi="宋体"/>
          <w:sz w:val="22"/>
        </w:rPr>
      </w:pPr>
      <w:r>
        <w:rPr>
          <w:rFonts w:hint="eastAsia" w:hAnsi="宋体"/>
          <w:color w:val="000000"/>
          <w:sz w:val="22"/>
        </w:rPr>
        <w:t xml:space="preserve">（九）主管部门依照法律、法规认定的其他情形。 </w:t>
      </w:r>
    </w:p>
    <w:p w14:paraId="72073E10">
      <w:pPr>
        <w:rPr>
          <w:rFonts w:hint="eastAsia" w:hAnsi="宋体"/>
          <w:sz w:val="22"/>
        </w:rPr>
      </w:pPr>
      <w:r>
        <w:rPr>
          <w:rFonts w:hint="eastAsia" w:hAnsi="宋体"/>
          <w:b/>
          <w:bCs/>
          <w:color w:val="000000"/>
          <w:sz w:val="22"/>
        </w:rPr>
        <w:t xml:space="preserve">三、本公司已充分知悉下列情形所对应的法律风险，并在投标前已对相关风险事项进行排查。 </w:t>
      </w:r>
    </w:p>
    <w:p w14:paraId="1AE4D4CA">
      <w:pPr>
        <w:ind w:firstLine="440" w:firstLineChars="200"/>
        <w:rPr>
          <w:rFonts w:hint="eastAsia" w:hAnsi="宋体"/>
          <w:sz w:val="22"/>
        </w:rPr>
      </w:pPr>
      <w:r>
        <w:rPr>
          <w:rFonts w:hint="eastAsia" w:hAnsi="宋体"/>
          <w:color w:val="000000"/>
          <w:sz w:val="22"/>
        </w:rPr>
        <w:t>（一）对于从其他主体获取的投标资料，供应商应审慎核查，确保投标资料的真实性。</w:t>
      </w:r>
      <w:r>
        <w:rPr>
          <w:rFonts w:hint="eastAsia" w:hAnsi="宋体"/>
          <w:b/>
          <w:bCs/>
          <w:color w:val="000000"/>
          <w:sz w:val="22"/>
        </w:rPr>
        <w:t xml:space="preserve">如主管部门查实投标文件中存在虚假资料的，无论相关资料是否由第三方或本公司员工提供，均不影响主管部门对供应商存在“隐瞒真实情况，提供虚假资料”违法行为的认定。 </w:t>
      </w:r>
    </w:p>
    <w:p w14:paraId="57C40F4A">
      <w:pPr>
        <w:ind w:firstLine="440" w:firstLineChars="200"/>
        <w:rPr>
          <w:rFonts w:hint="eastAsia" w:hAnsi="宋体"/>
          <w:sz w:val="22"/>
        </w:rPr>
      </w:pPr>
      <w:r>
        <w:rPr>
          <w:rFonts w:hint="eastAsia" w:hAnsi="宋体"/>
          <w:color w:val="000000"/>
          <w:sz w:val="22"/>
        </w:rPr>
        <w:t xml:space="preserve">（二）对于涉及国家机关出具的公文、证件、证明材料等文件，一旦涉嫌虚假，经查实，主管部门将依法从严处理，并移送有关部门追究法律责任；涉嫌犯罪的，主管部门将一并移送司法机关追究法律责任。 </w:t>
      </w:r>
    </w:p>
    <w:p w14:paraId="178B75C8">
      <w:pPr>
        <w:ind w:firstLine="440" w:firstLineChars="200"/>
        <w:rPr>
          <w:rFonts w:hint="eastAsia" w:hAnsi="宋体"/>
          <w:sz w:val="22"/>
        </w:rPr>
      </w:pPr>
      <w:r>
        <w:rPr>
          <w:rFonts w:hint="eastAsia" w:hAnsi="宋体"/>
          <w:color w:val="000000"/>
          <w:sz w:val="22"/>
        </w:rPr>
        <w:t xml:space="preserve">（三）对于涉及安全生产、特种作业、抢险救灾、防疫等政府采购项目，供应商实施提供虚假资料、串通投标等违法行为的，主管部门将依法从严处理。 </w:t>
      </w:r>
    </w:p>
    <w:p w14:paraId="5C3242B6">
      <w:pPr>
        <w:ind w:firstLine="440" w:firstLineChars="200"/>
        <w:rPr>
          <w:rFonts w:hint="eastAsia" w:hAnsi="宋体"/>
          <w:sz w:val="22"/>
        </w:rPr>
      </w:pPr>
      <w:r>
        <w:rPr>
          <w:rFonts w:hint="eastAsia" w:hAnsi="宋体"/>
          <w:color w:val="000000"/>
          <w:sz w:val="22"/>
        </w:rPr>
        <w:t xml:space="preserve">（四）供应商应严格规范项目授权代表、员工参与招标投标的行为，加强对投标文件的审核。项目授权代表、员工编制、上传投标文件等行为违反政府采购法律法规或招标文件要求的，投标供应商应当依法承担相应法律责任。 </w:t>
      </w:r>
    </w:p>
    <w:p w14:paraId="0F361DC8">
      <w:pPr>
        <w:ind w:firstLine="440" w:firstLineChars="200"/>
        <w:rPr>
          <w:rFonts w:hint="eastAsia" w:hAnsi="宋体"/>
          <w:sz w:val="22"/>
        </w:rPr>
      </w:pPr>
      <w:r>
        <w:rPr>
          <w:rFonts w:hint="eastAsia" w:hAnsi="宋体"/>
          <w:color w:val="000000"/>
          <w:sz w:val="22"/>
        </w:rPr>
        <w:t xml:space="preserve">（五）单位负责人为同一人或者存在直接控股、管理关系的不同供应商，不得参加同一合同项下的政府采购活动。相关情形如查实，依法作投标无效处理；涉嫌串通投标等违法行为的，主管部门将依法调查处理。 </w:t>
      </w:r>
    </w:p>
    <w:p w14:paraId="2A213715">
      <w:pPr>
        <w:rPr>
          <w:rFonts w:hint="eastAsia" w:hAnsi="宋体"/>
          <w:sz w:val="22"/>
        </w:rPr>
      </w:pPr>
      <w:r>
        <w:rPr>
          <w:rFonts w:hint="eastAsia" w:hAnsi="宋体"/>
          <w:b/>
          <w:bCs/>
          <w:color w:val="000000"/>
          <w:sz w:val="22"/>
        </w:rPr>
        <w:t>四、本公司已充分知悉政府采购违法、违规行为的法律后果。</w:t>
      </w:r>
    </w:p>
    <w:p w14:paraId="574AE7A9">
      <w:pPr>
        <w:ind w:firstLine="440" w:firstLineChars="200"/>
        <w:rPr>
          <w:rFonts w:hint="eastAsia" w:hAnsi="宋体"/>
          <w:sz w:val="22"/>
        </w:rPr>
      </w:pPr>
      <w:r>
        <w:rPr>
          <w:rFonts w:hint="eastAsia" w:hAnsi="宋体"/>
          <w:color w:val="000000"/>
          <w:sz w:val="22"/>
        </w:rPr>
        <w:t xml:space="preserve">经查实，若投标供应商存在政府采购违法、违规行为，主管部门将依法处理。 </w:t>
      </w:r>
    </w:p>
    <w:p w14:paraId="6FA61FB9">
      <w:pPr>
        <w:ind w:firstLine="442" w:firstLineChars="200"/>
        <w:rPr>
          <w:rFonts w:hint="eastAsia" w:hAnsi="宋体"/>
          <w:b/>
          <w:bCs/>
          <w:color w:val="FF0000"/>
          <w:sz w:val="22"/>
        </w:rPr>
      </w:pPr>
      <w:r>
        <w:rPr>
          <w:rFonts w:hint="eastAsia" w:hAnsi="宋体"/>
          <w:b/>
          <w:bCs/>
          <w:color w:val="FF0000"/>
          <w:sz w:val="22"/>
        </w:rPr>
        <w:t xml:space="preserve">以下文字请投标供应商抄写并确认：“本公司已仔细阅读《政府采购违法行为风险知悉确认书》，充分知悉违法行为的法律后果，并承诺将严谨、诚信、依法依规参与政府采购活动”。 </w:t>
      </w:r>
    </w:p>
    <w:p w14:paraId="531BFA89">
      <w:pPr>
        <w:pStyle w:val="145"/>
        <w:rPr>
          <w:rFonts w:hint="eastAsia" w:hAnsi="宋体" w:cs="宋体"/>
          <w:sz w:val="22"/>
          <w:szCs w:val="22"/>
          <w:u w:val="single"/>
        </w:rPr>
      </w:pPr>
      <w:r>
        <w:rPr>
          <w:rFonts w:hint="eastAsia" w:hAnsi="宋体" w:cs="宋体"/>
          <w:sz w:val="22"/>
          <w:szCs w:val="22"/>
          <w:u w:val="single"/>
        </w:rPr>
        <w:t xml:space="preserve">                                                                           </w:t>
      </w:r>
    </w:p>
    <w:p w14:paraId="73673D32">
      <w:pPr>
        <w:pStyle w:val="145"/>
        <w:rPr>
          <w:rFonts w:hint="eastAsia" w:hAnsi="宋体" w:cs="宋体"/>
          <w:sz w:val="22"/>
          <w:szCs w:val="22"/>
          <w:u w:val="single"/>
        </w:rPr>
      </w:pPr>
      <w:r>
        <w:rPr>
          <w:rFonts w:hint="eastAsia" w:hAnsi="宋体" w:cs="宋体"/>
          <w:sz w:val="22"/>
          <w:szCs w:val="22"/>
          <w:u w:val="single"/>
        </w:rPr>
        <w:t xml:space="preserve">                                                                           </w:t>
      </w:r>
    </w:p>
    <w:p w14:paraId="5AA3A8CA">
      <w:pPr>
        <w:pStyle w:val="145"/>
        <w:rPr>
          <w:rFonts w:hint="eastAsia" w:hAnsi="宋体" w:cs="宋体"/>
          <w:sz w:val="22"/>
          <w:szCs w:val="22"/>
          <w:u w:val="single"/>
        </w:rPr>
      </w:pPr>
      <w:r>
        <w:rPr>
          <w:rFonts w:hint="eastAsia" w:hAnsi="宋体" w:cs="宋体"/>
          <w:sz w:val="22"/>
          <w:szCs w:val="22"/>
          <w:u w:val="single"/>
        </w:rPr>
        <w:t xml:space="preserve">                                                                           </w:t>
      </w:r>
    </w:p>
    <w:p w14:paraId="538F3083">
      <w:pPr>
        <w:pStyle w:val="145"/>
        <w:rPr>
          <w:rFonts w:hint="eastAsia" w:hAnsi="宋体" w:cs="宋体"/>
          <w:sz w:val="22"/>
          <w:szCs w:val="22"/>
          <w:u w:val="single"/>
        </w:rPr>
      </w:pPr>
      <w:r>
        <w:rPr>
          <w:rFonts w:hint="eastAsia" w:hAnsi="宋体" w:cs="宋体"/>
          <w:sz w:val="22"/>
          <w:szCs w:val="22"/>
          <w:u w:val="single"/>
        </w:rPr>
        <w:t xml:space="preserve">                                                                           </w:t>
      </w:r>
    </w:p>
    <w:p w14:paraId="3744F758">
      <w:pPr>
        <w:pStyle w:val="145"/>
        <w:rPr>
          <w:rFonts w:hint="eastAsia" w:hAnsi="宋体" w:cs="宋体"/>
          <w:sz w:val="22"/>
          <w:szCs w:val="22"/>
        </w:rPr>
      </w:pPr>
    </w:p>
    <w:p w14:paraId="6BD1B811">
      <w:pPr>
        <w:jc w:val="right"/>
        <w:rPr>
          <w:rFonts w:hint="eastAsia" w:hAnsi="宋体"/>
          <w:sz w:val="22"/>
        </w:rPr>
      </w:pPr>
      <w:r>
        <w:rPr>
          <w:rFonts w:hint="eastAsia" w:hAnsi="宋体"/>
          <w:color w:val="000000"/>
          <w:sz w:val="22"/>
        </w:rPr>
        <w:t xml:space="preserve">负责人/投标授权代表签名： </w:t>
      </w:r>
    </w:p>
    <w:p w14:paraId="678F60DB">
      <w:pPr>
        <w:jc w:val="right"/>
        <w:rPr>
          <w:rFonts w:hint="eastAsia" w:hAnsi="宋体"/>
          <w:sz w:val="22"/>
        </w:rPr>
      </w:pPr>
      <w:r>
        <w:rPr>
          <w:rFonts w:hint="eastAsia" w:hAnsi="宋体"/>
          <w:color w:val="000000"/>
          <w:sz w:val="22"/>
        </w:rPr>
        <w:t xml:space="preserve">知悉人（公章）： </w:t>
      </w:r>
    </w:p>
    <w:p w14:paraId="028394FE">
      <w:pPr>
        <w:jc w:val="right"/>
        <w:rPr>
          <w:rFonts w:hint="eastAsia" w:hAnsi="宋体"/>
          <w:sz w:val="22"/>
        </w:rPr>
      </w:pPr>
      <w:r>
        <w:rPr>
          <w:rFonts w:hint="eastAsia" w:hAnsi="宋体"/>
          <w:color w:val="000000"/>
          <w:sz w:val="22"/>
        </w:rPr>
        <w:t>日期：</w:t>
      </w:r>
    </w:p>
    <w:p w14:paraId="0CF7892D">
      <w:pPr>
        <w:rPr>
          <w:rFonts w:hint="eastAsia" w:hAnsi="宋体"/>
          <w:b/>
          <w:bCs/>
        </w:rPr>
      </w:pPr>
    </w:p>
    <w:p w14:paraId="0F563FF8">
      <w:pPr>
        <w:pStyle w:val="84"/>
        <w:ind w:left="420" w:firstLine="0" w:firstLineChars="0"/>
      </w:pPr>
      <w:r>
        <w:rPr>
          <w:rFonts w:hint="eastAsia" w:ascii="宋体" w:hAnsi="宋体" w:cs="宋体"/>
          <w:b/>
          <w:bCs/>
        </w:rPr>
        <w:t>注：该风险知悉确认书用于对供应商违法行为的警示，不作为供应商资格性审查及符合性审查条件。</w:t>
      </w:r>
    </w:p>
    <w:p w14:paraId="7AE0D589">
      <w:pPr>
        <w:rPr>
          <w:rFonts w:hAnsi="Calibri"/>
          <w:sz w:val="22"/>
          <w:szCs w:val="21"/>
        </w:rPr>
      </w:pPr>
      <w:r>
        <w:rPr>
          <w:rFonts w:hAnsi="Calibri"/>
          <w:sz w:val="22"/>
          <w:szCs w:val="21"/>
        </w:rPr>
        <w:br w:type="page"/>
      </w:r>
    </w:p>
    <w:bookmarkEnd w:id="70"/>
    <w:p w14:paraId="1E6CF287">
      <w:pPr>
        <w:tabs>
          <w:tab w:val="left" w:pos="0"/>
          <w:tab w:val="clear" w:pos="426"/>
        </w:tabs>
        <w:jc w:val="left"/>
        <w:outlineLvl w:val="2"/>
        <w:rPr>
          <w:rFonts w:ascii="Arial" w:hAnsi="Arial" w:eastAsia="黑体" w:cs="Times New Roman"/>
          <w:b/>
          <w:bCs/>
          <w:kern w:val="2"/>
          <w:sz w:val="28"/>
          <w:szCs w:val="28"/>
        </w:rPr>
      </w:pPr>
      <w:bookmarkStart w:id="72" w:name="_Toc24258"/>
      <w:r>
        <w:rPr>
          <w:rFonts w:hint="eastAsia" w:ascii="Arial" w:hAnsi="Arial" w:eastAsia="黑体" w:cs="Times New Roman"/>
          <w:b/>
          <w:bCs/>
          <w:kern w:val="2"/>
          <w:sz w:val="28"/>
          <w:szCs w:val="28"/>
        </w:rPr>
        <w:t>五、法定代表人证明书</w:t>
      </w:r>
      <w:bookmarkEnd w:id="72"/>
    </w:p>
    <w:p w14:paraId="54A0E9C0">
      <w:pPr>
        <w:spacing w:line="360" w:lineRule="exact"/>
        <w:rPr>
          <w:sz w:val="22"/>
        </w:rPr>
      </w:pPr>
    </w:p>
    <w:p w14:paraId="3C345A3E">
      <w:pPr>
        <w:spacing w:line="360" w:lineRule="exact"/>
        <w:rPr>
          <w:sz w:val="22"/>
        </w:rPr>
      </w:pPr>
      <w:r>
        <w:rPr>
          <w:rFonts w:hint="eastAsia"/>
          <w:sz w:val="22"/>
        </w:rPr>
        <w:t xml:space="preserve">   </w:t>
      </w:r>
      <w:r>
        <w:rPr>
          <w:rFonts w:hint="eastAsia"/>
          <w:sz w:val="22"/>
          <w:u w:val="single"/>
        </w:rPr>
        <w:t xml:space="preserve">         </w:t>
      </w:r>
      <w:r>
        <w:rPr>
          <w:rFonts w:hint="eastAsia"/>
          <w:sz w:val="22"/>
        </w:rPr>
        <w:t>同志，现任我单位</w:t>
      </w:r>
      <w:r>
        <w:rPr>
          <w:rFonts w:hint="eastAsia"/>
          <w:sz w:val="22"/>
          <w:u w:val="single"/>
        </w:rPr>
        <w:t xml:space="preserve">         </w:t>
      </w:r>
      <w:r>
        <w:rPr>
          <w:rFonts w:hint="eastAsia"/>
          <w:sz w:val="22"/>
        </w:rPr>
        <w:t>职务，为法定代表人，特此证明。</w:t>
      </w:r>
    </w:p>
    <w:p w14:paraId="3F76E127">
      <w:pPr>
        <w:spacing w:line="360" w:lineRule="exact"/>
        <w:rPr>
          <w:sz w:val="22"/>
        </w:rPr>
      </w:pPr>
      <w:r>
        <w:rPr>
          <w:rFonts w:hint="eastAsia"/>
          <w:sz w:val="22"/>
        </w:rPr>
        <w:t xml:space="preserve">有效日期：         签发日期：         单位：              </w:t>
      </w:r>
    </w:p>
    <w:p w14:paraId="4EA86CD5">
      <w:pPr>
        <w:spacing w:line="360" w:lineRule="exact"/>
        <w:rPr>
          <w:sz w:val="22"/>
        </w:rPr>
      </w:pPr>
      <w:r>
        <w:rPr>
          <w:rFonts w:hint="eastAsia"/>
          <w:sz w:val="22"/>
        </w:rPr>
        <w:t>附：代表人性别：   年龄：      身份证号码：</w:t>
      </w:r>
    </w:p>
    <w:p w14:paraId="2E641526">
      <w:pPr>
        <w:spacing w:line="360" w:lineRule="exact"/>
        <w:rPr>
          <w:sz w:val="22"/>
        </w:rPr>
      </w:pPr>
      <w:r>
        <w:rPr>
          <w:rFonts w:hint="eastAsia"/>
          <w:sz w:val="22"/>
        </w:rPr>
        <w:t>营业执照号码：                 经济性质：</w:t>
      </w:r>
    </w:p>
    <w:p w14:paraId="508C309D">
      <w:pPr>
        <w:spacing w:line="360" w:lineRule="exact"/>
        <w:rPr>
          <w:sz w:val="22"/>
        </w:rPr>
      </w:pPr>
      <w:r>
        <w:rPr>
          <w:rFonts w:hint="eastAsia"/>
          <w:sz w:val="22"/>
        </w:rPr>
        <w:t>主营（产）：</w:t>
      </w:r>
    </w:p>
    <w:p w14:paraId="2D31E0C3">
      <w:pPr>
        <w:spacing w:line="360" w:lineRule="exact"/>
        <w:rPr>
          <w:sz w:val="22"/>
        </w:rPr>
      </w:pPr>
      <w:r>
        <w:rPr>
          <w:rFonts w:hint="eastAsia"/>
          <w:sz w:val="22"/>
        </w:rPr>
        <w:t>兼营（产）：</w:t>
      </w:r>
    </w:p>
    <w:p w14:paraId="6D8857A1">
      <w:pPr>
        <w:spacing w:line="360" w:lineRule="exact"/>
        <w:rPr>
          <w:sz w:val="22"/>
        </w:rPr>
      </w:pPr>
      <w:r>
        <w:rPr>
          <w:rFonts w:hint="eastAsia"/>
          <w:sz w:val="22"/>
        </w:rPr>
        <w:t>进口物品经营许可证号码：</w:t>
      </w:r>
    </w:p>
    <w:p w14:paraId="22969D92">
      <w:pPr>
        <w:spacing w:line="360" w:lineRule="exact"/>
        <w:rPr>
          <w:sz w:val="22"/>
        </w:rPr>
      </w:pPr>
      <w:r>
        <w:rPr>
          <w:rFonts w:hint="eastAsia"/>
          <w:sz w:val="22"/>
        </w:rPr>
        <w:t>主营：</w:t>
      </w:r>
    </w:p>
    <w:p w14:paraId="0727BB0A">
      <w:pPr>
        <w:spacing w:line="360" w:lineRule="exact"/>
        <w:rPr>
          <w:sz w:val="22"/>
        </w:rPr>
      </w:pPr>
      <w:r>
        <w:rPr>
          <w:rFonts w:hint="eastAsia"/>
          <w:sz w:val="22"/>
        </w:rPr>
        <w:t>兼营：</w:t>
      </w:r>
    </w:p>
    <w:p w14:paraId="1A3F2FAC">
      <w:pPr>
        <w:spacing w:line="360" w:lineRule="exact"/>
        <w:rPr>
          <w:sz w:val="22"/>
        </w:rPr>
      </w:pPr>
      <w:r>
        <w:rPr>
          <w:rFonts w:hint="eastAsia"/>
          <w:sz w:val="22"/>
        </w:rPr>
        <w:t>说明：1、法定代表人为企业事业单位、国家机关、社会团体的主要行政负责人。</w:t>
      </w:r>
    </w:p>
    <w:p w14:paraId="0514A671">
      <w:pPr>
        <w:spacing w:line="360" w:lineRule="exact"/>
        <w:rPr>
          <w:sz w:val="22"/>
        </w:rPr>
      </w:pPr>
      <w:r>
        <w:rPr>
          <w:rFonts w:hint="eastAsia"/>
          <w:sz w:val="22"/>
        </w:rPr>
        <w:t xml:space="preserve">      2、内容必须填写真实、清楚，涂改无效，不得转让、买卖。</w:t>
      </w:r>
    </w:p>
    <w:p w14:paraId="0441DF12">
      <w:pPr>
        <w:spacing w:line="360" w:lineRule="exact"/>
        <w:ind w:left="660"/>
        <w:rPr>
          <w:sz w:val="22"/>
        </w:rPr>
      </w:pPr>
      <w:r>
        <w:rPr>
          <w:rFonts w:hint="eastAsia"/>
          <w:sz w:val="22"/>
        </w:rPr>
        <w:t>3、提供法定代表人的身份证复印件（附后）。</w:t>
      </w:r>
    </w:p>
    <w:p w14:paraId="6E177AD8"/>
    <w:p w14:paraId="15D0B159">
      <w:pPr>
        <w:rPr>
          <w:sz w:val="22"/>
        </w:rPr>
      </w:pPr>
      <w:r>
        <w:rPr>
          <w:rFonts w:hint="eastAsia"/>
          <w:sz w:val="22"/>
        </w:rPr>
        <w:t xml:space="preserve">投标人名称（盖章）：                        </w:t>
      </w:r>
    </w:p>
    <w:p w14:paraId="023066FF">
      <w:pPr>
        <w:rPr>
          <w:sz w:val="22"/>
        </w:rPr>
      </w:pPr>
      <w:r>
        <w:rPr>
          <w:rFonts w:hint="eastAsia"/>
          <w:sz w:val="22"/>
        </w:rPr>
        <w:t>日期：   年   月   日</w:t>
      </w:r>
    </w:p>
    <w:p w14:paraId="15EBF8F1">
      <w:pPr>
        <w:tabs>
          <w:tab w:val="left" w:pos="0"/>
          <w:tab w:val="clear" w:pos="426"/>
        </w:tabs>
        <w:ind w:firstLine="397"/>
        <w:jc w:val="left"/>
        <w:outlineLvl w:val="2"/>
        <w:rPr>
          <w:bCs/>
          <w:sz w:val="24"/>
        </w:rPr>
      </w:pPr>
      <w:bookmarkStart w:id="73" w:name="_Toc30814"/>
      <w:r>
        <w:rPr>
          <w:bCs/>
          <w:sz w:val="24"/>
        </w:rPr>
        <w:br w:type="page"/>
      </w:r>
    </w:p>
    <w:p w14:paraId="18B9E0CA">
      <w:pPr>
        <w:tabs>
          <w:tab w:val="left" w:pos="0"/>
          <w:tab w:val="clear" w:pos="426"/>
        </w:tabs>
        <w:ind w:firstLine="397"/>
        <w:jc w:val="left"/>
        <w:outlineLvl w:val="2"/>
        <w:rPr>
          <w:b/>
        </w:rPr>
      </w:pPr>
      <w:r>
        <w:rPr>
          <w:rFonts w:hint="eastAsia" w:ascii="Arial" w:hAnsi="Arial" w:eastAsia="黑体" w:cs="Times New Roman"/>
          <w:b/>
          <w:bCs/>
          <w:kern w:val="2"/>
          <w:sz w:val="28"/>
          <w:szCs w:val="28"/>
        </w:rPr>
        <w:t>六、法定代表人授权书</w:t>
      </w:r>
      <w:bookmarkEnd w:id="73"/>
    </w:p>
    <w:p w14:paraId="2DF16872">
      <w:pPr>
        <w:rPr>
          <w:bCs/>
          <w:sz w:val="24"/>
        </w:rPr>
      </w:pPr>
    </w:p>
    <w:p w14:paraId="2140A6B2">
      <w:pPr>
        <w:spacing w:line="360" w:lineRule="exact"/>
        <w:rPr>
          <w:bCs/>
          <w:sz w:val="22"/>
        </w:rPr>
      </w:pPr>
      <w:r>
        <w:rPr>
          <w:bCs/>
          <w:sz w:val="22"/>
        </w:rPr>
        <w:t>致：</w:t>
      </w:r>
      <w:r>
        <w:rPr>
          <w:sz w:val="22"/>
        </w:rPr>
        <w:t>深圳市东海国际招标有限公司</w:t>
      </w:r>
    </w:p>
    <w:p w14:paraId="4847C6DE">
      <w:pPr>
        <w:spacing w:line="360" w:lineRule="exact"/>
        <w:rPr>
          <w:bCs/>
          <w:sz w:val="22"/>
        </w:rPr>
      </w:pPr>
    </w:p>
    <w:p w14:paraId="04A50214">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（姓名、职务）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494D5B0F">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37AB2538">
      <w:pPr>
        <w:spacing w:line="360" w:lineRule="exact"/>
        <w:rPr>
          <w:bCs/>
          <w:sz w:val="22"/>
        </w:rPr>
      </w:pPr>
    </w:p>
    <w:p w14:paraId="3BBF95DC">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3FE4DB75">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49C3FCBB">
      <w:pPr>
        <w:spacing w:line="360" w:lineRule="exact"/>
        <w:ind w:firstLine="110" w:firstLineChars="50"/>
        <w:rPr>
          <w:bCs/>
          <w:sz w:val="22"/>
        </w:rPr>
      </w:pPr>
      <w:r>
        <w:rPr>
          <w:bCs/>
          <w:sz w:val="22"/>
        </w:rPr>
        <w:t>身份证号码：</w:t>
      </w:r>
      <w:r>
        <w:rPr>
          <w:bCs/>
          <w:sz w:val="22"/>
          <w:u w:val="single"/>
        </w:rPr>
        <w:t xml:space="preserve">                                           </w:t>
      </w:r>
    </w:p>
    <w:p w14:paraId="7EC37AFB">
      <w:pPr>
        <w:spacing w:line="360" w:lineRule="exact"/>
        <w:ind w:firstLine="110" w:firstLineChars="50"/>
        <w:rPr>
          <w:bCs/>
          <w:sz w:val="22"/>
          <w:u w:val="single"/>
        </w:rPr>
      </w:pPr>
      <w:r>
        <w:rPr>
          <w:bCs/>
          <w:sz w:val="22"/>
        </w:rPr>
        <w:t>投标人（盖章）：</w:t>
      </w:r>
      <w:r>
        <w:rPr>
          <w:bCs/>
          <w:sz w:val="22"/>
          <w:u w:val="single"/>
        </w:rPr>
        <w:t xml:space="preserve">                                        </w:t>
      </w:r>
    </w:p>
    <w:p w14:paraId="2C51E25A">
      <w:pPr>
        <w:spacing w:line="360" w:lineRule="exact"/>
        <w:ind w:firstLine="110" w:firstLineChars="50"/>
        <w:rPr>
          <w:bCs/>
          <w:sz w:val="22"/>
          <w:u w:val="single"/>
        </w:rPr>
      </w:pPr>
      <w:r>
        <w:rPr>
          <w:bCs/>
          <w:sz w:val="22"/>
        </w:rPr>
        <w:t>法定代表人（签名</w:t>
      </w:r>
      <w:r>
        <w:rPr>
          <w:rFonts w:hint="eastAsia"/>
          <w:bCs/>
          <w:sz w:val="22"/>
        </w:rPr>
        <w:t>或盖章</w:t>
      </w:r>
      <w:r>
        <w:rPr>
          <w:bCs/>
          <w:sz w:val="22"/>
        </w:rPr>
        <w:t>）：</w:t>
      </w:r>
      <w:r>
        <w:rPr>
          <w:bCs/>
          <w:sz w:val="22"/>
          <w:u w:val="single"/>
        </w:rPr>
        <w:t xml:space="preserve">                                    </w:t>
      </w:r>
    </w:p>
    <w:p w14:paraId="5C655137">
      <w:pPr>
        <w:spacing w:line="360" w:lineRule="exact"/>
        <w:ind w:firstLine="110" w:firstLineChars="50"/>
        <w:rPr>
          <w:bCs/>
          <w:sz w:val="22"/>
          <w:u w:val="single"/>
        </w:rPr>
      </w:pPr>
      <w:r>
        <w:rPr>
          <w:bCs/>
          <w:sz w:val="22"/>
        </w:rPr>
        <w:t>被授权人（签名</w:t>
      </w:r>
      <w:r>
        <w:rPr>
          <w:rFonts w:hint="eastAsia"/>
          <w:bCs/>
          <w:sz w:val="22"/>
        </w:rPr>
        <w:t>或盖章</w:t>
      </w:r>
      <w:r>
        <w:rPr>
          <w:bCs/>
          <w:sz w:val="22"/>
        </w:rPr>
        <w:t>）：</w:t>
      </w:r>
      <w:r>
        <w:rPr>
          <w:bCs/>
          <w:sz w:val="22"/>
          <w:u w:val="single"/>
        </w:rPr>
        <w:t xml:space="preserve">                                      </w:t>
      </w:r>
    </w:p>
    <w:p w14:paraId="35E97F80">
      <w:pPr>
        <w:spacing w:line="360" w:lineRule="exact"/>
        <w:rPr>
          <w:bCs/>
          <w:sz w:val="22"/>
        </w:rPr>
      </w:pPr>
    </w:p>
    <w:p w14:paraId="59CD2724">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2E638185">
      <w:pPr>
        <w:spacing w:line="360" w:lineRule="exact"/>
        <w:ind w:firstLine="660" w:firstLineChars="300"/>
        <w:rPr>
          <w:bCs/>
          <w:sz w:val="22"/>
        </w:rPr>
      </w:pPr>
      <w:r>
        <w:rPr>
          <w:bCs/>
          <w:sz w:val="22"/>
        </w:rPr>
        <w:t>2.</w:t>
      </w:r>
      <w:r>
        <w:rPr>
          <w:rFonts w:hint="eastAsia"/>
          <w:b/>
          <w:sz w:val="22"/>
        </w:rPr>
        <w:t>提供投标单位为其缴纳的近一个月社保（若供应商成立不足一个月的，需提供成立情况说明函（格式自拟））如为退休返聘人员则提供劳动合同或返聘协议扫描件；</w:t>
      </w:r>
    </w:p>
    <w:p w14:paraId="3A6CA54E">
      <w:pPr>
        <w:spacing w:line="360" w:lineRule="exact"/>
        <w:ind w:firstLine="660" w:firstLineChars="300"/>
        <w:rPr>
          <w:bCs/>
          <w:sz w:val="22"/>
        </w:rPr>
      </w:pPr>
      <w:r>
        <w:rPr>
          <w:rFonts w:hint="eastAsia"/>
          <w:bCs/>
          <w:sz w:val="22"/>
        </w:rPr>
        <w:t>3.</w:t>
      </w:r>
      <w:r>
        <w:rPr>
          <w:bCs/>
          <w:sz w:val="22"/>
        </w:rPr>
        <w:t>提供代理人的身份证复印件（附后）。</w:t>
      </w:r>
    </w:p>
    <w:p w14:paraId="750E80F1">
      <w:pPr>
        <w:rPr>
          <w:rFonts w:ascii="Arial" w:hAnsi="Arial" w:eastAsia="黑体" w:cs="Times New Roman"/>
          <w:b/>
          <w:bCs/>
          <w:kern w:val="2"/>
          <w:sz w:val="28"/>
          <w:szCs w:val="28"/>
        </w:rPr>
      </w:pPr>
      <w:bookmarkStart w:id="74" w:name="_Toc36822691"/>
      <w:r>
        <w:rPr>
          <w:rFonts w:hint="eastAsia" w:ascii="Arial" w:hAnsi="Arial" w:eastAsia="黑体" w:cs="Times New Roman"/>
          <w:b/>
          <w:bCs/>
          <w:kern w:val="2"/>
          <w:sz w:val="28"/>
          <w:szCs w:val="28"/>
        </w:rPr>
        <w:br w:type="page"/>
      </w:r>
    </w:p>
    <w:p w14:paraId="48759510">
      <w:pPr>
        <w:tabs>
          <w:tab w:val="left" w:pos="0"/>
          <w:tab w:val="clear" w:pos="426"/>
        </w:tabs>
        <w:jc w:val="left"/>
        <w:outlineLvl w:val="2"/>
        <w:rPr>
          <w:rFonts w:ascii="Arial" w:hAnsi="Arial" w:eastAsia="黑体" w:cs="Times New Roman"/>
          <w:b/>
          <w:bCs/>
          <w:kern w:val="2"/>
          <w:sz w:val="28"/>
          <w:szCs w:val="28"/>
        </w:rPr>
      </w:pPr>
      <w:bookmarkStart w:id="75" w:name="_Toc27376"/>
      <w:r>
        <w:rPr>
          <w:rFonts w:hint="eastAsia" w:ascii="Arial" w:hAnsi="Arial" w:eastAsia="黑体" w:cs="Times New Roman"/>
          <w:b/>
          <w:bCs/>
          <w:kern w:val="2"/>
          <w:sz w:val="28"/>
          <w:szCs w:val="28"/>
        </w:rPr>
        <w:t>七、招标代理服务费承诺函</w:t>
      </w:r>
      <w:bookmarkEnd w:id="75"/>
    </w:p>
    <w:p w14:paraId="61E455DC">
      <w:pPr>
        <w:rPr>
          <w:sz w:val="24"/>
        </w:rPr>
      </w:pPr>
    </w:p>
    <w:p w14:paraId="0FBECAF7">
      <w:pPr>
        <w:spacing w:line="360" w:lineRule="exact"/>
        <w:rPr>
          <w:b/>
          <w:sz w:val="22"/>
        </w:rPr>
      </w:pPr>
      <w:r>
        <w:rPr>
          <w:sz w:val="22"/>
        </w:rPr>
        <w:t>致：深圳市东海国际招标有限公司</w:t>
      </w:r>
    </w:p>
    <w:p w14:paraId="257D2ABE">
      <w:pPr>
        <w:autoSpaceDE w:val="0"/>
        <w:autoSpaceDN w:val="0"/>
        <w:spacing w:line="360" w:lineRule="exact"/>
        <w:ind w:right="17" w:firstLine="440" w:firstLineChars="200"/>
        <w:textAlignment w:val="bottom"/>
        <w:rPr>
          <w:sz w:val="22"/>
        </w:rPr>
      </w:pPr>
    </w:p>
    <w:p w14:paraId="4DDD79AA">
      <w:pPr>
        <w:pStyle w:val="84"/>
        <w:spacing w:line="360" w:lineRule="exact"/>
        <w:ind w:left="0" w:leftChars="0" w:firstLine="415" w:firstLineChars="189"/>
        <w:rPr>
          <w:sz w:val="22"/>
          <w:szCs w:val="22"/>
        </w:rPr>
      </w:pPr>
      <w:r>
        <w:rPr>
          <w:sz w:val="22"/>
          <w:szCs w:val="22"/>
        </w:rPr>
        <w:t>我们在贵司代理的</w:t>
      </w:r>
      <w:r>
        <w:rPr>
          <w:sz w:val="22"/>
          <w:szCs w:val="22"/>
          <w:u w:val="single"/>
        </w:rPr>
        <w:t xml:space="preserve">         </w:t>
      </w:r>
      <w:r>
        <w:rPr>
          <w:sz w:val="22"/>
          <w:szCs w:val="22"/>
        </w:rPr>
        <w:t>项目招标中若获中标（项目编号：</w:t>
      </w:r>
      <w:r>
        <w:rPr>
          <w:sz w:val="22"/>
          <w:szCs w:val="22"/>
          <w:u w:val="single"/>
        </w:rPr>
        <w:t xml:space="preserve">         </w:t>
      </w:r>
      <w:r>
        <w:rPr>
          <w:sz w:val="22"/>
          <w:szCs w:val="22"/>
        </w:rPr>
        <w:t>），我们保证在收到中标通知书原件的同时按招标文件的规定，以转账、支票、汇票、电汇、现金或经贵公司认可的一种方式，向贵公司即深圳市东海国际招标有限公司指定的银行账号，一次性支付招标代理服务费。</w:t>
      </w:r>
      <w:r>
        <w:rPr>
          <w:rFonts w:hint="eastAsia"/>
          <w:sz w:val="22"/>
          <w:szCs w:val="22"/>
        </w:rPr>
        <w:t>招标代理服务费依据计价格[2002]1980号、发改价格[2011]534号及相关规定*0.9收费。</w:t>
      </w:r>
    </w:p>
    <w:p w14:paraId="449142E7">
      <w:pPr>
        <w:autoSpaceDE w:val="0"/>
        <w:autoSpaceDN w:val="0"/>
        <w:spacing w:line="360" w:lineRule="exact"/>
        <w:ind w:right="893" w:firstLine="440" w:firstLineChars="200"/>
        <w:textAlignment w:val="bottom"/>
        <w:rPr>
          <w:sz w:val="22"/>
        </w:rPr>
      </w:pPr>
      <w:r>
        <w:rPr>
          <w:sz w:val="22"/>
        </w:rPr>
        <w:t>特此承诺。</w:t>
      </w:r>
    </w:p>
    <w:p w14:paraId="13C07116">
      <w:pPr>
        <w:autoSpaceDE w:val="0"/>
        <w:autoSpaceDN w:val="0"/>
        <w:spacing w:line="360" w:lineRule="exact"/>
        <w:ind w:right="893"/>
        <w:textAlignment w:val="bottom"/>
        <w:rPr>
          <w:sz w:val="22"/>
        </w:rPr>
      </w:pPr>
    </w:p>
    <w:p w14:paraId="58BF1250">
      <w:pPr>
        <w:autoSpaceDE w:val="0"/>
        <w:autoSpaceDN w:val="0"/>
        <w:spacing w:line="360" w:lineRule="exact"/>
        <w:ind w:right="893"/>
        <w:textAlignment w:val="bottom"/>
        <w:rPr>
          <w:sz w:val="22"/>
        </w:rPr>
      </w:pPr>
    </w:p>
    <w:p w14:paraId="352E5F2E">
      <w:pPr>
        <w:spacing w:line="360" w:lineRule="exact"/>
        <w:rPr>
          <w:sz w:val="22"/>
        </w:rPr>
      </w:pPr>
    </w:p>
    <w:p w14:paraId="4F063290">
      <w:pPr>
        <w:spacing w:line="360" w:lineRule="exact"/>
        <w:ind w:right="440"/>
        <w:jc w:val="right"/>
        <w:rPr>
          <w:bCs/>
          <w:sz w:val="22"/>
        </w:rPr>
      </w:pPr>
      <w:r>
        <w:rPr>
          <w:rFonts w:hint="eastAsia"/>
          <w:bCs/>
          <w:sz w:val="22"/>
        </w:rPr>
        <w:t xml:space="preserve"> </w:t>
      </w:r>
      <w:r>
        <w:rPr>
          <w:bCs/>
          <w:sz w:val="22"/>
        </w:rPr>
        <w:t>投标人（公章）：</w:t>
      </w:r>
    </w:p>
    <w:p w14:paraId="3BCEA9C3">
      <w:pPr>
        <w:spacing w:line="360" w:lineRule="exact"/>
        <w:jc w:val="right"/>
        <w:rPr>
          <w:bCs/>
          <w:sz w:val="22"/>
        </w:rPr>
      </w:pPr>
    </w:p>
    <w:p w14:paraId="02536374">
      <w:pPr>
        <w:spacing w:line="360" w:lineRule="exact"/>
        <w:jc w:val="center"/>
        <w:rPr>
          <w:bCs/>
          <w:sz w:val="22"/>
        </w:rPr>
      </w:pPr>
      <w:r>
        <w:rPr>
          <w:rFonts w:hint="eastAsia"/>
          <w:bCs/>
          <w:sz w:val="22"/>
        </w:rPr>
        <w:t xml:space="preserve">                                                        </w:t>
      </w:r>
      <w:r>
        <w:rPr>
          <w:bCs/>
          <w:sz w:val="22"/>
        </w:rPr>
        <w:t>日期：   年  月  日</w:t>
      </w:r>
    </w:p>
    <w:p w14:paraId="541B02CD"/>
    <w:p w14:paraId="2B474C04"/>
    <w:p w14:paraId="693C0241">
      <w:pPr>
        <w:rPr>
          <w:rFonts w:hint="eastAsia" w:hAnsi="宋体"/>
          <w:sz w:val="22"/>
        </w:rPr>
      </w:pPr>
      <w:r>
        <w:rPr>
          <w:rFonts w:hint="eastAsia" w:hAnsi="宋体"/>
          <w:sz w:val="22"/>
        </w:rPr>
        <w:t>(注：按要求填写，不得更改承诺内容)</w:t>
      </w:r>
    </w:p>
    <w:p w14:paraId="3E2F586C">
      <w:r>
        <w:br w:type="page"/>
      </w:r>
    </w:p>
    <w:p w14:paraId="395FF4C9">
      <w:pPr>
        <w:tabs>
          <w:tab w:val="left" w:pos="0"/>
          <w:tab w:val="clear" w:pos="426"/>
        </w:tabs>
        <w:jc w:val="left"/>
        <w:outlineLvl w:val="2"/>
        <w:rPr>
          <w:rFonts w:ascii="Arial" w:hAnsi="Arial" w:eastAsia="黑体" w:cs="Times New Roman"/>
          <w:b/>
          <w:bCs/>
          <w:kern w:val="2"/>
          <w:sz w:val="28"/>
          <w:szCs w:val="28"/>
        </w:rPr>
      </w:pPr>
      <w:bookmarkStart w:id="76" w:name="_Toc13178"/>
      <w:r>
        <w:rPr>
          <w:rFonts w:hint="eastAsia" w:ascii="Arial" w:hAnsi="Arial" w:eastAsia="黑体" w:cs="Times New Roman"/>
          <w:b/>
          <w:bCs/>
          <w:kern w:val="2"/>
          <w:sz w:val="28"/>
          <w:szCs w:val="28"/>
        </w:rPr>
        <w:t>八、报价清单表</w:t>
      </w:r>
      <w:bookmarkEnd w:id="76"/>
    </w:p>
    <w:p w14:paraId="313E9CC9">
      <w:pPr>
        <w:pStyle w:val="3"/>
        <w:ind w:firstLine="420"/>
        <w:jc w:val="center"/>
        <w:rPr>
          <w:sz w:val="32"/>
          <w:szCs w:val="32"/>
        </w:rPr>
      </w:pPr>
      <w:bookmarkStart w:id="77" w:name="_Toc7624"/>
      <w:r>
        <w:rPr>
          <w:rFonts w:hint="eastAsia"/>
          <w:sz w:val="32"/>
          <w:szCs w:val="32"/>
        </w:rPr>
        <w:t>（一）开标一览表</w:t>
      </w:r>
      <w:bookmarkEnd w:id="77"/>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6"/>
      </w:tblGrid>
      <w:tr w14:paraId="286E0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vAlign w:val="center"/>
          </w:tcPr>
          <w:p w14:paraId="4A1195B9">
            <w:pPr>
              <w:spacing w:line="360" w:lineRule="exact"/>
              <w:jc w:val="center"/>
              <w:rPr>
                <w:snapToGrid w:val="0"/>
                <w:sz w:val="22"/>
              </w:rPr>
            </w:pPr>
            <w:r>
              <w:rPr>
                <w:bCs/>
                <w:snapToGrid w:val="0"/>
                <w:sz w:val="22"/>
              </w:rPr>
              <w:t>项目编号</w:t>
            </w:r>
          </w:p>
        </w:tc>
        <w:tc>
          <w:tcPr>
            <w:tcW w:w="3086" w:type="dxa"/>
            <w:vAlign w:val="center"/>
          </w:tcPr>
          <w:p w14:paraId="1FA9B7B8">
            <w:pPr>
              <w:spacing w:line="360" w:lineRule="exact"/>
              <w:jc w:val="center"/>
              <w:rPr>
                <w:snapToGrid w:val="0"/>
                <w:sz w:val="22"/>
              </w:rPr>
            </w:pPr>
            <w:r>
              <w:rPr>
                <w:snapToGrid w:val="0"/>
                <w:sz w:val="22"/>
              </w:rPr>
              <w:t>项目名称</w:t>
            </w:r>
          </w:p>
        </w:tc>
        <w:tc>
          <w:tcPr>
            <w:tcW w:w="3686" w:type="dxa"/>
            <w:vAlign w:val="center"/>
          </w:tcPr>
          <w:p w14:paraId="4CF9DBB2">
            <w:pPr>
              <w:spacing w:line="360" w:lineRule="exact"/>
              <w:jc w:val="center"/>
              <w:rPr>
                <w:snapToGrid w:val="0"/>
                <w:sz w:val="22"/>
              </w:rPr>
            </w:pPr>
            <w:r>
              <w:rPr>
                <w:snapToGrid w:val="0"/>
                <w:sz w:val="22"/>
              </w:rPr>
              <w:t>投标报价（元）</w:t>
            </w:r>
          </w:p>
        </w:tc>
      </w:tr>
      <w:tr w14:paraId="216B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vAlign w:val="center"/>
          </w:tcPr>
          <w:p w14:paraId="20A679C6">
            <w:pPr>
              <w:spacing w:line="360" w:lineRule="exact"/>
              <w:jc w:val="center"/>
              <w:rPr>
                <w:snapToGrid w:val="0"/>
                <w:sz w:val="22"/>
              </w:rPr>
            </w:pPr>
          </w:p>
        </w:tc>
        <w:tc>
          <w:tcPr>
            <w:tcW w:w="3086" w:type="dxa"/>
            <w:vAlign w:val="center"/>
          </w:tcPr>
          <w:p w14:paraId="2D9A5994">
            <w:pPr>
              <w:spacing w:line="360" w:lineRule="exact"/>
              <w:jc w:val="center"/>
              <w:rPr>
                <w:sz w:val="22"/>
              </w:rPr>
            </w:pPr>
          </w:p>
        </w:tc>
        <w:tc>
          <w:tcPr>
            <w:tcW w:w="3686" w:type="dxa"/>
            <w:vAlign w:val="center"/>
          </w:tcPr>
          <w:p w14:paraId="156B4288">
            <w:pPr>
              <w:spacing w:line="360" w:lineRule="exact"/>
              <w:rPr>
                <w:snapToGrid w:val="0"/>
                <w:sz w:val="22"/>
              </w:rPr>
            </w:pPr>
            <w:r>
              <w:rPr>
                <w:snapToGrid w:val="0"/>
                <w:sz w:val="22"/>
              </w:rPr>
              <w:t>大写：</w:t>
            </w:r>
          </w:p>
          <w:p w14:paraId="4EE424FC">
            <w:pPr>
              <w:spacing w:line="360" w:lineRule="exact"/>
              <w:rPr>
                <w:snapToGrid w:val="0"/>
                <w:sz w:val="22"/>
              </w:rPr>
            </w:pPr>
            <w:r>
              <w:rPr>
                <w:snapToGrid w:val="0"/>
                <w:sz w:val="22"/>
              </w:rPr>
              <w:t>小写：</w:t>
            </w:r>
          </w:p>
        </w:tc>
      </w:tr>
    </w:tbl>
    <w:p w14:paraId="3DA31C11">
      <w:pPr>
        <w:spacing w:line="360" w:lineRule="exact"/>
        <w:rPr>
          <w:snapToGrid w:val="0"/>
          <w:sz w:val="22"/>
        </w:rPr>
      </w:pPr>
    </w:p>
    <w:p w14:paraId="357881D5">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6B19910F">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4EDECDA1">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548389F4">
      <w:pPr>
        <w:pStyle w:val="3"/>
        <w:ind w:firstLine="420"/>
        <w:jc w:val="center"/>
        <w:rPr>
          <w:sz w:val="32"/>
          <w:szCs w:val="32"/>
        </w:rPr>
      </w:pPr>
      <w:r>
        <w:rPr>
          <w:sz w:val="22"/>
          <w:highlight w:val="yellow"/>
        </w:rPr>
        <w:br w:type="page"/>
      </w:r>
      <w:bookmarkStart w:id="78" w:name="_Toc25869"/>
      <w:r>
        <w:rPr>
          <w:rFonts w:hint="eastAsia"/>
          <w:sz w:val="32"/>
          <w:szCs w:val="32"/>
        </w:rPr>
        <w:t>（二）分项报价清单表</w:t>
      </w:r>
      <w:bookmarkEnd w:id="78"/>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31"/>
        <w:gridCol w:w="1443"/>
        <w:gridCol w:w="1320"/>
        <w:gridCol w:w="656"/>
        <w:gridCol w:w="878"/>
        <w:gridCol w:w="677"/>
        <w:gridCol w:w="717"/>
        <w:gridCol w:w="593"/>
        <w:gridCol w:w="717"/>
        <w:gridCol w:w="744"/>
        <w:gridCol w:w="1143"/>
      </w:tblGrid>
      <w:tr w14:paraId="22E8C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 w:type="pct"/>
            <w:vAlign w:val="center"/>
          </w:tcPr>
          <w:p w14:paraId="55504821">
            <w:pPr>
              <w:spacing w:line="360" w:lineRule="exact"/>
              <w:jc w:val="center"/>
              <w:rPr>
                <w:sz w:val="22"/>
              </w:rPr>
            </w:pPr>
            <w:r>
              <w:rPr>
                <w:sz w:val="22"/>
              </w:rPr>
              <w:t>序号</w:t>
            </w:r>
          </w:p>
        </w:tc>
        <w:tc>
          <w:tcPr>
            <w:tcW w:w="770" w:type="pct"/>
            <w:gridSpan w:val="2"/>
            <w:vAlign w:val="center"/>
          </w:tcPr>
          <w:p w14:paraId="03EC08D0">
            <w:pPr>
              <w:spacing w:line="360" w:lineRule="exact"/>
              <w:jc w:val="center"/>
              <w:rPr>
                <w:sz w:val="22"/>
              </w:rPr>
            </w:pPr>
            <w:r>
              <w:rPr>
                <w:sz w:val="22"/>
              </w:rPr>
              <w:t>货物名称</w:t>
            </w:r>
          </w:p>
        </w:tc>
        <w:tc>
          <w:tcPr>
            <w:tcW w:w="690" w:type="pct"/>
            <w:vAlign w:val="center"/>
          </w:tcPr>
          <w:p w14:paraId="111AB97B">
            <w:pPr>
              <w:spacing w:line="360" w:lineRule="exact"/>
              <w:jc w:val="center"/>
              <w:rPr>
                <w:sz w:val="22"/>
              </w:rPr>
            </w:pPr>
            <w:r>
              <w:rPr>
                <w:sz w:val="22"/>
              </w:rPr>
              <w:t>规格及型号</w:t>
            </w:r>
          </w:p>
        </w:tc>
        <w:tc>
          <w:tcPr>
            <w:tcW w:w="343" w:type="pct"/>
            <w:vAlign w:val="center"/>
          </w:tcPr>
          <w:p w14:paraId="494A53B6">
            <w:pPr>
              <w:spacing w:line="360" w:lineRule="exact"/>
              <w:jc w:val="center"/>
              <w:rPr>
                <w:sz w:val="22"/>
              </w:rPr>
            </w:pPr>
            <w:r>
              <w:rPr>
                <w:sz w:val="22"/>
              </w:rPr>
              <w:t>原产地</w:t>
            </w:r>
          </w:p>
        </w:tc>
        <w:tc>
          <w:tcPr>
            <w:tcW w:w="459" w:type="pct"/>
            <w:vAlign w:val="center"/>
          </w:tcPr>
          <w:p w14:paraId="437A5784">
            <w:pPr>
              <w:spacing w:line="360" w:lineRule="exact"/>
              <w:jc w:val="center"/>
              <w:rPr>
                <w:sz w:val="22"/>
              </w:rPr>
            </w:pPr>
            <w:r>
              <w:rPr>
                <w:rFonts w:hint="eastAsia"/>
                <w:sz w:val="22"/>
              </w:rPr>
              <w:t>制造商名称</w:t>
            </w:r>
          </w:p>
        </w:tc>
        <w:tc>
          <w:tcPr>
            <w:tcW w:w="354" w:type="pct"/>
            <w:vAlign w:val="center"/>
          </w:tcPr>
          <w:p w14:paraId="477C3A18">
            <w:pPr>
              <w:spacing w:line="360" w:lineRule="exact"/>
              <w:jc w:val="center"/>
              <w:rPr>
                <w:sz w:val="22"/>
              </w:rPr>
            </w:pPr>
            <w:r>
              <w:rPr>
                <w:sz w:val="22"/>
              </w:rPr>
              <w:t>品牌</w:t>
            </w:r>
          </w:p>
        </w:tc>
        <w:tc>
          <w:tcPr>
            <w:tcW w:w="375" w:type="pct"/>
            <w:vAlign w:val="center"/>
          </w:tcPr>
          <w:p w14:paraId="03CD8E14">
            <w:pPr>
              <w:spacing w:line="360" w:lineRule="exact"/>
              <w:jc w:val="center"/>
              <w:rPr>
                <w:sz w:val="22"/>
              </w:rPr>
            </w:pPr>
            <w:r>
              <w:rPr>
                <w:sz w:val="22"/>
              </w:rPr>
              <w:t>数量</w:t>
            </w:r>
          </w:p>
        </w:tc>
        <w:tc>
          <w:tcPr>
            <w:tcW w:w="310" w:type="pct"/>
            <w:vAlign w:val="center"/>
          </w:tcPr>
          <w:p w14:paraId="7FD04331">
            <w:pPr>
              <w:spacing w:line="360" w:lineRule="exact"/>
              <w:jc w:val="center"/>
              <w:rPr>
                <w:sz w:val="22"/>
              </w:rPr>
            </w:pPr>
            <w:r>
              <w:rPr>
                <w:sz w:val="22"/>
              </w:rPr>
              <w:t>单位</w:t>
            </w:r>
          </w:p>
        </w:tc>
        <w:tc>
          <w:tcPr>
            <w:tcW w:w="375" w:type="pct"/>
            <w:vAlign w:val="center"/>
          </w:tcPr>
          <w:p w14:paraId="73AEBC43">
            <w:pPr>
              <w:spacing w:line="360" w:lineRule="exact"/>
              <w:jc w:val="center"/>
              <w:rPr>
                <w:sz w:val="22"/>
              </w:rPr>
            </w:pPr>
            <w:r>
              <w:rPr>
                <w:sz w:val="22"/>
              </w:rPr>
              <w:t>单价(元)</w:t>
            </w:r>
          </w:p>
        </w:tc>
        <w:tc>
          <w:tcPr>
            <w:tcW w:w="384" w:type="pct"/>
            <w:vAlign w:val="center"/>
          </w:tcPr>
          <w:p w14:paraId="11795426">
            <w:pPr>
              <w:spacing w:line="360" w:lineRule="exact"/>
              <w:jc w:val="center"/>
              <w:rPr>
                <w:sz w:val="22"/>
              </w:rPr>
            </w:pPr>
            <w:r>
              <w:rPr>
                <w:sz w:val="22"/>
              </w:rPr>
              <w:t>合价(元)</w:t>
            </w:r>
          </w:p>
        </w:tc>
        <w:tc>
          <w:tcPr>
            <w:tcW w:w="597" w:type="pct"/>
            <w:vAlign w:val="center"/>
          </w:tcPr>
          <w:p w14:paraId="769DE861">
            <w:pPr>
              <w:spacing w:line="360" w:lineRule="exact"/>
              <w:jc w:val="center"/>
              <w:rPr>
                <w:sz w:val="22"/>
              </w:rPr>
            </w:pPr>
            <w:r>
              <w:rPr>
                <w:sz w:val="22"/>
              </w:rPr>
              <w:t>财政预算限额（元）</w:t>
            </w:r>
          </w:p>
        </w:tc>
      </w:tr>
      <w:tr w14:paraId="4CA4C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 w:type="pct"/>
          </w:tcPr>
          <w:p w14:paraId="5675E7DE">
            <w:pPr>
              <w:spacing w:line="360" w:lineRule="exact"/>
              <w:rPr>
                <w:sz w:val="22"/>
              </w:rPr>
            </w:pPr>
          </w:p>
        </w:tc>
        <w:tc>
          <w:tcPr>
            <w:tcW w:w="770" w:type="pct"/>
            <w:gridSpan w:val="2"/>
          </w:tcPr>
          <w:p w14:paraId="044D0752">
            <w:pPr>
              <w:spacing w:line="360" w:lineRule="exact"/>
              <w:rPr>
                <w:sz w:val="22"/>
              </w:rPr>
            </w:pPr>
          </w:p>
        </w:tc>
        <w:tc>
          <w:tcPr>
            <w:tcW w:w="690" w:type="pct"/>
          </w:tcPr>
          <w:p w14:paraId="1A1E75D6">
            <w:pPr>
              <w:spacing w:line="360" w:lineRule="exact"/>
              <w:rPr>
                <w:sz w:val="22"/>
              </w:rPr>
            </w:pPr>
          </w:p>
        </w:tc>
        <w:tc>
          <w:tcPr>
            <w:tcW w:w="343" w:type="pct"/>
          </w:tcPr>
          <w:p w14:paraId="1D9B4A31">
            <w:pPr>
              <w:spacing w:line="360" w:lineRule="exact"/>
              <w:rPr>
                <w:sz w:val="22"/>
              </w:rPr>
            </w:pPr>
          </w:p>
        </w:tc>
        <w:tc>
          <w:tcPr>
            <w:tcW w:w="459" w:type="pct"/>
          </w:tcPr>
          <w:p w14:paraId="6979FD29">
            <w:pPr>
              <w:spacing w:line="360" w:lineRule="exact"/>
              <w:rPr>
                <w:sz w:val="22"/>
              </w:rPr>
            </w:pPr>
          </w:p>
        </w:tc>
        <w:tc>
          <w:tcPr>
            <w:tcW w:w="354" w:type="pct"/>
          </w:tcPr>
          <w:p w14:paraId="07F1F30D">
            <w:pPr>
              <w:spacing w:line="360" w:lineRule="exact"/>
              <w:rPr>
                <w:sz w:val="22"/>
              </w:rPr>
            </w:pPr>
          </w:p>
        </w:tc>
        <w:tc>
          <w:tcPr>
            <w:tcW w:w="375" w:type="pct"/>
          </w:tcPr>
          <w:p w14:paraId="6805F570">
            <w:pPr>
              <w:spacing w:line="360" w:lineRule="exact"/>
              <w:rPr>
                <w:sz w:val="22"/>
              </w:rPr>
            </w:pPr>
          </w:p>
        </w:tc>
        <w:tc>
          <w:tcPr>
            <w:tcW w:w="310" w:type="pct"/>
          </w:tcPr>
          <w:p w14:paraId="47A5C0F9">
            <w:pPr>
              <w:spacing w:line="360" w:lineRule="exact"/>
              <w:rPr>
                <w:sz w:val="22"/>
              </w:rPr>
            </w:pPr>
          </w:p>
        </w:tc>
        <w:tc>
          <w:tcPr>
            <w:tcW w:w="375" w:type="pct"/>
          </w:tcPr>
          <w:p w14:paraId="3CE8F0E4">
            <w:pPr>
              <w:spacing w:line="360" w:lineRule="exact"/>
              <w:rPr>
                <w:sz w:val="22"/>
              </w:rPr>
            </w:pPr>
          </w:p>
        </w:tc>
        <w:tc>
          <w:tcPr>
            <w:tcW w:w="384" w:type="pct"/>
          </w:tcPr>
          <w:p w14:paraId="4F6E2BE6">
            <w:pPr>
              <w:spacing w:line="360" w:lineRule="exact"/>
              <w:rPr>
                <w:sz w:val="22"/>
              </w:rPr>
            </w:pPr>
          </w:p>
        </w:tc>
        <w:tc>
          <w:tcPr>
            <w:tcW w:w="597" w:type="pct"/>
          </w:tcPr>
          <w:p w14:paraId="509704EC">
            <w:pPr>
              <w:spacing w:line="360" w:lineRule="exact"/>
              <w:rPr>
                <w:sz w:val="22"/>
              </w:rPr>
            </w:pPr>
          </w:p>
        </w:tc>
      </w:tr>
      <w:tr w14:paraId="0B782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 w:type="pct"/>
          </w:tcPr>
          <w:p w14:paraId="678A3337">
            <w:pPr>
              <w:spacing w:line="360" w:lineRule="exact"/>
              <w:rPr>
                <w:sz w:val="22"/>
              </w:rPr>
            </w:pPr>
          </w:p>
        </w:tc>
        <w:tc>
          <w:tcPr>
            <w:tcW w:w="770" w:type="pct"/>
            <w:gridSpan w:val="2"/>
          </w:tcPr>
          <w:p w14:paraId="3BDBAD22">
            <w:pPr>
              <w:spacing w:line="360" w:lineRule="exact"/>
              <w:rPr>
                <w:sz w:val="22"/>
              </w:rPr>
            </w:pPr>
          </w:p>
        </w:tc>
        <w:tc>
          <w:tcPr>
            <w:tcW w:w="690" w:type="pct"/>
          </w:tcPr>
          <w:p w14:paraId="758DB742">
            <w:pPr>
              <w:spacing w:line="360" w:lineRule="exact"/>
              <w:rPr>
                <w:sz w:val="22"/>
              </w:rPr>
            </w:pPr>
          </w:p>
        </w:tc>
        <w:tc>
          <w:tcPr>
            <w:tcW w:w="343" w:type="pct"/>
          </w:tcPr>
          <w:p w14:paraId="58BC4ADF">
            <w:pPr>
              <w:spacing w:line="360" w:lineRule="exact"/>
              <w:rPr>
                <w:sz w:val="22"/>
              </w:rPr>
            </w:pPr>
          </w:p>
        </w:tc>
        <w:tc>
          <w:tcPr>
            <w:tcW w:w="459" w:type="pct"/>
          </w:tcPr>
          <w:p w14:paraId="4A913C6E">
            <w:pPr>
              <w:spacing w:line="360" w:lineRule="exact"/>
              <w:rPr>
                <w:sz w:val="22"/>
              </w:rPr>
            </w:pPr>
          </w:p>
        </w:tc>
        <w:tc>
          <w:tcPr>
            <w:tcW w:w="354" w:type="pct"/>
          </w:tcPr>
          <w:p w14:paraId="40C8259F">
            <w:pPr>
              <w:spacing w:line="360" w:lineRule="exact"/>
              <w:rPr>
                <w:sz w:val="22"/>
              </w:rPr>
            </w:pPr>
          </w:p>
        </w:tc>
        <w:tc>
          <w:tcPr>
            <w:tcW w:w="375" w:type="pct"/>
          </w:tcPr>
          <w:p w14:paraId="5958208C">
            <w:pPr>
              <w:spacing w:line="360" w:lineRule="exact"/>
              <w:rPr>
                <w:sz w:val="22"/>
              </w:rPr>
            </w:pPr>
          </w:p>
        </w:tc>
        <w:tc>
          <w:tcPr>
            <w:tcW w:w="310" w:type="pct"/>
          </w:tcPr>
          <w:p w14:paraId="24E58842">
            <w:pPr>
              <w:spacing w:line="360" w:lineRule="exact"/>
              <w:rPr>
                <w:sz w:val="22"/>
              </w:rPr>
            </w:pPr>
          </w:p>
        </w:tc>
        <w:tc>
          <w:tcPr>
            <w:tcW w:w="375" w:type="pct"/>
          </w:tcPr>
          <w:p w14:paraId="14A906F3">
            <w:pPr>
              <w:spacing w:line="360" w:lineRule="exact"/>
              <w:rPr>
                <w:sz w:val="22"/>
              </w:rPr>
            </w:pPr>
          </w:p>
        </w:tc>
        <w:tc>
          <w:tcPr>
            <w:tcW w:w="384" w:type="pct"/>
          </w:tcPr>
          <w:p w14:paraId="337C49E2">
            <w:pPr>
              <w:spacing w:line="360" w:lineRule="exact"/>
              <w:rPr>
                <w:sz w:val="22"/>
              </w:rPr>
            </w:pPr>
          </w:p>
        </w:tc>
        <w:tc>
          <w:tcPr>
            <w:tcW w:w="597" w:type="pct"/>
          </w:tcPr>
          <w:p w14:paraId="422B2005">
            <w:pPr>
              <w:spacing w:line="360" w:lineRule="exact"/>
              <w:rPr>
                <w:sz w:val="22"/>
              </w:rPr>
            </w:pPr>
          </w:p>
        </w:tc>
      </w:tr>
      <w:tr w14:paraId="6630C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 w:type="pct"/>
          </w:tcPr>
          <w:p w14:paraId="1C68A94E">
            <w:pPr>
              <w:spacing w:line="360" w:lineRule="exact"/>
              <w:rPr>
                <w:sz w:val="22"/>
              </w:rPr>
            </w:pPr>
          </w:p>
        </w:tc>
        <w:tc>
          <w:tcPr>
            <w:tcW w:w="770" w:type="pct"/>
            <w:gridSpan w:val="2"/>
          </w:tcPr>
          <w:p w14:paraId="7633C609">
            <w:pPr>
              <w:spacing w:line="360" w:lineRule="exact"/>
              <w:rPr>
                <w:sz w:val="22"/>
              </w:rPr>
            </w:pPr>
          </w:p>
        </w:tc>
        <w:tc>
          <w:tcPr>
            <w:tcW w:w="690" w:type="pct"/>
          </w:tcPr>
          <w:p w14:paraId="3B414A05">
            <w:pPr>
              <w:spacing w:line="360" w:lineRule="exact"/>
              <w:rPr>
                <w:sz w:val="22"/>
              </w:rPr>
            </w:pPr>
          </w:p>
        </w:tc>
        <w:tc>
          <w:tcPr>
            <w:tcW w:w="343" w:type="pct"/>
          </w:tcPr>
          <w:p w14:paraId="52C17A4E">
            <w:pPr>
              <w:spacing w:line="360" w:lineRule="exact"/>
              <w:rPr>
                <w:sz w:val="22"/>
              </w:rPr>
            </w:pPr>
          </w:p>
        </w:tc>
        <w:tc>
          <w:tcPr>
            <w:tcW w:w="459" w:type="pct"/>
          </w:tcPr>
          <w:p w14:paraId="637DF007">
            <w:pPr>
              <w:spacing w:line="360" w:lineRule="exact"/>
              <w:rPr>
                <w:sz w:val="22"/>
              </w:rPr>
            </w:pPr>
          </w:p>
        </w:tc>
        <w:tc>
          <w:tcPr>
            <w:tcW w:w="354" w:type="pct"/>
          </w:tcPr>
          <w:p w14:paraId="716E39BF">
            <w:pPr>
              <w:spacing w:line="360" w:lineRule="exact"/>
              <w:rPr>
                <w:sz w:val="22"/>
              </w:rPr>
            </w:pPr>
          </w:p>
        </w:tc>
        <w:tc>
          <w:tcPr>
            <w:tcW w:w="375" w:type="pct"/>
          </w:tcPr>
          <w:p w14:paraId="2CAA423C">
            <w:pPr>
              <w:spacing w:line="360" w:lineRule="exact"/>
              <w:rPr>
                <w:sz w:val="22"/>
              </w:rPr>
            </w:pPr>
          </w:p>
        </w:tc>
        <w:tc>
          <w:tcPr>
            <w:tcW w:w="310" w:type="pct"/>
          </w:tcPr>
          <w:p w14:paraId="1ABBB65D">
            <w:pPr>
              <w:spacing w:line="360" w:lineRule="exact"/>
              <w:rPr>
                <w:sz w:val="22"/>
              </w:rPr>
            </w:pPr>
          </w:p>
        </w:tc>
        <w:tc>
          <w:tcPr>
            <w:tcW w:w="375" w:type="pct"/>
          </w:tcPr>
          <w:p w14:paraId="2E4FDAF6">
            <w:pPr>
              <w:spacing w:line="360" w:lineRule="exact"/>
              <w:rPr>
                <w:sz w:val="22"/>
              </w:rPr>
            </w:pPr>
          </w:p>
        </w:tc>
        <w:tc>
          <w:tcPr>
            <w:tcW w:w="384" w:type="pct"/>
          </w:tcPr>
          <w:p w14:paraId="488FECA7">
            <w:pPr>
              <w:spacing w:line="360" w:lineRule="exact"/>
              <w:rPr>
                <w:sz w:val="22"/>
              </w:rPr>
            </w:pPr>
          </w:p>
        </w:tc>
        <w:tc>
          <w:tcPr>
            <w:tcW w:w="597" w:type="pct"/>
          </w:tcPr>
          <w:p w14:paraId="5476A1FA">
            <w:pPr>
              <w:spacing w:line="360" w:lineRule="exact"/>
              <w:rPr>
                <w:sz w:val="22"/>
              </w:rPr>
            </w:pPr>
          </w:p>
        </w:tc>
      </w:tr>
      <w:tr w14:paraId="0C84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 w:type="pct"/>
          </w:tcPr>
          <w:p w14:paraId="79939AF6">
            <w:pPr>
              <w:spacing w:line="360" w:lineRule="exact"/>
              <w:rPr>
                <w:sz w:val="22"/>
              </w:rPr>
            </w:pPr>
          </w:p>
        </w:tc>
        <w:tc>
          <w:tcPr>
            <w:tcW w:w="770" w:type="pct"/>
            <w:gridSpan w:val="2"/>
          </w:tcPr>
          <w:p w14:paraId="2EACB8F1">
            <w:pPr>
              <w:spacing w:line="360" w:lineRule="exact"/>
              <w:rPr>
                <w:sz w:val="22"/>
              </w:rPr>
            </w:pPr>
          </w:p>
        </w:tc>
        <w:tc>
          <w:tcPr>
            <w:tcW w:w="690" w:type="pct"/>
          </w:tcPr>
          <w:p w14:paraId="333FCCD8">
            <w:pPr>
              <w:spacing w:line="360" w:lineRule="exact"/>
              <w:rPr>
                <w:sz w:val="22"/>
              </w:rPr>
            </w:pPr>
          </w:p>
        </w:tc>
        <w:tc>
          <w:tcPr>
            <w:tcW w:w="343" w:type="pct"/>
          </w:tcPr>
          <w:p w14:paraId="31A24566">
            <w:pPr>
              <w:spacing w:line="360" w:lineRule="exact"/>
              <w:rPr>
                <w:sz w:val="22"/>
              </w:rPr>
            </w:pPr>
          </w:p>
        </w:tc>
        <w:tc>
          <w:tcPr>
            <w:tcW w:w="459" w:type="pct"/>
          </w:tcPr>
          <w:p w14:paraId="394D261C">
            <w:pPr>
              <w:spacing w:line="360" w:lineRule="exact"/>
              <w:rPr>
                <w:sz w:val="22"/>
              </w:rPr>
            </w:pPr>
          </w:p>
        </w:tc>
        <w:tc>
          <w:tcPr>
            <w:tcW w:w="354" w:type="pct"/>
          </w:tcPr>
          <w:p w14:paraId="5FBBC1A8">
            <w:pPr>
              <w:spacing w:line="360" w:lineRule="exact"/>
              <w:rPr>
                <w:sz w:val="22"/>
              </w:rPr>
            </w:pPr>
          </w:p>
        </w:tc>
        <w:tc>
          <w:tcPr>
            <w:tcW w:w="375" w:type="pct"/>
          </w:tcPr>
          <w:p w14:paraId="410140CB">
            <w:pPr>
              <w:spacing w:line="360" w:lineRule="exact"/>
              <w:rPr>
                <w:sz w:val="22"/>
              </w:rPr>
            </w:pPr>
          </w:p>
        </w:tc>
        <w:tc>
          <w:tcPr>
            <w:tcW w:w="310" w:type="pct"/>
          </w:tcPr>
          <w:p w14:paraId="681F81C3">
            <w:pPr>
              <w:spacing w:line="360" w:lineRule="exact"/>
              <w:rPr>
                <w:sz w:val="22"/>
              </w:rPr>
            </w:pPr>
          </w:p>
        </w:tc>
        <w:tc>
          <w:tcPr>
            <w:tcW w:w="375" w:type="pct"/>
          </w:tcPr>
          <w:p w14:paraId="1BC203C3">
            <w:pPr>
              <w:spacing w:line="360" w:lineRule="exact"/>
              <w:rPr>
                <w:sz w:val="22"/>
              </w:rPr>
            </w:pPr>
          </w:p>
        </w:tc>
        <w:tc>
          <w:tcPr>
            <w:tcW w:w="384" w:type="pct"/>
          </w:tcPr>
          <w:p w14:paraId="7D171538">
            <w:pPr>
              <w:spacing w:line="360" w:lineRule="exact"/>
              <w:rPr>
                <w:sz w:val="22"/>
              </w:rPr>
            </w:pPr>
          </w:p>
        </w:tc>
        <w:tc>
          <w:tcPr>
            <w:tcW w:w="597" w:type="pct"/>
          </w:tcPr>
          <w:p w14:paraId="79960D30">
            <w:pPr>
              <w:spacing w:line="360" w:lineRule="exact"/>
              <w:rPr>
                <w:sz w:val="22"/>
              </w:rPr>
            </w:pPr>
          </w:p>
        </w:tc>
      </w:tr>
      <w:tr w14:paraId="4D25B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gridSpan w:val="2"/>
          </w:tcPr>
          <w:p w14:paraId="5E3C5496">
            <w:pPr>
              <w:spacing w:line="360" w:lineRule="exact"/>
              <w:rPr>
                <w:sz w:val="22"/>
              </w:rPr>
            </w:pPr>
          </w:p>
        </w:tc>
        <w:tc>
          <w:tcPr>
            <w:tcW w:w="4049" w:type="pct"/>
            <w:gridSpan w:val="9"/>
          </w:tcPr>
          <w:p w14:paraId="4B85F5C7">
            <w:pPr>
              <w:spacing w:line="360" w:lineRule="exact"/>
              <w:rPr>
                <w:sz w:val="22"/>
              </w:rPr>
            </w:pPr>
            <w:r>
              <w:rPr>
                <w:sz w:val="22"/>
              </w:rPr>
              <w:t>合计（即：投标总价；币种：人民币；单位：元）：大写：</w:t>
            </w:r>
          </w:p>
        </w:tc>
        <w:tc>
          <w:tcPr>
            <w:tcW w:w="597" w:type="pct"/>
          </w:tcPr>
          <w:p w14:paraId="6D32B3B9">
            <w:pPr>
              <w:spacing w:line="360" w:lineRule="exact"/>
              <w:rPr>
                <w:sz w:val="22"/>
              </w:rPr>
            </w:pPr>
          </w:p>
        </w:tc>
      </w:tr>
    </w:tbl>
    <w:p w14:paraId="3B02FD19">
      <w:pPr>
        <w:spacing w:line="360" w:lineRule="exact"/>
        <w:rPr>
          <w:rFonts w:hint="eastAsia" w:hAnsi="宋体"/>
          <w:sz w:val="22"/>
          <w:szCs w:val="22"/>
        </w:rPr>
      </w:pPr>
    </w:p>
    <w:p w14:paraId="7CB47ED8">
      <w:pPr>
        <w:spacing w:line="360" w:lineRule="exact"/>
        <w:rPr>
          <w:sz w:val="22"/>
        </w:rPr>
      </w:pPr>
      <w:r>
        <w:rPr>
          <w:sz w:val="22"/>
        </w:rPr>
        <w:t>注：</w:t>
      </w:r>
    </w:p>
    <w:p w14:paraId="337331B6">
      <w:pPr>
        <w:spacing w:line="360" w:lineRule="exact"/>
        <w:rPr>
          <w:sz w:val="22"/>
        </w:rPr>
      </w:pPr>
      <w:r>
        <w:rPr>
          <w:sz w:val="22"/>
        </w:rPr>
        <w:t>1、所有价格应按“</w:t>
      </w:r>
      <w:r>
        <w:rPr>
          <w:rFonts w:hint="eastAsia"/>
          <w:sz w:val="22"/>
        </w:rPr>
        <w:t>招标</w:t>
      </w:r>
      <w:r>
        <w:rPr>
          <w:sz w:val="22"/>
        </w:rPr>
        <w:t>文件”中规定的货币单位填写；</w:t>
      </w:r>
    </w:p>
    <w:p w14:paraId="6546D5BA">
      <w:pPr>
        <w:spacing w:line="360" w:lineRule="exact"/>
        <w:rPr>
          <w:sz w:val="22"/>
        </w:rPr>
      </w:pPr>
      <w:r>
        <w:rPr>
          <w:sz w:val="22"/>
        </w:rPr>
        <w:t>2、投标总价应为以上各分项价格之和；</w:t>
      </w:r>
    </w:p>
    <w:p w14:paraId="69822CC4">
      <w:pPr>
        <w:spacing w:line="360" w:lineRule="exact"/>
        <w:rPr>
          <w:sz w:val="22"/>
        </w:rPr>
      </w:pPr>
      <w:r>
        <w:rPr>
          <w:sz w:val="22"/>
        </w:rPr>
        <w:t>3、本表格式不得修改；</w:t>
      </w:r>
    </w:p>
    <w:p w14:paraId="41FC4022">
      <w:pPr>
        <w:spacing w:line="360" w:lineRule="exact"/>
        <w:rPr>
          <w:sz w:val="22"/>
        </w:rPr>
      </w:pPr>
      <w:r>
        <w:rPr>
          <w:sz w:val="22"/>
        </w:rPr>
        <w:t>4、单价、合价和投标总价为包干价，即三者均应包含设备的价款、包装、运输、装卸、安装、调试、技术指导、培训、咨询、服务、保险、税费、检测、验收合格交付使用之前以及技术和售后服务等其他各项有关费用。</w:t>
      </w:r>
    </w:p>
    <w:p w14:paraId="05352588">
      <w:pPr>
        <w:spacing w:line="360" w:lineRule="exact"/>
        <w:rPr>
          <w:sz w:val="22"/>
        </w:rPr>
      </w:pPr>
      <w:r>
        <w:rPr>
          <w:sz w:val="22"/>
        </w:rPr>
        <w:t>5、投标总价和</w:t>
      </w:r>
      <w:r>
        <w:rPr>
          <w:rFonts w:hint="eastAsia"/>
          <w:sz w:val="22"/>
        </w:rPr>
        <w:t>分项报价表</w:t>
      </w:r>
      <w:r>
        <w:rPr>
          <w:sz w:val="22"/>
        </w:rPr>
        <w:t>中单个采购预算条目报价均不得超过对应的财政预算限额，否则将导致废标。</w:t>
      </w:r>
    </w:p>
    <w:p w14:paraId="62ED8954">
      <w:pPr>
        <w:spacing w:line="360" w:lineRule="exact"/>
        <w:rPr>
          <w:sz w:val="22"/>
        </w:rPr>
      </w:pPr>
      <w:r>
        <w:rPr>
          <w:sz w:val="22"/>
        </w:rPr>
        <w:t>6、开标一览表的投标总价必须与</w:t>
      </w:r>
      <w:r>
        <w:rPr>
          <w:rFonts w:hint="eastAsia"/>
          <w:sz w:val="22"/>
        </w:rPr>
        <w:t>分项报价表</w:t>
      </w:r>
      <w:r>
        <w:rPr>
          <w:sz w:val="22"/>
        </w:rPr>
        <w:t>的投标总价一致。</w:t>
      </w:r>
    </w:p>
    <w:p w14:paraId="4DBA3AD3">
      <w:pPr>
        <w:spacing w:line="360" w:lineRule="exact"/>
        <w:rPr>
          <w:sz w:val="22"/>
        </w:rPr>
      </w:pPr>
      <w:r>
        <w:rPr>
          <w:sz w:val="22"/>
        </w:rPr>
        <w:t>7、“原产地”是指该产品的实际生产加工地，而非品牌总公司所在地。</w:t>
      </w:r>
    </w:p>
    <w:p w14:paraId="7C6F8C49">
      <w:pPr>
        <w:spacing w:line="360" w:lineRule="exact"/>
        <w:rPr>
          <w:sz w:val="22"/>
        </w:rPr>
      </w:pPr>
      <w:r>
        <w:rPr>
          <w:rFonts w:hint="eastAsia"/>
          <w:sz w:val="22"/>
        </w:rPr>
        <w:t>8、非标准产品“</w:t>
      </w:r>
      <w:r>
        <w:rPr>
          <w:sz w:val="22"/>
        </w:rPr>
        <w:t>规格及型号</w:t>
      </w:r>
      <w:r>
        <w:rPr>
          <w:rFonts w:hint="eastAsia"/>
          <w:sz w:val="22"/>
        </w:rPr>
        <w:t>”可填写：定制或非标；需系统集成的货物“制造商名称”可填写集成商名称或主要产品制造商名称。</w:t>
      </w:r>
    </w:p>
    <w:p w14:paraId="5E65D257">
      <w:pPr>
        <w:spacing w:line="360" w:lineRule="exact"/>
        <w:rPr>
          <w:sz w:val="22"/>
          <w:lang w:val="zh-CN"/>
        </w:rPr>
      </w:pPr>
      <w:r>
        <w:rPr>
          <w:rFonts w:hint="eastAsia"/>
          <w:sz w:val="22"/>
        </w:rPr>
        <w:t>9、</w:t>
      </w:r>
      <w:r>
        <w:rPr>
          <w:rFonts w:hint="eastAsia"/>
          <w:sz w:val="22"/>
          <w:lang w:val="zh-CN"/>
        </w:rPr>
        <w:t>本表电子版文件请另提供EXCEL 版本。</w:t>
      </w:r>
    </w:p>
    <w:p w14:paraId="03433D55">
      <w:pPr>
        <w:spacing w:line="360" w:lineRule="exact"/>
        <w:rPr>
          <w:sz w:val="22"/>
          <w:lang w:val="zh-CN"/>
        </w:rPr>
      </w:pPr>
      <w:r>
        <w:rPr>
          <w:rFonts w:hint="eastAsia"/>
          <w:sz w:val="22"/>
        </w:rPr>
        <w:t>10</w:t>
      </w:r>
      <w:r>
        <w:rPr>
          <w:rFonts w:hint="eastAsia"/>
          <w:sz w:val="22"/>
          <w:lang w:val="zh-CN"/>
        </w:rPr>
        <w:t>、投标人所提供的设备配置及服务有非实质性缺漏项时，均视为已包含在投标报价中，不论何种原因投标人均须在中标后无条件给予补充完备，且中标价及合同签订以投标价为准。否则其中标资格将被取消。</w:t>
      </w:r>
    </w:p>
    <w:p w14:paraId="4594A4AB">
      <w:pPr>
        <w:spacing w:line="360" w:lineRule="exact"/>
        <w:rPr>
          <w:sz w:val="22"/>
          <w:lang w:val="zh-CN"/>
        </w:rPr>
      </w:pPr>
    </w:p>
    <w:p w14:paraId="727E1634">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6A26B0D0">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695A195D">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408C0404">
      <w:pPr>
        <w:rPr>
          <w:rFonts w:hint="eastAsia" w:hAnsi="宋体"/>
          <w:snapToGrid w:val="0"/>
          <w:sz w:val="22"/>
        </w:rPr>
      </w:pPr>
      <w:r>
        <w:rPr>
          <w:rFonts w:hint="eastAsia" w:hAnsi="宋体"/>
          <w:snapToGrid w:val="0"/>
          <w:sz w:val="22"/>
        </w:rPr>
        <w:br w:type="page"/>
      </w:r>
    </w:p>
    <w:p w14:paraId="5682D143">
      <w:pPr>
        <w:pStyle w:val="3"/>
        <w:ind w:firstLine="420"/>
        <w:jc w:val="center"/>
        <w:rPr>
          <w:sz w:val="32"/>
          <w:szCs w:val="32"/>
        </w:rPr>
      </w:pPr>
      <w:bookmarkStart w:id="79" w:name="_Toc18151"/>
      <w:r>
        <w:rPr>
          <w:rFonts w:hint="eastAsia"/>
          <w:sz w:val="32"/>
          <w:szCs w:val="32"/>
        </w:rPr>
        <w:t>（三）零配件、消耗品和延续保修合同报价明细清单</w:t>
      </w:r>
      <w:bookmarkEnd w:id="79"/>
    </w:p>
    <w:tbl>
      <w:tblPr>
        <w:tblStyle w:val="85"/>
        <w:tblW w:w="49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2"/>
        <w:gridCol w:w="1593"/>
        <w:gridCol w:w="1501"/>
        <w:gridCol w:w="1011"/>
        <w:gridCol w:w="935"/>
        <w:gridCol w:w="977"/>
        <w:gridCol w:w="1209"/>
        <w:gridCol w:w="1209"/>
      </w:tblGrid>
      <w:tr w14:paraId="0D7EB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 w:type="pct"/>
            <w:vAlign w:val="center"/>
          </w:tcPr>
          <w:p w14:paraId="73A2DFF0">
            <w:pPr>
              <w:spacing w:line="360" w:lineRule="exact"/>
              <w:jc w:val="center"/>
              <w:rPr>
                <w:sz w:val="22"/>
              </w:rPr>
            </w:pPr>
            <w:r>
              <w:rPr>
                <w:rFonts w:hint="eastAsia"/>
                <w:sz w:val="22"/>
              </w:rPr>
              <w:t>序号</w:t>
            </w:r>
          </w:p>
        </w:tc>
        <w:tc>
          <w:tcPr>
            <w:tcW w:w="838" w:type="pct"/>
            <w:vAlign w:val="center"/>
          </w:tcPr>
          <w:p w14:paraId="4A75E9E8">
            <w:pPr>
              <w:spacing w:line="360" w:lineRule="exact"/>
              <w:jc w:val="center"/>
              <w:rPr>
                <w:sz w:val="22"/>
              </w:rPr>
            </w:pPr>
            <w:r>
              <w:rPr>
                <w:rFonts w:hint="eastAsia" w:hAnsi="宋体"/>
                <w:sz w:val="22"/>
              </w:rPr>
              <w:t>货物名称</w:t>
            </w:r>
          </w:p>
        </w:tc>
        <w:tc>
          <w:tcPr>
            <w:tcW w:w="790" w:type="pct"/>
            <w:vAlign w:val="center"/>
          </w:tcPr>
          <w:p w14:paraId="289B3C87">
            <w:pPr>
              <w:spacing w:line="360" w:lineRule="exact"/>
              <w:jc w:val="center"/>
              <w:rPr>
                <w:sz w:val="22"/>
              </w:rPr>
            </w:pPr>
            <w:r>
              <w:rPr>
                <w:sz w:val="22"/>
              </w:rPr>
              <w:t>规格及型号</w:t>
            </w:r>
          </w:p>
        </w:tc>
        <w:tc>
          <w:tcPr>
            <w:tcW w:w="532" w:type="pct"/>
            <w:vAlign w:val="center"/>
          </w:tcPr>
          <w:p w14:paraId="666DD950">
            <w:pPr>
              <w:spacing w:line="360" w:lineRule="exact"/>
              <w:jc w:val="center"/>
              <w:rPr>
                <w:sz w:val="22"/>
              </w:rPr>
            </w:pPr>
            <w:r>
              <w:rPr>
                <w:sz w:val="22"/>
              </w:rPr>
              <w:t>原产地</w:t>
            </w:r>
          </w:p>
        </w:tc>
        <w:tc>
          <w:tcPr>
            <w:tcW w:w="492" w:type="pct"/>
            <w:vAlign w:val="center"/>
          </w:tcPr>
          <w:p w14:paraId="1F36BCD6">
            <w:pPr>
              <w:spacing w:line="360" w:lineRule="exact"/>
              <w:jc w:val="center"/>
              <w:rPr>
                <w:sz w:val="22"/>
              </w:rPr>
            </w:pPr>
            <w:r>
              <w:rPr>
                <w:sz w:val="22"/>
              </w:rPr>
              <w:t>品牌</w:t>
            </w:r>
          </w:p>
        </w:tc>
        <w:tc>
          <w:tcPr>
            <w:tcW w:w="514" w:type="pct"/>
            <w:vAlign w:val="center"/>
          </w:tcPr>
          <w:p w14:paraId="11F7315E">
            <w:pPr>
              <w:spacing w:line="360" w:lineRule="exact"/>
              <w:jc w:val="center"/>
              <w:rPr>
                <w:sz w:val="22"/>
              </w:rPr>
            </w:pPr>
            <w:r>
              <w:rPr>
                <w:sz w:val="22"/>
              </w:rPr>
              <w:t>数量</w:t>
            </w:r>
          </w:p>
        </w:tc>
        <w:tc>
          <w:tcPr>
            <w:tcW w:w="636" w:type="pct"/>
            <w:vAlign w:val="center"/>
          </w:tcPr>
          <w:p w14:paraId="532D8B89">
            <w:pPr>
              <w:spacing w:line="360" w:lineRule="exact"/>
              <w:jc w:val="center"/>
              <w:rPr>
                <w:sz w:val="22"/>
              </w:rPr>
            </w:pPr>
            <w:r>
              <w:rPr>
                <w:sz w:val="22"/>
              </w:rPr>
              <w:t>单位</w:t>
            </w:r>
          </w:p>
        </w:tc>
        <w:tc>
          <w:tcPr>
            <w:tcW w:w="636" w:type="pct"/>
            <w:vAlign w:val="center"/>
          </w:tcPr>
          <w:p w14:paraId="154EDCF1">
            <w:pPr>
              <w:spacing w:line="360" w:lineRule="exact"/>
              <w:jc w:val="center"/>
              <w:rPr>
                <w:sz w:val="22"/>
              </w:rPr>
            </w:pPr>
            <w:r>
              <w:rPr>
                <w:rFonts w:hint="eastAsia"/>
                <w:sz w:val="22"/>
              </w:rPr>
              <w:t>...</w:t>
            </w:r>
          </w:p>
        </w:tc>
      </w:tr>
      <w:tr w14:paraId="62EA9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 w:type="pct"/>
          </w:tcPr>
          <w:p w14:paraId="517FCEB7">
            <w:pPr>
              <w:spacing w:line="360" w:lineRule="exact"/>
              <w:jc w:val="center"/>
              <w:rPr>
                <w:sz w:val="22"/>
              </w:rPr>
            </w:pPr>
            <w:r>
              <w:rPr>
                <w:rFonts w:hint="eastAsia"/>
                <w:sz w:val="22"/>
              </w:rPr>
              <w:t>1</w:t>
            </w:r>
          </w:p>
        </w:tc>
        <w:tc>
          <w:tcPr>
            <w:tcW w:w="838" w:type="pct"/>
          </w:tcPr>
          <w:p w14:paraId="2F2A24B6">
            <w:pPr>
              <w:spacing w:line="360" w:lineRule="exact"/>
              <w:rPr>
                <w:sz w:val="22"/>
              </w:rPr>
            </w:pPr>
          </w:p>
        </w:tc>
        <w:tc>
          <w:tcPr>
            <w:tcW w:w="790" w:type="pct"/>
          </w:tcPr>
          <w:p w14:paraId="7ECF38F9">
            <w:pPr>
              <w:spacing w:line="360" w:lineRule="exact"/>
              <w:rPr>
                <w:sz w:val="22"/>
              </w:rPr>
            </w:pPr>
          </w:p>
        </w:tc>
        <w:tc>
          <w:tcPr>
            <w:tcW w:w="532" w:type="pct"/>
          </w:tcPr>
          <w:p w14:paraId="6EC9A702">
            <w:pPr>
              <w:spacing w:line="360" w:lineRule="exact"/>
              <w:rPr>
                <w:sz w:val="22"/>
              </w:rPr>
            </w:pPr>
          </w:p>
        </w:tc>
        <w:tc>
          <w:tcPr>
            <w:tcW w:w="492" w:type="pct"/>
          </w:tcPr>
          <w:p w14:paraId="4918EFFC">
            <w:pPr>
              <w:spacing w:line="360" w:lineRule="exact"/>
              <w:rPr>
                <w:sz w:val="22"/>
              </w:rPr>
            </w:pPr>
          </w:p>
        </w:tc>
        <w:tc>
          <w:tcPr>
            <w:tcW w:w="514" w:type="pct"/>
          </w:tcPr>
          <w:p w14:paraId="5CBB84EA">
            <w:pPr>
              <w:spacing w:line="360" w:lineRule="exact"/>
              <w:rPr>
                <w:sz w:val="22"/>
              </w:rPr>
            </w:pPr>
          </w:p>
        </w:tc>
        <w:tc>
          <w:tcPr>
            <w:tcW w:w="636" w:type="pct"/>
          </w:tcPr>
          <w:p w14:paraId="20E6F434">
            <w:pPr>
              <w:spacing w:line="360" w:lineRule="exact"/>
              <w:rPr>
                <w:sz w:val="22"/>
              </w:rPr>
            </w:pPr>
          </w:p>
        </w:tc>
        <w:tc>
          <w:tcPr>
            <w:tcW w:w="636" w:type="pct"/>
          </w:tcPr>
          <w:p w14:paraId="573337A5">
            <w:pPr>
              <w:spacing w:line="360" w:lineRule="exact"/>
              <w:rPr>
                <w:sz w:val="22"/>
              </w:rPr>
            </w:pPr>
          </w:p>
        </w:tc>
      </w:tr>
      <w:tr w14:paraId="41025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 w:type="pct"/>
          </w:tcPr>
          <w:p w14:paraId="5D9967A0">
            <w:pPr>
              <w:spacing w:line="360" w:lineRule="exact"/>
              <w:jc w:val="center"/>
              <w:rPr>
                <w:sz w:val="22"/>
              </w:rPr>
            </w:pPr>
            <w:r>
              <w:rPr>
                <w:rFonts w:hint="eastAsia"/>
                <w:sz w:val="22"/>
              </w:rPr>
              <w:t>2</w:t>
            </w:r>
          </w:p>
        </w:tc>
        <w:tc>
          <w:tcPr>
            <w:tcW w:w="838" w:type="pct"/>
          </w:tcPr>
          <w:p w14:paraId="61295105">
            <w:pPr>
              <w:spacing w:line="360" w:lineRule="exact"/>
              <w:rPr>
                <w:sz w:val="22"/>
              </w:rPr>
            </w:pPr>
          </w:p>
        </w:tc>
        <w:tc>
          <w:tcPr>
            <w:tcW w:w="790" w:type="pct"/>
          </w:tcPr>
          <w:p w14:paraId="09161C3D">
            <w:pPr>
              <w:spacing w:line="360" w:lineRule="exact"/>
              <w:rPr>
                <w:sz w:val="22"/>
              </w:rPr>
            </w:pPr>
          </w:p>
        </w:tc>
        <w:tc>
          <w:tcPr>
            <w:tcW w:w="532" w:type="pct"/>
          </w:tcPr>
          <w:p w14:paraId="30460775">
            <w:pPr>
              <w:spacing w:line="360" w:lineRule="exact"/>
              <w:rPr>
                <w:sz w:val="22"/>
              </w:rPr>
            </w:pPr>
          </w:p>
        </w:tc>
        <w:tc>
          <w:tcPr>
            <w:tcW w:w="492" w:type="pct"/>
          </w:tcPr>
          <w:p w14:paraId="0998EF4B">
            <w:pPr>
              <w:spacing w:line="360" w:lineRule="exact"/>
              <w:rPr>
                <w:sz w:val="22"/>
              </w:rPr>
            </w:pPr>
          </w:p>
        </w:tc>
        <w:tc>
          <w:tcPr>
            <w:tcW w:w="514" w:type="pct"/>
          </w:tcPr>
          <w:p w14:paraId="4B20D747">
            <w:pPr>
              <w:spacing w:line="360" w:lineRule="exact"/>
              <w:rPr>
                <w:sz w:val="22"/>
              </w:rPr>
            </w:pPr>
          </w:p>
        </w:tc>
        <w:tc>
          <w:tcPr>
            <w:tcW w:w="636" w:type="pct"/>
          </w:tcPr>
          <w:p w14:paraId="45EFA020">
            <w:pPr>
              <w:spacing w:line="360" w:lineRule="exact"/>
              <w:rPr>
                <w:sz w:val="22"/>
              </w:rPr>
            </w:pPr>
          </w:p>
        </w:tc>
        <w:tc>
          <w:tcPr>
            <w:tcW w:w="636" w:type="pct"/>
          </w:tcPr>
          <w:p w14:paraId="14DEC398">
            <w:pPr>
              <w:spacing w:line="360" w:lineRule="exact"/>
              <w:rPr>
                <w:sz w:val="22"/>
              </w:rPr>
            </w:pPr>
          </w:p>
        </w:tc>
      </w:tr>
      <w:tr w14:paraId="5D168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 w:type="pct"/>
          </w:tcPr>
          <w:p w14:paraId="126F1B0B">
            <w:pPr>
              <w:spacing w:line="360" w:lineRule="exact"/>
              <w:jc w:val="center"/>
              <w:rPr>
                <w:sz w:val="22"/>
              </w:rPr>
            </w:pPr>
            <w:r>
              <w:rPr>
                <w:rFonts w:hint="eastAsia"/>
                <w:sz w:val="22"/>
              </w:rPr>
              <w:t>...</w:t>
            </w:r>
          </w:p>
        </w:tc>
        <w:tc>
          <w:tcPr>
            <w:tcW w:w="838" w:type="pct"/>
          </w:tcPr>
          <w:p w14:paraId="4B6D39DB">
            <w:pPr>
              <w:spacing w:line="360" w:lineRule="exact"/>
              <w:rPr>
                <w:sz w:val="22"/>
              </w:rPr>
            </w:pPr>
          </w:p>
        </w:tc>
        <w:tc>
          <w:tcPr>
            <w:tcW w:w="790" w:type="pct"/>
          </w:tcPr>
          <w:p w14:paraId="38515DA0">
            <w:pPr>
              <w:spacing w:line="360" w:lineRule="exact"/>
              <w:rPr>
                <w:sz w:val="22"/>
              </w:rPr>
            </w:pPr>
          </w:p>
        </w:tc>
        <w:tc>
          <w:tcPr>
            <w:tcW w:w="532" w:type="pct"/>
          </w:tcPr>
          <w:p w14:paraId="24819F83">
            <w:pPr>
              <w:spacing w:line="360" w:lineRule="exact"/>
              <w:rPr>
                <w:sz w:val="22"/>
              </w:rPr>
            </w:pPr>
          </w:p>
        </w:tc>
        <w:tc>
          <w:tcPr>
            <w:tcW w:w="492" w:type="pct"/>
          </w:tcPr>
          <w:p w14:paraId="1BD13D02">
            <w:pPr>
              <w:spacing w:line="360" w:lineRule="exact"/>
              <w:rPr>
                <w:sz w:val="22"/>
              </w:rPr>
            </w:pPr>
          </w:p>
        </w:tc>
        <w:tc>
          <w:tcPr>
            <w:tcW w:w="514" w:type="pct"/>
          </w:tcPr>
          <w:p w14:paraId="451E3617">
            <w:pPr>
              <w:spacing w:line="360" w:lineRule="exact"/>
              <w:rPr>
                <w:sz w:val="22"/>
              </w:rPr>
            </w:pPr>
          </w:p>
        </w:tc>
        <w:tc>
          <w:tcPr>
            <w:tcW w:w="636" w:type="pct"/>
          </w:tcPr>
          <w:p w14:paraId="330DEB52">
            <w:pPr>
              <w:spacing w:line="360" w:lineRule="exact"/>
              <w:rPr>
                <w:sz w:val="22"/>
              </w:rPr>
            </w:pPr>
          </w:p>
        </w:tc>
        <w:tc>
          <w:tcPr>
            <w:tcW w:w="636" w:type="pct"/>
          </w:tcPr>
          <w:p w14:paraId="38096FE6">
            <w:pPr>
              <w:spacing w:line="360" w:lineRule="exact"/>
              <w:rPr>
                <w:sz w:val="22"/>
              </w:rPr>
            </w:pPr>
          </w:p>
        </w:tc>
      </w:tr>
    </w:tbl>
    <w:p w14:paraId="4518919E">
      <w:pPr>
        <w:spacing w:line="360" w:lineRule="exact"/>
        <w:ind w:right="2100" w:rightChars="1000"/>
        <w:jc w:val="left"/>
        <w:rPr>
          <w:rFonts w:hint="eastAsia" w:hAnsi="宋体"/>
          <w:snapToGrid w:val="0"/>
          <w:sz w:val="22"/>
          <w:lang w:val="zh-CN"/>
        </w:rPr>
      </w:pPr>
    </w:p>
    <w:p w14:paraId="5A973E0D">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773468E3">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30A8C972">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5644F35A">
      <w:pPr>
        <w:pStyle w:val="73"/>
      </w:pPr>
    </w:p>
    <w:p w14:paraId="2E38B4D7">
      <w:pPr>
        <w:spacing w:line="360" w:lineRule="exact"/>
        <w:ind w:right="2100" w:rightChars="1000"/>
        <w:jc w:val="left"/>
        <w:rPr>
          <w:rFonts w:hint="eastAsia" w:hAnsi="宋体"/>
          <w:snapToGrid w:val="0"/>
          <w:sz w:val="22"/>
        </w:rPr>
      </w:pPr>
    </w:p>
    <w:p w14:paraId="507E5A38">
      <w:r>
        <w:rPr>
          <w:rFonts w:hint="eastAsia"/>
        </w:rPr>
        <w:br w:type="page"/>
      </w:r>
    </w:p>
    <w:bookmarkEnd w:id="74"/>
    <w:p w14:paraId="1A580670">
      <w:pPr>
        <w:tabs>
          <w:tab w:val="left" w:pos="0"/>
          <w:tab w:val="clear" w:pos="426"/>
        </w:tabs>
        <w:jc w:val="left"/>
        <w:outlineLvl w:val="2"/>
        <w:rPr>
          <w:rFonts w:ascii="Arial" w:hAnsi="Arial" w:eastAsia="黑体" w:cs="Times New Roman"/>
          <w:b/>
          <w:bCs/>
          <w:kern w:val="2"/>
          <w:sz w:val="28"/>
          <w:szCs w:val="28"/>
        </w:rPr>
      </w:pPr>
      <w:bookmarkStart w:id="80" w:name="_Toc23500"/>
      <w:r>
        <w:rPr>
          <w:rFonts w:hint="eastAsia" w:ascii="Arial" w:hAnsi="Arial" w:eastAsia="黑体" w:cs="Times New Roman"/>
          <w:b/>
          <w:bCs/>
          <w:kern w:val="2"/>
          <w:sz w:val="28"/>
          <w:szCs w:val="28"/>
        </w:rPr>
        <w:t>九、供应商情况介绍</w:t>
      </w:r>
      <w:bookmarkEnd w:id="80"/>
    </w:p>
    <w:p w14:paraId="3DFBC656">
      <w:pPr>
        <w:spacing w:line="360" w:lineRule="exact"/>
        <w:ind w:firstLine="420"/>
        <w:jc w:val="center"/>
        <w:rPr>
          <w:sz w:val="32"/>
          <w:szCs w:val="32"/>
        </w:rPr>
      </w:pPr>
      <w:r>
        <w:rPr>
          <w:rFonts w:hint="eastAsia"/>
          <w:sz w:val="32"/>
          <w:szCs w:val="32"/>
        </w:rPr>
        <w:t>（一）供应商一览表</w:t>
      </w:r>
    </w:p>
    <w:p w14:paraId="7EF4AE4D">
      <w:pPr>
        <w:pStyle w:val="7"/>
      </w:pP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708"/>
        <w:gridCol w:w="4657"/>
        <w:gridCol w:w="1468"/>
      </w:tblGrid>
      <w:tr w14:paraId="5D41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tcPr>
          <w:p w14:paraId="0BCFB0BE">
            <w:pPr>
              <w:spacing w:line="360" w:lineRule="exact"/>
              <w:rPr>
                <w:rFonts w:hint="eastAsia" w:hAnsi="宋体"/>
                <w:bCs/>
                <w:sz w:val="22"/>
                <w:szCs w:val="22"/>
              </w:rPr>
            </w:pPr>
            <w:r>
              <w:rPr>
                <w:rFonts w:hint="eastAsia" w:hAnsi="宋体"/>
                <w:bCs/>
                <w:sz w:val="22"/>
                <w:szCs w:val="22"/>
              </w:rPr>
              <w:t>序号</w:t>
            </w:r>
          </w:p>
        </w:tc>
        <w:tc>
          <w:tcPr>
            <w:tcW w:w="1415" w:type="pct"/>
          </w:tcPr>
          <w:p w14:paraId="39BC2ABC">
            <w:pPr>
              <w:spacing w:line="360" w:lineRule="exact"/>
              <w:rPr>
                <w:rFonts w:hint="eastAsia" w:hAnsi="宋体"/>
                <w:bCs/>
                <w:sz w:val="22"/>
                <w:szCs w:val="22"/>
              </w:rPr>
            </w:pPr>
            <w:r>
              <w:rPr>
                <w:rFonts w:hint="eastAsia" w:hAnsi="宋体"/>
                <w:bCs/>
                <w:sz w:val="22"/>
                <w:szCs w:val="22"/>
              </w:rPr>
              <w:t>项  目</w:t>
            </w:r>
          </w:p>
        </w:tc>
        <w:tc>
          <w:tcPr>
            <w:tcW w:w="2433" w:type="pct"/>
          </w:tcPr>
          <w:p w14:paraId="02C0539B">
            <w:pPr>
              <w:spacing w:line="360" w:lineRule="exact"/>
              <w:rPr>
                <w:rFonts w:hint="eastAsia" w:hAnsi="宋体"/>
                <w:bCs/>
                <w:sz w:val="22"/>
                <w:szCs w:val="22"/>
              </w:rPr>
            </w:pPr>
            <w:r>
              <w:rPr>
                <w:rFonts w:hint="eastAsia" w:hAnsi="宋体"/>
                <w:bCs/>
                <w:sz w:val="22"/>
                <w:szCs w:val="22"/>
              </w:rPr>
              <w:t>内容及说明</w:t>
            </w:r>
          </w:p>
        </w:tc>
        <w:tc>
          <w:tcPr>
            <w:tcW w:w="767" w:type="pct"/>
          </w:tcPr>
          <w:p w14:paraId="2754049A">
            <w:pPr>
              <w:spacing w:line="360" w:lineRule="exact"/>
              <w:rPr>
                <w:rFonts w:hint="eastAsia" w:hAnsi="宋体"/>
                <w:bCs/>
                <w:sz w:val="22"/>
                <w:szCs w:val="22"/>
              </w:rPr>
            </w:pPr>
            <w:r>
              <w:rPr>
                <w:rFonts w:hint="eastAsia" w:hAnsi="宋体"/>
                <w:bCs/>
                <w:sz w:val="22"/>
                <w:szCs w:val="22"/>
              </w:rPr>
              <w:t>备注</w:t>
            </w:r>
          </w:p>
        </w:tc>
      </w:tr>
      <w:tr w14:paraId="65B98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3" w:type="pct"/>
            <w:vMerge w:val="restart"/>
          </w:tcPr>
          <w:p w14:paraId="2DBF0250">
            <w:pPr>
              <w:spacing w:line="360" w:lineRule="exact"/>
              <w:rPr>
                <w:rFonts w:hint="eastAsia" w:hAnsi="宋体"/>
                <w:bCs/>
                <w:sz w:val="22"/>
                <w:szCs w:val="22"/>
              </w:rPr>
            </w:pPr>
            <w:r>
              <w:rPr>
                <w:rFonts w:hint="eastAsia" w:hAnsi="宋体"/>
                <w:bCs/>
                <w:sz w:val="22"/>
                <w:szCs w:val="22"/>
              </w:rPr>
              <w:t>一</w:t>
            </w:r>
          </w:p>
        </w:tc>
        <w:tc>
          <w:tcPr>
            <w:tcW w:w="1415" w:type="pct"/>
          </w:tcPr>
          <w:p w14:paraId="13C87807">
            <w:pPr>
              <w:spacing w:line="360" w:lineRule="exact"/>
              <w:rPr>
                <w:rFonts w:hint="eastAsia" w:hAnsi="宋体"/>
                <w:bCs/>
                <w:sz w:val="22"/>
                <w:szCs w:val="22"/>
              </w:rPr>
            </w:pPr>
            <w:r>
              <w:rPr>
                <w:rFonts w:hint="eastAsia" w:hAnsi="宋体"/>
                <w:bCs/>
                <w:sz w:val="22"/>
                <w:szCs w:val="22"/>
              </w:rPr>
              <w:t>营业执照</w:t>
            </w:r>
          </w:p>
        </w:tc>
        <w:tc>
          <w:tcPr>
            <w:tcW w:w="2433" w:type="pct"/>
          </w:tcPr>
          <w:p w14:paraId="0CB16A88">
            <w:pPr>
              <w:spacing w:line="360" w:lineRule="exact"/>
              <w:rPr>
                <w:rFonts w:hint="eastAsia" w:hAnsi="宋体"/>
                <w:bCs/>
                <w:sz w:val="22"/>
                <w:szCs w:val="22"/>
              </w:rPr>
            </w:pPr>
          </w:p>
        </w:tc>
        <w:tc>
          <w:tcPr>
            <w:tcW w:w="767" w:type="pct"/>
            <w:vMerge w:val="restart"/>
          </w:tcPr>
          <w:p w14:paraId="0D50898C">
            <w:pPr>
              <w:spacing w:line="360" w:lineRule="exact"/>
              <w:rPr>
                <w:rFonts w:hint="eastAsia" w:hAnsi="宋体"/>
                <w:bCs/>
                <w:sz w:val="22"/>
                <w:szCs w:val="22"/>
              </w:rPr>
            </w:pPr>
            <w:r>
              <w:rPr>
                <w:rFonts w:hint="eastAsia" w:hAnsi="宋体"/>
                <w:bCs/>
                <w:sz w:val="22"/>
                <w:szCs w:val="22"/>
              </w:rPr>
              <w:t>提供复印件</w:t>
            </w:r>
          </w:p>
        </w:tc>
      </w:tr>
      <w:tr w14:paraId="5A45C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tcPr>
          <w:p w14:paraId="19283DC9">
            <w:pPr>
              <w:spacing w:line="360" w:lineRule="exact"/>
              <w:rPr>
                <w:rFonts w:hint="eastAsia" w:hAnsi="宋体"/>
                <w:bCs/>
                <w:sz w:val="22"/>
                <w:szCs w:val="22"/>
              </w:rPr>
            </w:pPr>
          </w:p>
        </w:tc>
        <w:tc>
          <w:tcPr>
            <w:tcW w:w="1415" w:type="pct"/>
          </w:tcPr>
          <w:p w14:paraId="37D6F9EC">
            <w:pPr>
              <w:spacing w:line="360" w:lineRule="exact"/>
              <w:rPr>
                <w:rFonts w:hint="eastAsia" w:hAnsi="宋体"/>
                <w:bCs/>
                <w:sz w:val="22"/>
                <w:szCs w:val="22"/>
              </w:rPr>
            </w:pPr>
            <w:r>
              <w:rPr>
                <w:rFonts w:hint="eastAsia" w:hAnsi="宋体"/>
                <w:bCs/>
                <w:sz w:val="22"/>
                <w:szCs w:val="22"/>
              </w:rPr>
              <w:t>1.注册年度及注册编号</w:t>
            </w:r>
          </w:p>
        </w:tc>
        <w:tc>
          <w:tcPr>
            <w:tcW w:w="2433" w:type="pct"/>
          </w:tcPr>
          <w:p w14:paraId="4D3EAB86">
            <w:pPr>
              <w:spacing w:line="360" w:lineRule="exact"/>
              <w:rPr>
                <w:rFonts w:hint="eastAsia" w:hAnsi="宋体"/>
                <w:bCs/>
                <w:sz w:val="22"/>
                <w:szCs w:val="22"/>
              </w:rPr>
            </w:pPr>
          </w:p>
        </w:tc>
        <w:tc>
          <w:tcPr>
            <w:tcW w:w="767" w:type="pct"/>
            <w:vMerge w:val="continue"/>
          </w:tcPr>
          <w:p w14:paraId="784716E2">
            <w:pPr>
              <w:spacing w:line="360" w:lineRule="exact"/>
              <w:rPr>
                <w:rFonts w:hint="eastAsia" w:hAnsi="宋体"/>
                <w:bCs/>
                <w:sz w:val="22"/>
                <w:szCs w:val="22"/>
              </w:rPr>
            </w:pPr>
          </w:p>
        </w:tc>
      </w:tr>
      <w:tr w14:paraId="479B1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383" w:type="pct"/>
            <w:vMerge w:val="continue"/>
          </w:tcPr>
          <w:p w14:paraId="42360FB5">
            <w:pPr>
              <w:spacing w:line="360" w:lineRule="exact"/>
              <w:rPr>
                <w:rFonts w:hint="eastAsia" w:hAnsi="宋体"/>
                <w:bCs/>
                <w:sz w:val="22"/>
                <w:szCs w:val="22"/>
              </w:rPr>
            </w:pPr>
          </w:p>
        </w:tc>
        <w:tc>
          <w:tcPr>
            <w:tcW w:w="1415" w:type="pct"/>
          </w:tcPr>
          <w:p w14:paraId="2F05706A">
            <w:pPr>
              <w:spacing w:line="360" w:lineRule="exact"/>
              <w:rPr>
                <w:rFonts w:hint="eastAsia" w:hAnsi="宋体"/>
                <w:bCs/>
                <w:sz w:val="22"/>
                <w:szCs w:val="22"/>
              </w:rPr>
            </w:pPr>
            <w:r>
              <w:rPr>
                <w:rFonts w:hint="eastAsia" w:hAnsi="宋体"/>
                <w:bCs/>
                <w:sz w:val="22"/>
                <w:szCs w:val="22"/>
              </w:rPr>
              <w:t>2.注册资金（万元）：</w:t>
            </w:r>
          </w:p>
        </w:tc>
        <w:tc>
          <w:tcPr>
            <w:tcW w:w="2433" w:type="pct"/>
          </w:tcPr>
          <w:p w14:paraId="7EB66E4B">
            <w:pPr>
              <w:spacing w:line="360" w:lineRule="exact"/>
              <w:rPr>
                <w:rFonts w:hint="eastAsia" w:hAnsi="宋体"/>
                <w:bCs/>
                <w:sz w:val="22"/>
                <w:szCs w:val="22"/>
              </w:rPr>
            </w:pPr>
          </w:p>
        </w:tc>
        <w:tc>
          <w:tcPr>
            <w:tcW w:w="767" w:type="pct"/>
            <w:vMerge w:val="continue"/>
          </w:tcPr>
          <w:p w14:paraId="37B220A4">
            <w:pPr>
              <w:spacing w:line="360" w:lineRule="exact"/>
              <w:rPr>
                <w:rFonts w:hint="eastAsia" w:hAnsi="宋体"/>
                <w:bCs/>
                <w:sz w:val="22"/>
                <w:szCs w:val="22"/>
              </w:rPr>
            </w:pPr>
          </w:p>
        </w:tc>
      </w:tr>
      <w:tr w14:paraId="176E1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tcPr>
          <w:p w14:paraId="237E069D">
            <w:pPr>
              <w:spacing w:line="360" w:lineRule="exact"/>
              <w:rPr>
                <w:rFonts w:hint="eastAsia" w:hAnsi="宋体"/>
                <w:bCs/>
                <w:sz w:val="22"/>
                <w:szCs w:val="22"/>
              </w:rPr>
            </w:pPr>
          </w:p>
        </w:tc>
        <w:tc>
          <w:tcPr>
            <w:tcW w:w="1415" w:type="pct"/>
          </w:tcPr>
          <w:p w14:paraId="34D071F4">
            <w:pPr>
              <w:spacing w:line="360" w:lineRule="exact"/>
              <w:rPr>
                <w:rFonts w:hint="eastAsia" w:hAnsi="宋体"/>
                <w:bCs/>
                <w:sz w:val="22"/>
                <w:szCs w:val="22"/>
              </w:rPr>
            </w:pPr>
            <w:r>
              <w:rPr>
                <w:rFonts w:hint="eastAsia" w:hAnsi="宋体"/>
                <w:bCs/>
                <w:sz w:val="22"/>
                <w:szCs w:val="22"/>
              </w:rPr>
              <w:t>3.经营场所：</w:t>
            </w:r>
          </w:p>
        </w:tc>
        <w:tc>
          <w:tcPr>
            <w:tcW w:w="2433" w:type="pct"/>
          </w:tcPr>
          <w:p w14:paraId="3BB06AF8">
            <w:pPr>
              <w:spacing w:line="360" w:lineRule="exact"/>
              <w:rPr>
                <w:rFonts w:hint="eastAsia" w:hAnsi="宋体"/>
                <w:bCs/>
                <w:sz w:val="22"/>
                <w:szCs w:val="22"/>
              </w:rPr>
            </w:pPr>
          </w:p>
        </w:tc>
        <w:tc>
          <w:tcPr>
            <w:tcW w:w="767" w:type="pct"/>
            <w:vMerge w:val="continue"/>
          </w:tcPr>
          <w:p w14:paraId="7A0470F3">
            <w:pPr>
              <w:spacing w:line="360" w:lineRule="exact"/>
              <w:rPr>
                <w:rFonts w:hint="eastAsia" w:hAnsi="宋体"/>
                <w:bCs/>
                <w:sz w:val="22"/>
                <w:szCs w:val="22"/>
              </w:rPr>
            </w:pPr>
          </w:p>
        </w:tc>
      </w:tr>
      <w:tr w14:paraId="175DA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tcPr>
          <w:p w14:paraId="7590574A">
            <w:pPr>
              <w:spacing w:line="360" w:lineRule="exact"/>
              <w:rPr>
                <w:rFonts w:hint="eastAsia" w:hAnsi="宋体"/>
                <w:bCs/>
                <w:sz w:val="22"/>
                <w:szCs w:val="22"/>
              </w:rPr>
            </w:pPr>
          </w:p>
        </w:tc>
        <w:tc>
          <w:tcPr>
            <w:tcW w:w="1415" w:type="pct"/>
          </w:tcPr>
          <w:p w14:paraId="3D71983C">
            <w:pPr>
              <w:spacing w:line="360" w:lineRule="exact"/>
              <w:rPr>
                <w:rFonts w:hint="eastAsia" w:hAnsi="宋体"/>
                <w:bCs/>
                <w:sz w:val="22"/>
                <w:szCs w:val="22"/>
              </w:rPr>
            </w:pPr>
            <w:r>
              <w:rPr>
                <w:rFonts w:hint="eastAsia" w:hAnsi="宋体"/>
                <w:bCs/>
                <w:sz w:val="22"/>
                <w:szCs w:val="22"/>
              </w:rPr>
              <w:t>4.有效期：</w:t>
            </w:r>
          </w:p>
        </w:tc>
        <w:tc>
          <w:tcPr>
            <w:tcW w:w="2433" w:type="pct"/>
          </w:tcPr>
          <w:p w14:paraId="49EA146E">
            <w:pPr>
              <w:spacing w:line="360" w:lineRule="exact"/>
              <w:rPr>
                <w:rFonts w:hint="eastAsia" w:hAnsi="宋体"/>
                <w:bCs/>
                <w:sz w:val="22"/>
                <w:szCs w:val="22"/>
              </w:rPr>
            </w:pPr>
          </w:p>
        </w:tc>
        <w:tc>
          <w:tcPr>
            <w:tcW w:w="767" w:type="pct"/>
            <w:vMerge w:val="continue"/>
          </w:tcPr>
          <w:p w14:paraId="341EA99C">
            <w:pPr>
              <w:spacing w:line="360" w:lineRule="exact"/>
              <w:rPr>
                <w:rFonts w:hint="eastAsia" w:hAnsi="宋体"/>
                <w:bCs/>
                <w:sz w:val="22"/>
                <w:szCs w:val="22"/>
              </w:rPr>
            </w:pPr>
          </w:p>
        </w:tc>
      </w:tr>
      <w:tr w14:paraId="43A86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3" w:type="pct"/>
            <w:vMerge w:val="restart"/>
          </w:tcPr>
          <w:p w14:paraId="7E63EEC2">
            <w:pPr>
              <w:spacing w:line="360" w:lineRule="exact"/>
              <w:rPr>
                <w:rFonts w:hint="eastAsia" w:hAnsi="宋体"/>
                <w:bCs/>
                <w:sz w:val="22"/>
                <w:szCs w:val="22"/>
              </w:rPr>
            </w:pPr>
            <w:r>
              <w:rPr>
                <w:rFonts w:hint="eastAsia" w:hAnsi="宋体"/>
                <w:bCs/>
                <w:sz w:val="22"/>
                <w:szCs w:val="22"/>
              </w:rPr>
              <w:t>二</w:t>
            </w:r>
          </w:p>
        </w:tc>
        <w:tc>
          <w:tcPr>
            <w:tcW w:w="1415" w:type="pct"/>
          </w:tcPr>
          <w:p w14:paraId="5ACB7F63">
            <w:pPr>
              <w:spacing w:line="360" w:lineRule="exact"/>
              <w:rPr>
                <w:rFonts w:hint="eastAsia" w:hAnsi="宋体"/>
                <w:bCs/>
                <w:sz w:val="22"/>
                <w:szCs w:val="22"/>
              </w:rPr>
            </w:pPr>
            <w:r>
              <w:rPr>
                <w:rFonts w:hint="eastAsia" w:hAnsi="宋体"/>
                <w:bCs/>
                <w:sz w:val="22"/>
                <w:szCs w:val="22"/>
              </w:rPr>
              <w:t>税务登记证</w:t>
            </w:r>
          </w:p>
        </w:tc>
        <w:tc>
          <w:tcPr>
            <w:tcW w:w="2433" w:type="pct"/>
          </w:tcPr>
          <w:p w14:paraId="4BE2DCFE">
            <w:pPr>
              <w:spacing w:line="360" w:lineRule="exact"/>
              <w:rPr>
                <w:rFonts w:hint="eastAsia" w:hAnsi="宋体"/>
                <w:bCs/>
                <w:sz w:val="22"/>
                <w:szCs w:val="22"/>
              </w:rPr>
            </w:pPr>
          </w:p>
        </w:tc>
        <w:tc>
          <w:tcPr>
            <w:tcW w:w="767" w:type="pct"/>
            <w:vMerge w:val="restart"/>
          </w:tcPr>
          <w:p w14:paraId="5944E8EB">
            <w:pPr>
              <w:spacing w:line="360" w:lineRule="exact"/>
              <w:rPr>
                <w:rFonts w:hint="eastAsia" w:hAnsi="宋体"/>
                <w:bCs/>
                <w:sz w:val="22"/>
                <w:szCs w:val="22"/>
              </w:rPr>
            </w:pPr>
            <w:r>
              <w:rPr>
                <w:rFonts w:hint="eastAsia" w:hAnsi="宋体"/>
                <w:bCs/>
                <w:sz w:val="22"/>
                <w:szCs w:val="22"/>
              </w:rPr>
              <w:t>提供复印件</w:t>
            </w:r>
          </w:p>
        </w:tc>
      </w:tr>
      <w:tr w14:paraId="57F2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tcPr>
          <w:p w14:paraId="2EA0E534">
            <w:pPr>
              <w:spacing w:line="360" w:lineRule="exact"/>
              <w:rPr>
                <w:rFonts w:hint="eastAsia" w:hAnsi="宋体"/>
                <w:bCs/>
                <w:sz w:val="22"/>
                <w:szCs w:val="22"/>
              </w:rPr>
            </w:pPr>
          </w:p>
        </w:tc>
        <w:tc>
          <w:tcPr>
            <w:tcW w:w="1415" w:type="pct"/>
          </w:tcPr>
          <w:p w14:paraId="6D85B50F">
            <w:pPr>
              <w:spacing w:line="360" w:lineRule="exact"/>
              <w:rPr>
                <w:rFonts w:hint="eastAsia" w:hAnsi="宋体"/>
                <w:bCs/>
                <w:sz w:val="22"/>
                <w:szCs w:val="22"/>
              </w:rPr>
            </w:pPr>
            <w:r>
              <w:rPr>
                <w:rFonts w:hint="eastAsia" w:hAnsi="宋体"/>
                <w:bCs/>
                <w:sz w:val="22"/>
                <w:szCs w:val="22"/>
              </w:rPr>
              <w:t>1.税务登记证编号：</w:t>
            </w:r>
          </w:p>
        </w:tc>
        <w:tc>
          <w:tcPr>
            <w:tcW w:w="2433" w:type="pct"/>
          </w:tcPr>
          <w:p w14:paraId="3D7FF0FE">
            <w:pPr>
              <w:spacing w:line="360" w:lineRule="exact"/>
              <w:rPr>
                <w:rFonts w:hint="eastAsia" w:hAnsi="宋体"/>
                <w:bCs/>
                <w:sz w:val="22"/>
                <w:szCs w:val="22"/>
              </w:rPr>
            </w:pPr>
          </w:p>
        </w:tc>
        <w:tc>
          <w:tcPr>
            <w:tcW w:w="767" w:type="pct"/>
            <w:vMerge w:val="continue"/>
          </w:tcPr>
          <w:p w14:paraId="704D1384">
            <w:pPr>
              <w:spacing w:line="360" w:lineRule="exact"/>
              <w:rPr>
                <w:rFonts w:hint="eastAsia" w:hAnsi="宋体"/>
                <w:bCs/>
                <w:sz w:val="22"/>
                <w:szCs w:val="22"/>
              </w:rPr>
            </w:pPr>
          </w:p>
        </w:tc>
      </w:tr>
      <w:tr w14:paraId="523B5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tcPr>
          <w:p w14:paraId="1314106B">
            <w:pPr>
              <w:spacing w:line="360" w:lineRule="exact"/>
              <w:rPr>
                <w:rFonts w:hint="eastAsia" w:hAnsi="宋体"/>
                <w:bCs/>
                <w:sz w:val="22"/>
                <w:szCs w:val="22"/>
              </w:rPr>
            </w:pPr>
            <w:r>
              <w:rPr>
                <w:rFonts w:hint="eastAsia" w:hAnsi="宋体"/>
                <w:bCs/>
                <w:sz w:val="22"/>
                <w:szCs w:val="22"/>
              </w:rPr>
              <w:t>三</w:t>
            </w:r>
            <w:r>
              <w:rPr>
                <w:rFonts w:hint="eastAsia" w:hAnsi="宋体"/>
                <w:bCs/>
                <w:sz w:val="22"/>
                <w:szCs w:val="22"/>
              </w:rPr>
              <w:tab/>
            </w:r>
          </w:p>
        </w:tc>
        <w:tc>
          <w:tcPr>
            <w:tcW w:w="1415" w:type="pct"/>
          </w:tcPr>
          <w:p w14:paraId="03C69412">
            <w:pPr>
              <w:spacing w:line="360" w:lineRule="exact"/>
              <w:rPr>
                <w:rFonts w:hint="eastAsia" w:hAnsi="宋体"/>
                <w:bCs/>
                <w:sz w:val="22"/>
                <w:szCs w:val="22"/>
              </w:rPr>
            </w:pPr>
            <w:r>
              <w:rPr>
                <w:rFonts w:hint="eastAsia" w:hAnsi="宋体"/>
                <w:bCs/>
                <w:sz w:val="22"/>
                <w:szCs w:val="22"/>
              </w:rPr>
              <w:t>其他资格（质）证书</w:t>
            </w:r>
          </w:p>
        </w:tc>
        <w:tc>
          <w:tcPr>
            <w:tcW w:w="2433" w:type="pct"/>
          </w:tcPr>
          <w:p w14:paraId="742B16AE">
            <w:pPr>
              <w:spacing w:line="360" w:lineRule="exact"/>
              <w:rPr>
                <w:rFonts w:hint="eastAsia" w:hAnsi="宋体"/>
                <w:bCs/>
                <w:sz w:val="22"/>
                <w:szCs w:val="22"/>
              </w:rPr>
            </w:pPr>
            <w:r>
              <w:rPr>
                <w:rFonts w:hint="eastAsia" w:hAnsi="宋体"/>
                <w:bCs/>
                <w:sz w:val="22"/>
                <w:szCs w:val="22"/>
              </w:rPr>
              <w:t>（若有其他资质证书，可按表格格式扩展）</w:t>
            </w:r>
          </w:p>
        </w:tc>
        <w:tc>
          <w:tcPr>
            <w:tcW w:w="767" w:type="pct"/>
            <w:vMerge w:val="restart"/>
          </w:tcPr>
          <w:p w14:paraId="34120E7E">
            <w:pPr>
              <w:spacing w:line="360" w:lineRule="exact"/>
              <w:rPr>
                <w:rFonts w:hint="eastAsia" w:hAnsi="宋体"/>
                <w:bCs/>
                <w:sz w:val="22"/>
                <w:szCs w:val="22"/>
              </w:rPr>
            </w:pPr>
            <w:r>
              <w:rPr>
                <w:rFonts w:hint="eastAsia" w:hAnsi="宋体"/>
                <w:bCs/>
                <w:sz w:val="22"/>
                <w:szCs w:val="22"/>
              </w:rPr>
              <w:t>提供复印件</w:t>
            </w:r>
          </w:p>
          <w:p w14:paraId="33C2C639">
            <w:pPr>
              <w:spacing w:line="360" w:lineRule="exact"/>
              <w:rPr>
                <w:rFonts w:hint="eastAsia" w:hAnsi="宋体"/>
                <w:bCs/>
                <w:sz w:val="22"/>
                <w:szCs w:val="22"/>
              </w:rPr>
            </w:pPr>
          </w:p>
        </w:tc>
      </w:tr>
      <w:tr w14:paraId="7267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restart"/>
          </w:tcPr>
          <w:p w14:paraId="49E02AC3">
            <w:pPr>
              <w:spacing w:line="360" w:lineRule="exact"/>
              <w:rPr>
                <w:rFonts w:hint="eastAsia" w:hAnsi="宋体"/>
                <w:bCs/>
                <w:sz w:val="22"/>
                <w:szCs w:val="22"/>
              </w:rPr>
            </w:pPr>
          </w:p>
        </w:tc>
        <w:tc>
          <w:tcPr>
            <w:tcW w:w="1415" w:type="pct"/>
          </w:tcPr>
          <w:p w14:paraId="37D55CD9">
            <w:pPr>
              <w:spacing w:line="360" w:lineRule="exact"/>
              <w:rPr>
                <w:rFonts w:hint="eastAsia" w:hAnsi="宋体"/>
                <w:bCs/>
                <w:sz w:val="22"/>
                <w:szCs w:val="22"/>
              </w:rPr>
            </w:pPr>
            <w:r>
              <w:rPr>
                <w:rFonts w:hint="eastAsia" w:hAnsi="宋体"/>
                <w:bCs/>
                <w:sz w:val="22"/>
                <w:szCs w:val="22"/>
              </w:rPr>
              <w:t>1.证书名称</w:t>
            </w:r>
            <w:r>
              <w:rPr>
                <w:rFonts w:hint="eastAsia" w:hAnsi="宋体"/>
                <w:bCs/>
                <w:sz w:val="22"/>
                <w:szCs w:val="22"/>
              </w:rPr>
              <w:tab/>
            </w:r>
          </w:p>
        </w:tc>
        <w:tc>
          <w:tcPr>
            <w:tcW w:w="2433" w:type="pct"/>
          </w:tcPr>
          <w:p w14:paraId="0F57BACA">
            <w:pPr>
              <w:spacing w:line="360" w:lineRule="exact"/>
              <w:rPr>
                <w:rFonts w:hint="eastAsia" w:hAnsi="宋体"/>
                <w:bCs/>
                <w:sz w:val="22"/>
                <w:szCs w:val="22"/>
              </w:rPr>
            </w:pPr>
          </w:p>
        </w:tc>
        <w:tc>
          <w:tcPr>
            <w:tcW w:w="767" w:type="pct"/>
            <w:vMerge w:val="continue"/>
          </w:tcPr>
          <w:p w14:paraId="33A59593">
            <w:pPr>
              <w:spacing w:line="360" w:lineRule="exact"/>
              <w:rPr>
                <w:rFonts w:hint="eastAsia" w:hAnsi="宋体"/>
                <w:bCs/>
                <w:sz w:val="22"/>
                <w:szCs w:val="22"/>
              </w:rPr>
            </w:pPr>
          </w:p>
        </w:tc>
      </w:tr>
      <w:tr w14:paraId="6CB3A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tcPr>
          <w:p w14:paraId="19CC25FA">
            <w:pPr>
              <w:spacing w:line="360" w:lineRule="exact"/>
              <w:rPr>
                <w:rFonts w:hint="eastAsia" w:hAnsi="宋体"/>
                <w:bCs/>
                <w:sz w:val="22"/>
                <w:szCs w:val="22"/>
              </w:rPr>
            </w:pPr>
          </w:p>
        </w:tc>
        <w:tc>
          <w:tcPr>
            <w:tcW w:w="1415" w:type="pct"/>
          </w:tcPr>
          <w:p w14:paraId="47D99EE4">
            <w:pPr>
              <w:spacing w:line="360" w:lineRule="exact"/>
              <w:rPr>
                <w:rFonts w:hint="eastAsia" w:hAnsi="宋体"/>
                <w:bCs/>
                <w:sz w:val="22"/>
                <w:szCs w:val="22"/>
              </w:rPr>
            </w:pPr>
            <w:r>
              <w:rPr>
                <w:rFonts w:hint="eastAsia" w:hAnsi="宋体"/>
                <w:bCs/>
                <w:sz w:val="22"/>
                <w:szCs w:val="22"/>
              </w:rPr>
              <w:t>2.批准单位</w:t>
            </w:r>
          </w:p>
        </w:tc>
        <w:tc>
          <w:tcPr>
            <w:tcW w:w="2433" w:type="pct"/>
          </w:tcPr>
          <w:p w14:paraId="02B17E14">
            <w:pPr>
              <w:spacing w:line="360" w:lineRule="exact"/>
              <w:rPr>
                <w:rFonts w:hint="eastAsia" w:hAnsi="宋体"/>
                <w:bCs/>
                <w:sz w:val="22"/>
                <w:szCs w:val="22"/>
              </w:rPr>
            </w:pPr>
          </w:p>
        </w:tc>
        <w:tc>
          <w:tcPr>
            <w:tcW w:w="767" w:type="pct"/>
            <w:vMerge w:val="continue"/>
          </w:tcPr>
          <w:p w14:paraId="6E3E724C">
            <w:pPr>
              <w:spacing w:line="360" w:lineRule="exact"/>
              <w:rPr>
                <w:rFonts w:hint="eastAsia" w:hAnsi="宋体"/>
                <w:bCs/>
                <w:sz w:val="22"/>
                <w:szCs w:val="22"/>
              </w:rPr>
            </w:pPr>
          </w:p>
        </w:tc>
      </w:tr>
      <w:tr w14:paraId="78941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tcPr>
          <w:p w14:paraId="44202489">
            <w:pPr>
              <w:spacing w:line="360" w:lineRule="exact"/>
              <w:rPr>
                <w:rFonts w:hint="eastAsia" w:hAnsi="宋体"/>
                <w:bCs/>
                <w:sz w:val="22"/>
                <w:szCs w:val="22"/>
              </w:rPr>
            </w:pPr>
          </w:p>
        </w:tc>
        <w:tc>
          <w:tcPr>
            <w:tcW w:w="1415" w:type="pct"/>
          </w:tcPr>
          <w:p w14:paraId="20266E1E">
            <w:pPr>
              <w:spacing w:line="360" w:lineRule="exact"/>
              <w:rPr>
                <w:rFonts w:hint="eastAsia" w:hAnsi="宋体"/>
                <w:bCs/>
                <w:sz w:val="22"/>
                <w:szCs w:val="22"/>
              </w:rPr>
            </w:pPr>
            <w:r>
              <w:rPr>
                <w:rFonts w:hint="eastAsia" w:hAnsi="宋体"/>
                <w:bCs/>
                <w:sz w:val="22"/>
                <w:szCs w:val="22"/>
              </w:rPr>
              <w:t>3.等级</w:t>
            </w:r>
          </w:p>
        </w:tc>
        <w:tc>
          <w:tcPr>
            <w:tcW w:w="2433" w:type="pct"/>
          </w:tcPr>
          <w:p w14:paraId="7D5B4046">
            <w:pPr>
              <w:spacing w:line="360" w:lineRule="exact"/>
              <w:rPr>
                <w:rFonts w:hint="eastAsia" w:hAnsi="宋体"/>
                <w:bCs/>
                <w:sz w:val="22"/>
                <w:szCs w:val="22"/>
              </w:rPr>
            </w:pPr>
          </w:p>
        </w:tc>
        <w:tc>
          <w:tcPr>
            <w:tcW w:w="767" w:type="pct"/>
            <w:vMerge w:val="continue"/>
          </w:tcPr>
          <w:p w14:paraId="30BDB34B">
            <w:pPr>
              <w:spacing w:line="360" w:lineRule="exact"/>
              <w:rPr>
                <w:rFonts w:hint="eastAsia" w:hAnsi="宋体"/>
                <w:bCs/>
                <w:sz w:val="22"/>
                <w:szCs w:val="22"/>
              </w:rPr>
            </w:pPr>
          </w:p>
        </w:tc>
      </w:tr>
      <w:tr w14:paraId="24CE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tcPr>
          <w:p w14:paraId="63BAD607">
            <w:pPr>
              <w:spacing w:line="360" w:lineRule="exact"/>
              <w:rPr>
                <w:rFonts w:hint="eastAsia" w:hAnsi="宋体"/>
                <w:bCs/>
                <w:sz w:val="22"/>
                <w:szCs w:val="22"/>
              </w:rPr>
            </w:pPr>
          </w:p>
        </w:tc>
        <w:tc>
          <w:tcPr>
            <w:tcW w:w="1415" w:type="pct"/>
          </w:tcPr>
          <w:p w14:paraId="11B1ADAD">
            <w:pPr>
              <w:spacing w:line="360" w:lineRule="exact"/>
              <w:rPr>
                <w:rFonts w:hint="eastAsia" w:hAnsi="宋体"/>
                <w:bCs/>
                <w:sz w:val="22"/>
                <w:szCs w:val="22"/>
              </w:rPr>
            </w:pPr>
            <w:r>
              <w:rPr>
                <w:rFonts w:hint="eastAsia" w:hAnsi="宋体"/>
                <w:bCs/>
                <w:sz w:val="22"/>
                <w:szCs w:val="22"/>
              </w:rPr>
              <w:t>4.批准时间及编号</w:t>
            </w:r>
          </w:p>
        </w:tc>
        <w:tc>
          <w:tcPr>
            <w:tcW w:w="2433" w:type="pct"/>
          </w:tcPr>
          <w:p w14:paraId="6860853C">
            <w:pPr>
              <w:spacing w:line="360" w:lineRule="exact"/>
              <w:rPr>
                <w:rFonts w:hint="eastAsia" w:hAnsi="宋体"/>
                <w:bCs/>
                <w:sz w:val="22"/>
                <w:szCs w:val="22"/>
              </w:rPr>
            </w:pPr>
          </w:p>
        </w:tc>
        <w:tc>
          <w:tcPr>
            <w:tcW w:w="767" w:type="pct"/>
            <w:vMerge w:val="continue"/>
          </w:tcPr>
          <w:p w14:paraId="59E44243">
            <w:pPr>
              <w:spacing w:line="360" w:lineRule="exact"/>
              <w:rPr>
                <w:rFonts w:hint="eastAsia" w:hAnsi="宋体"/>
                <w:bCs/>
                <w:sz w:val="22"/>
                <w:szCs w:val="22"/>
              </w:rPr>
            </w:pPr>
          </w:p>
        </w:tc>
      </w:tr>
      <w:tr w14:paraId="42872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tcPr>
          <w:p w14:paraId="2EA74276">
            <w:pPr>
              <w:spacing w:line="360" w:lineRule="exact"/>
              <w:rPr>
                <w:rFonts w:hint="eastAsia" w:hAnsi="宋体"/>
                <w:bCs/>
                <w:sz w:val="22"/>
                <w:szCs w:val="22"/>
              </w:rPr>
            </w:pPr>
          </w:p>
        </w:tc>
        <w:tc>
          <w:tcPr>
            <w:tcW w:w="1415" w:type="pct"/>
          </w:tcPr>
          <w:p w14:paraId="61AD8421">
            <w:pPr>
              <w:spacing w:line="360" w:lineRule="exact"/>
              <w:rPr>
                <w:rFonts w:hint="eastAsia" w:hAnsi="宋体"/>
                <w:bCs/>
                <w:sz w:val="22"/>
                <w:szCs w:val="22"/>
              </w:rPr>
            </w:pPr>
            <w:r>
              <w:rPr>
                <w:rFonts w:hint="eastAsia" w:hAnsi="宋体"/>
                <w:bCs/>
                <w:sz w:val="22"/>
                <w:szCs w:val="22"/>
              </w:rPr>
              <w:t>5.有效期</w:t>
            </w:r>
            <w:r>
              <w:rPr>
                <w:rFonts w:hint="eastAsia" w:hAnsi="宋体"/>
                <w:bCs/>
                <w:sz w:val="22"/>
                <w:szCs w:val="22"/>
              </w:rPr>
              <w:tab/>
            </w:r>
          </w:p>
        </w:tc>
        <w:tc>
          <w:tcPr>
            <w:tcW w:w="2433" w:type="pct"/>
          </w:tcPr>
          <w:p w14:paraId="58B2C8F8">
            <w:pPr>
              <w:spacing w:line="360" w:lineRule="exact"/>
              <w:rPr>
                <w:rFonts w:hint="eastAsia" w:hAnsi="宋体"/>
                <w:bCs/>
                <w:sz w:val="22"/>
                <w:szCs w:val="22"/>
              </w:rPr>
            </w:pPr>
          </w:p>
        </w:tc>
        <w:tc>
          <w:tcPr>
            <w:tcW w:w="767" w:type="pct"/>
            <w:vMerge w:val="continue"/>
          </w:tcPr>
          <w:p w14:paraId="5DD4A9E9">
            <w:pPr>
              <w:spacing w:line="360" w:lineRule="exact"/>
              <w:rPr>
                <w:rFonts w:hint="eastAsia" w:hAnsi="宋体"/>
                <w:bCs/>
                <w:sz w:val="22"/>
                <w:szCs w:val="22"/>
              </w:rPr>
            </w:pPr>
          </w:p>
        </w:tc>
      </w:tr>
      <w:tr w14:paraId="6D44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tcPr>
          <w:p w14:paraId="55A2D37A">
            <w:pPr>
              <w:spacing w:line="360" w:lineRule="exact"/>
              <w:rPr>
                <w:rFonts w:hint="eastAsia" w:hAnsi="宋体"/>
                <w:bCs/>
                <w:sz w:val="22"/>
                <w:szCs w:val="22"/>
              </w:rPr>
            </w:pPr>
            <w:r>
              <w:rPr>
                <w:rFonts w:hint="eastAsia" w:hAnsi="宋体"/>
                <w:bCs/>
                <w:sz w:val="22"/>
                <w:szCs w:val="22"/>
              </w:rPr>
              <w:t>四</w:t>
            </w:r>
          </w:p>
        </w:tc>
        <w:tc>
          <w:tcPr>
            <w:tcW w:w="1415" w:type="pct"/>
          </w:tcPr>
          <w:p w14:paraId="6297D9CB">
            <w:pPr>
              <w:spacing w:line="360" w:lineRule="exact"/>
              <w:rPr>
                <w:rFonts w:hint="eastAsia" w:hAnsi="宋体"/>
                <w:bCs/>
                <w:sz w:val="22"/>
                <w:szCs w:val="22"/>
              </w:rPr>
            </w:pPr>
            <w:r>
              <w:rPr>
                <w:rFonts w:hint="eastAsia" w:hAnsi="宋体"/>
                <w:bCs/>
                <w:sz w:val="22"/>
                <w:szCs w:val="22"/>
              </w:rPr>
              <w:t>其他</w:t>
            </w:r>
          </w:p>
        </w:tc>
        <w:tc>
          <w:tcPr>
            <w:tcW w:w="2433" w:type="pct"/>
          </w:tcPr>
          <w:p w14:paraId="768B1EDA">
            <w:pPr>
              <w:spacing w:line="360" w:lineRule="exact"/>
              <w:rPr>
                <w:rFonts w:hint="eastAsia" w:hAnsi="宋体"/>
                <w:bCs/>
                <w:sz w:val="22"/>
                <w:szCs w:val="22"/>
              </w:rPr>
            </w:pPr>
            <w:r>
              <w:rPr>
                <w:rFonts w:hint="eastAsia" w:hAnsi="宋体"/>
                <w:bCs/>
                <w:sz w:val="22"/>
                <w:szCs w:val="22"/>
              </w:rPr>
              <w:t>投标人认为需补充的其他说明</w:t>
            </w:r>
          </w:p>
        </w:tc>
        <w:tc>
          <w:tcPr>
            <w:tcW w:w="767" w:type="pct"/>
          </w:tcPr>
          <w:p w14:paraId="522B96CB">
            <w:pPr>
              <w:spacing w:line="360" w:lineRule="exact"/>
              <w:rPr>
                <w:rFonts w:hint="eastAsia" w:hAnsi="宋体"/>
                <w:bCs/>
                <w:sz w:val="22"/>
                <w:szCs w:val="22"/>
              </w:rPr>
            </w:pPr>
          </w:p>
        </w:tc>
      </w:tr>
      <w:tr w14:paraId="58C4B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tcPr>
          <w:p w14:paraId="014CABF6">
            <w:pPr>
              <w:spacing w:line="360" w:lineRule="exact"/>
              <w:rPr>
                <w:rFonts w:hint="eastAsia" w:hAnsi="宋体"/>
                <w:bCs/>
                <w:sz w:val="22"/>
                <w:szCs w:val="22"/>
              </w:rPr>
            </w:pPr>
          </w:p>
        </w:tc>
        <w:tc>
          <w:tcPr>
            <w:tcW w:w="1415" w:type="pct"/>
          </w:tcPr>
          <w:p w14:paraId="756DBB3B">
            <w:pPr>
              <w:spacing w:line="360" w:lineRule="exact"/>
              <w:rPr>
                <w:rFonts w:hint="eastAsia" w:hAnsi="宋体"/>
                <w:bCs/>
                <w:sz w:val="22"/>
                <w:szCs w:val="22"/>
              </w:rPr>
            </w:pPr>
            <w:r>
              <w:rPr>
                <w:rFonts w:hint="eastAsia" w:hAnsi="宋体"/>
                <w:bCs/>
                <w:sz w:val="22"/>
                <w:szCs w:val="22"/>
              </w:rPr>
              <w:t>1.……………………</w:t>
            </w:r>
          </w:p>
        </w:tc>
        <w:tc>
          <w:tcPr>
            <w:tcW w:w="2433" w:type="pct"/>
          </w:tcPr>
          <w:p w14:paraId="0DB4AF7D">
            <w:pPr>
              <w:spacing w:line="360" w:lineRule="exact"/>
              <w:rPr>
                <w:rFonts w:hint="eastAsia" w:hAnsi="宋体"/>
                <w:bCs/>
                <w:sz w:val="22"/>
                <w:szCs w:val="22"/>
              </w:rPr>
            </w:pPr>
          </w:p>
        </w:tc>
        <w:tc>
          <w:tcPr>
            <w:tcW w:w="767" w:type="pct"/>
          </w:tcPr>
          <w:p w14:paraId="67BD0063">
            <w:pPr>
              <w:spacing w:line="360" w:lineRule="exact"/>
              <w:rPr>
                <w:rFonts w:hint="eastAsia" w:hAnsi="宋体"/>
                <w:bCs/>
                <w:sz w:val="22"/>
                <w:szCs w:val="22"/>
              </w:rPr>
            </w:pPr>
          </w:p>
        </w:tc>
      </w:tr>
    </w:tbl>
    <w:p w14:paraId="0D7C594B">
      <w:pPr>
        <w:spacing w:line="360" w:lineRule="exact"/>
        <w:rPr>
          <w:rFonts w:hint="eastAsia" w:hAnsi="宋体"/>
          <w:b/>
          <w:sz w:val="22"/>
        </w:rPr>
      </w:pPr>
      <w:r>
        <w:rPr>
          <w:rFonts w:hint="eastAsia" w:hAnsi="宋体"/>
          <w:bCs/>
          <w:sz w:val="22"/>
        </w:rPr>
        <w:tab/>
      </w:r>
      <w:r>
        <w:rPr>
          <w:rFonts w:hint="eastAsia" w:hAnsi="宋体"/>
          <w:bCs/>
          <w:sz w:val="22"/>
        </w:rPr>
        <w:t>注：在按要求填写好此表格后，各投标单位可以用其它的方式，就公司整体情况作出详细的介绍（可以提供相应文字、照片等）。</w:t>
      </w:r>
    </w:p>
    <w:p w14:paraId="767A58FA">
      <w:pPr>
        <w:spacing w:line="360" w:lineRule="exact"/>
        <w:ind w:firstLine="420"/>
        <w:jc w:val="center"/>
        <w:rPr>
          <w:sz w:val="32"/>
          <w:szCs w:val="32"/>
        </w:rPr>
      </w:pPr>
    </w:p>
    <w:p w14:paraId="4EB45AA4">
      <w:pPr>
        <w:spacing w:line="360" w:lineRule="exact"/>
        <w:ind w:firstLine="420"/>
        <w:jc w:val="center"/>
        <w:rPr>
          <w:sz w:val="32"/>
          <w:szCs w:val="32"/>
        </w:rPr>
      </w:pPr>
    </w:p>
    <w:p w14:paraId="78062E1A">
      <w:pPr>
        <w:spacing w:line="360" w:lineRule="exact"/>
        <w:ind w:firstLine="420"/>
        <w:jc w:val="center"/>
        <w:rPr>
          <w:sz w:val="32"/>
          <w:szCs w:val="32"/>
        </w:rPr>
      </w:pPr>
      <w:r>
        <w:rPr>
          <w:rFonts w:hint="eastAsia"/>
          <w:sz w:val="32"/>
          <w:szCs w:val="32"/>
        </w:rPr>
        <w:t>（二）供应商资格证明文件</w:t>
      </w:r>
    </w:p>
    <w:p w14:paraId="20238433">
      <w:pPr>
        <w:pStyle w:val="84"/>
        <w:spacing w:after="0" w:line="360" w:lineRule="exact"/>
        <w:ind w:left="0" w:leftChars="0" w:firstLine="0" w:firstLineChars="0"/>
        <w:rPr>
          <w:rFonts w:hint="eastAsia" w:ascii="宋体" w:hAnsi="宋体" w:cs="宋体"/>
          <w:color w:val="000000"/>
          <w:sz w:val="22"/>
          <w:szCs w:val="22"/>
        </w:rPr>
      </w:pPr>
    </w:p>
    <w:p w14:paraId="0D93499C">
      <w:pPr>
        <w:pStyle w:val="84"/>
        <w:spacing w:after="0" w:line="360" w:lineRule="exact"/>
        <w:ind w:left="0" w:leftChars="0" w:firstLine="0" w:firstLineChars="0"/>
        <w:rPr>
          <w:rFonts w:hint="eastAsia" w:ascii="宋体" w:hAnsi="宋体" w:cs="宋体"/>
          <w:bCs/>
          <w:color w:val="000000"/>
          <w:sz w:val="22"/>
          <w:szCs w:val="22"/>
        </w:rPr>
      </w:pPr>
      <w:r>
        <w:rPr>
          <w:rFonts w:hint="eastAsia" w:ascii="宋体" w:hAnsi="宋体" w:cs="宋体"/>
          <w:color w:val="000000"/>
          <w:sz w:val="22"/>
          <w:szCs w:val="22"/>
        </w:rPr>
        <w:t>（</w:t>
      </w:r>
      <w:r>
        <w:rPr>
          <w:rFonts w:hint="eastAsia" w:ascii="宋体" w:hAnsi="宋体" w:cs="宋体"/>
          <w:bCs/>
          <w:color w:val="000000"/>
          <w:sz w:val="22"/>
          <w:szCs w:val="22"/>
        </w:rPr>
        <w:t>1）营业执照（或单位法人登记证等）复印件；</w:t>
      </w:r>
    </w:p>
    <w:p w14:paraId="667B982C">
      <w:pPr>
        <w:pStyle w:val="84"/>
        <w:tabs>
          <w:tab w:val="left" w:pos="426"/>
        </w:tabs>
        <w:spacing w:after="0" w:line="360" w:lineRule="exact"/>
        <w:ind w:left="0" w:leftChars="0" w:firstLine="0" w:firstLineChars="0"/>
        <w:rPr>
          <w:rFonts w:hint="eastAsia" w:ascii="宋体" w:hAnsi="宋体" w:cs="宋体"/>
          <w:color w:val="000000"/>
          <w:sz w:val="22"/>
          <w:szCs w:val="22"/>
        </w:rPr>
      </w:pPr>
      <w:r>
        <w:rPr>
          <w:rFonts w:hint="eastAsia" w:ascii="宋体" w:hAnsi="宋体" w:cs="宋体"/>
          <w:color w:val="000000"/>
          <w:sz w:val="22"/>
          <w:szCs w:val="22"/>
        </w:rPr>
        <w:t>（2）提供招标公告中关于投标人资格要求的相关资格证明文件复印件。</w:t>
      </w:r>
    </w:p>
    <w:p w14:paraId="2E89BA29">
      <w:pPr>
        <w:shd w:val="clear" w:color="auto" w:fill="auto"/>
        <w:tabs>
          <w:tab w:val="clear" w:pos="426"/>
        </w:tabs>
        <w:adjustRightInd/>
        <w:snapToGrid/>
        <w:spacing w:line="240" w:lineRule="auto"/>
        <w:jc w:val="left"/>
        <w:rPr>
          <w:b/>
        </w:rPr>
      </w:pPr>
      <w:r>
        <w:rPr>
          <w:b/>
        </w:rPr>
        <w:br w:type="page"/>
      </w:r>
    </w:p>
    <w:p w14:paraId="74B77921">
      <w:pPr>
        <w:pStyle w:val="5"/>
        <w:numPr>
          <w:ilvl w:val="0"/>
          <w:numId w:val="0"/>
        </w:numPr>
        <w:tabs>
          <w:tab w:val="clear" w:pos="1680"/>
        </w:tabs>
        <w:jc w:val="left"/>
      </w:pPr>
      <w:bookmarkStart w:id="81" w:name="_Toc14427251"/>
      <w:bookmarkStart w:id="82" w:name="_Toc4943774"/>
      <w:bookmarkStart w:id="83" w:name="_Toc11165666"/>
      <w:bookmarkStart w:id="84" w:name="_Toc36822692"/>
      <w:bookmarkStart w:id="85" w:name="_Toc275865611"/>
      <w:bookmarkStart w:id="86" w:name="_Toc480755930"/>
      <w:bookmarkStart w:id="87" w:name="_Toc480756076"/>
      <w:bookmarkStart w:id="88" w:name="_Toc480789480"/>
      <w:bookmarkStart w:id="89" w:name="_Toc192662843"/>
      <w:bookmarkStart w:id="90" w:name="_Toc480754209"/>
      <w:r>
        <w:rPr>
          <w:rFonts w:hint="eastAsia"/>
          <w:bCs w:val="0"/>
        </w:rPr>
        <w:t>十</w:t>
      </w:r>
      <w:r>
        <w:rPr>
          <w:rFonts w:hint="eastAsia"/>
        </w:rPr>
        <w:t>、实质性响应条款偏离表</w:t>
      </w:r>
      <w:bookmarkEnd w:id="81"/>
      <w:bookmarkEnd w:id="82"/>
      <w:bookmarkEnd w:id="83"/>
      <w:bookmarkEnd w:id="84"/>
    </w:p>
    <w:bookmarkEnd w:id="85"/>
    <w:bookmarkEnd w:id="86"/>
    <w:bookmarkEnd w:id="87"/>
    <w:bookmarkEnd w:id="88"/>
    <w:bookmarkEnd w:id="89"/>
    <w:bookmarkEnd w:id="90"/>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5220"/>
        <w:gridCol w:w="3412"/>
      </w:tblGrid>
      <w:tr w14:paraId="214A8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88" w:type="pct"/>
            <w:vAlign w:val="center"/>
          </w:tcPr>
          <w:p w14:paraId="3DAED6B5">
            <w:pPr>
              <w:spacing w:line="360" w:lineRule="exact"/>
              <w:jc w:val="center"/>
              <w:rPr>
                <w:rFonts w:hint="eastAsia" w:hAnsi="宋体"/>
                <w:sz w:val="22"/>
                <w:szCs w:val="22"/>
              </w:rPr>
            </w:pPr>
            <w:bookmarkStart w:id="91" w:name="_Toc43264525"/>
            <w:bookmarkStart w:id="92" w:name="_Toc50703730"/>
            <w:bookmarkStart w:id="93" w:name="_Toc50691037"/>
            <w:bookmarkStart w:id="94" w:name="_Toc43264518"/>
            <w:r>
              <w:rPr>
                <w:rFonts w:hint="eastAsia" w:hAnsi="宋体"/>
                <w:sz w:val="22"/>
                <w:szCs w:val="22"/>
              </w:rPr>
              <w:t>序号</w:t>
            </w:r>
          </w:p>
        </w:tc>
        <w:tc>
          <w:tcPr>
            <w:tcW w:w="2728" w:type="pct"/>
            <w:vAlign w:val="center"/>
          </w:tcPr>
          <w:p w14:paraId="776FB0FF">
            <w:pPr>
              <w:spacing w:line="360" w:lineRule="exact"/>
              <w:jc w:val="center"/>
              <w:rPr>
                <w:rFonts w:hint="eastAsia" w:hAnsi="宋体"/>
                <w:sz w:val="22"/>
                <w:szCs w:val="22"/>
              </w:rPr>
            </w:pPr>
            <w:r>
              <w:rPr>
                <w:rFonts w:hint="eastAsia" w:hAnsi="宋体"/>
                <w:sz w:val="22"/>
                <w:szCs w:val="22"/>
              </w:rPr>
              <w:t>采购人要求内容</w:t>
            </w:r>
          </w:p>
        </w:tc>
        <w:tc>
          <w:tcPr>
            <w:tcW w:w="1783" w:type="pct"/>
            <w:vAlign w:val="center"/>
          </w:tcPr>
          <w:p w14:paraId="12E61F46">
            <w:pPr>
              <w:spacing w:line="360" w:lineRule="exact"/>
              <w:jc w:val="center"/>
              <w:rPr>
                <w:rFonts w:hint="eastAsia" w:hAnsi="宋体"/>
                <w:sz w:val="22"/>
                <w:szCs w:val="22"/>
              </w:rPr>
            </w:pPr>
            <w:r>
              <w:rPr>
                <w:rFonts w:hint="eastAsia" w:hAnsi="宋体"/>
                <w:sz w:val="22"/>
                <w:szCs w:val="22"/>
              </w:rPr>
              <w:t>投标人响应情况</w:t>
            </w:r>
          </w:p>
        </w:tc>
      </w:tr>
      <w:tr w14:paraId="5AFF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88" w:type="pct"/>
            <w:vAlign w:val="center"/>
          </w:tcPr>
          <w:p w14:paraId="42DCBF78">
            <w:pPr>
              <w:adjustRightInd/>
              <w:snapToGrid/>
              <w:spacing w:line="360" w:lineRule="exact"/>
              <w:jc w:val="center"/>
              <w:rPr>
                <w:rFonts w:hint="eastAsia" w:hAnsi="宋体"/>
                <w:sz w:val="22"/>
                <w:szCs w:val="22"/>
              </w:rPr>
            </w:pPr>
            <w:r>
              <w:rPr>
                <w:rFonts w:hint="eastAsia" w:hAnsi="宋体"/>
                <w:sz w:val="22"/>
                <w:szCs w:val="22"/>
              </w:rPr>
              <w:t>1</w:t>
            </w:r>
          </w:p>
        </w:tc>
        <w:tc>
          <w:tcPr>
            <w:tcW w:w="2728" w:type="pct"/>
            <w:vAlign w:val="center"/>
          </w:tcPr>
          <w:p w14:paraId="29AA251A">
            <w:pPr>
              <w:adjustRightInd/>
              <w:snapToGrid/>
              <w:spacing w:line="360" w:lineRule="exact"/>
              <w:rPr>
                <w:rFonts w:hint="eastAsia" w:hAnsi="宋体"/>
                <w:color w:val="000000"/>
                <w:sz w:val="22"/>
                <w:szCs w:val="22"/>
              </w:rPr>
            </w:pPr>
            <w:r>
              <w:rPr>
                <w:rFonts w:hint="eastAsia" w:hAnsi="宋体"/>
                <w:color w:val="000000"/>
                <w:sz w:val="22"/>
                <w:szCs w:val="22"/>
              </w:rPr>
              <w:t>完全满足本项目★标记条款的要求。</w:t>
            </w:r>
          </w:p>
        </w:tc>
        <w:tc>
          <w:tcPr>
            <w:tcW w:w="1783" w:type="pct"/>
            <w:vAlign w:val="center"/>
          </w:tcPr>
          <w:p w14:paraId="7F5E2D5C">
            <w:pPr>
              <w:spacing w:line="360" w:lineRule="exact"/>
              <w:rPr>
                <w:rFonts w:hint="eastAsia" w:hAnsi="宋体"/>
                <w:sz w:val="22"/>
                <w:szCs w:val="22"/>
              </w:rPr>
            </w:pPr>
          </w:p>
        </w:tc>
      </w:tr>
    </w:tbl>
    <w:p w14:paraId="072B3988">
      <w:pPr>
        <w:adjustRightInd/>
        <w:snapToGrid/>
        <w:spacing w:line="360" w:lineRule="exact"/>
        <w:ind w:firstLine="422" w:firstLineChars="200"/>
        <w:rPr>
          <w:b/>
        </w:rPr>
      </w:pPr>
      <w:r>
        <w:rPr>
          <w:b/>
        </w:rPr>
        <w:t>注：1.</w:t>
      </w:r>
      <w:r>
        <w:rPr>
          <w:rFonts w:hint="eastAsia"/>
          <w:b/>
        </w:rPr>
        <w:t>上表所列内容为不可负偏离条款，负偏离将视为未实质性满足招标文件要求作投标无效处理；</w:t>
      </w:r>
    </w:p>
    <w:p w14:paraId="204ADCFE">
      <w:pPr>
        <w:adjustRightInd/>
        <w:snapToGrid/>
        <w:spacing w:line="360" w:lineRule="exact"/>
        <w:ind w:firstLine="422" w:firstLineChars="200"/>
        <w:rPr>
          <w:b/>
        </w:rPr>
      </w:pPr>
      <w:r>
        <w:rPr>
          <w:rFonts w:hint="eastAsia"/>
          <w:b/>
        </w:rPr>
        <w:t>2.“投标人响应情况”一栏应如实填写“响应”或“不响应”；</w:t>
      </w:r>
    </w:p>
    <w:p w14:paraId="730CB3CB">
      <w:pPr>
        <w:adjustRightInd/>
        <w:snapToGrid/>
        <w:spacing w:line="360" w:lineRule="exact"/>
        <w:ind w:firstLine="422" w:firstLineChars="200"/>
      </w:pPr>
      <w:r>
        <w:rPr>
          <w:rFonts w:hint="eastAsia"/>
          <w:b/>
        </w:rPr>
        <w:t>3.“实质性条款响应情况”与投标文件其它内容冲突的，以不利于投标人的响应情况为准。</w:t>
      </w:r>
    </w:p>
    <w:p w14:paraId="495A6370">
      <w:pPr>
        <w:ind w:right="84" w:rightChars="40" w:firstLine="420" w:firstLineChars="200"/>
        <w:rPr>
          <w:rFonts w:hint="eastAsia" w:hAnsi="宋体"/>
          <w:bCs/>
        </w:rPr>
      </w:pPr>
    </w:p>
    <w:p w14:paraId="2BA5A0B9">
      <w:bookmarkStart w:id="95" w:name="_Toc36822701"/>
      <w:r>
        <w:rPr>
          <w:rFonts w:hint="eastAsia"/>
        </w:rPr>
        <w:br w:type="page"/>
      </w:r>
    </w:p>
    <w:p w14:paraId="0C13954E">
      <w:pPr>
        <w:pStyle w:val="5"/>
        <w:numPr>
          <w:ilvl w:val="0"/>
          <w:numId w:val="0"/>
        </w:numPr>
        <w:tabs>
          <w:tab w:val="clear" w:pos="1680"/>
        </w:tabs>
        <w:jc w:val="left"/>
        <w:rPr>
          <w:bCs w:val="0"/>
        </w:rPr>
      </w:pPr>
      <w:bookmarkStart w:id="96" w:name="_Toc16055"/>
      <w:r>
        <w:rPr>
          <w:rFonts w:hint="eastAsia"/>
          <w:bCs w:val="0"/>
        </w:rPr>
        <w:t>十一、投标人同类项目业绩情况</w:t>
      </w:r>
      <w:bookmarkEnd w:id="96"/>
    </w:p>
    <w:p w14:paraId="6653785F">
      <w:pPr>
        <w:spacing w:after="60"/>
        <w:jc w:val="center"/>
        <w:rPr>
          <w:rFonts w:hint="eastAsia" w:hAnsi="宋体"/>
          <w:color w:val="000000"/>
        </w:rPr>
      </w:pPr>
      <w:r>
        <w:rPr>
          <w:rFonts w:hint="eastAsia" w:hAnsi="宋体"/>
          <w:color w:val="000000"/>
        </w:rPr>
        <w:t>（参考格式，投标人可根据招标文件要求和自身实际情况修改）</w:t>
      </w:r>
    </w:p>
    <w:p w14:paraId="2B3DC6B4">
      <w:pPr>
        <w:spacing w:after="60"/>
        <w:jc w:val="center"/>
        <w:rPr>
          <w:rFonts w:hint="eastAsia" w:hAnsi="宋体"/>
          <w:b/>
          <w:bCs/>
          <w:color w:val="000000"/>
          <w:sz w:val="24"/>
          <w:szCs w:val="32"/>
        </w:rPr>
      </w:pPr>
      <w:r>
        <w:rPr>
          <w:rFonts w:hint="eastAsia" w:hAnsi="宋体"/>
          <w:b/>
          <w:bCs/>
          <w:color w:val="000000"/>
          <w:sz w:val="24"/>
          <w:szCs w:val="32"/>
        </w:rPr>
        <w:t>同类项目业绩清单</w:t>
      </w: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153"/>
        <w:gridCol w:w="1292"/>
        <w:gridCol w:w="1327"/>
        <w:gridCol w:w="1310"/>
        <w:gridCol w:w="1310"/>
        <w:gridCol w:w="1017"/>
        <w:gridCol w:w="1310"/>
      </w:tblGrid>
      <w:tr w14:paraId="3F95A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vAlign w:val="center"/>
          </w:tcPr>
          <w:p w14:paraId="7BFCBA55">
            <w:pPr>
              <w:spacing w:line="360" w:lineRule="exact"/>
              <w:jc w:val="center"/>
              <w:rPr>
                <w:bCs/>
                <w:sz w:val="22"/>
              </w:rPr>
            </w:pPr>
            <w:r>
              <w:rPr>
                <w:bCs/>
                <w:sz w:val="22"/>
              </w:rPr>
              <w:t>序号</w:t>
            </w:r>
          </w:p>
        </w:tc>
        <w:tc>
          <w:tcPr>
            <w:tcW w:w="602" w:type="pct"/>
            <w:vAlign w:val="center"/>
          </w:tcPr>
          <w:p w14:paraId="29855201">
            <w:pPr>
              <w:spacing w:line="360" w:lineRule="exact"/>
              <w:jc w:val="center"/>
              <w:rPr>
                <w:bCs/>
                <w:sz w:val="22"/>
              </w:rPr>
            </w:pPr>
            <w:r>
              <w:rPr>
                <w:bCs/>
                <w:sz w:val="22"/>
              </w:rPr>
              <w:t>采购人</w:t>
            </w:r>
          </w:p>
        </w:tc>
        <w:tc>
          <w:tcPr>
            <w:tcW w:w="675" w:type="pct"/>
            <w:vAlign w:val="center"/>
          </w:tcPr>
          <w:p w14:paraId="7AA7C567">
            <w:pPr>
              <w:spacing w:line="360" w:lineRule="exact"/>
              <w:jc w:val="center"/>
              <w:rPr>
                <w:bCs/>
                <w:sz w:val="22"/>
              </w:rPr>
            </w:pPr>
            <w:r>
              <w:rPr>
                <w:bCs/>
                <w:sz w:val="22"/>
              </w:rPr>
              <w:t>项目名称</w:t>
            </w:r>
          </w:p>
        </w:tc>
        <w:tc>
          <w:tcPr>
            <w:tcW w:w="693" w:type="pct"/>
            <w:vAlign w:val="center"/>
          </w:tcPr>
          <w:p w14:paraId="114D06D8">
            <w:pPr>
              <w:spacing w:line="360" w:lineRule="exact"/>
              <w:jc w:val="center"/>
              <w:rPr>
                <w:bCs/>
                <w:sz w:val="22"/>
              </w:rPr>
            </w:pPr>
            <w:r>
              <w:rPr>
                <w:bCs/>
                <w:sz w:val="22"/>
              </w:rPr>
              <w:t>规模（金额/元）</w:t>
            </w:r>
          </w:p>
        </w:tc>
        <w:tc>
          <w:tcPr>
            <w:tcW w:w="684" w:type="pct"/>
            <w:vAlign w:val="center"/>
          </w:tcPr>
          <w:p w14:paraId="530C3AD9">
            <w:pPr>
              <w:spacing w:line="360" w:lineRule="exact"/>
              <w:jc w:val="center"/>
              <w:rPr>
                <w:bCs/>
                <w:sz w:val="22"/>
              </w:rPr>
            </w:pPr>
            <w:r>
              <w:rPr>
                <w:bCs/>
                <w:sz w:val="22"/>
              </w:rPr>
              <w:t>完成时间</w:t>
            </w:r>
          </w:p>
        </w:tc>
        <w:tc>
          <w:tcPr>
            <w:tcW w:w="684" w:type="pct"/>
            <w:vAlign w:val="center"/>
          </w:tcPr>
          <w:p w14:paraId="173A8162">
            <w:pPr>
              <w:spacing w:line="360" w:lineRule="exact"/>
              <w:jc w:val="center"/>
              <w:rPr>
                <w:bCs/>
                <w:sz w:val="22"/>
              </w:rPr>
            </w:pPr>
            <w:r>
              <w:rPr>
                <w:bCs/>
                <w:sz w:val="22"/>
              </w:rPr>
              <w:t>运行情况</w:t>
            </w:r>
          </w:p>
        </w:tc>
        <w:tc>
          <w:tcPr>
            <w:tcW w:w="531" w:type="pct"/>
            <w:vAlign w:val="center"/>
          </w:tcPr>
          <w:p w14:paraId="3A824B51">
            <w:pPr>
              <w:spacing w:line="360" w:lineRule="exact"/>
              <w:jc w:val="center"/>
              <w:rPr>
                <w:bCs/>
                <w:sz w:val="22"/>
              </w:rPr>
            </w:pPr>
            <w:r>
              <w:rPr>
                <w:bCs/>
                <w:sz w:val="22"/>
              </w:rPr>
              <w:t>联系人</w:t>
            </w:r>
          </w:p>
        </w:tc>
        <w:tc>
          <w:tcPr>
            <w:tcW w:w="684" w:type="pct"/>
            <w:vAlign w:val="center"/>
          </w:tcPr>
          <w:p w14:paraId="33903D8A">
            <w:pPr>
              <w:spacing w:line="360" w:lineRule="exact"/>
              <w:jc w:val="center"/>
              <w:rPr>
                <w:bCs/>
                <w:sz w:val="22"/>
              </w:rPr>
            </w:pPr>
            <w:r>
              <w:rPr>
                <w:bCs/>
                <w:sz w:val="22"/>
              </w:rPr>
              <w:t>联系方式</w:t>
            </w:r>
          </w:p>
        </w:tc>
      </w:tr>
      <w:tr w14:paraId="426B0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Pr>
          <w:p w14:paraId="6BFB1A67">
            <w:pPr>
              <w:spacing w:line="360" w:lineRule="exact"/>
              <w:rPr>
                <w:bCs/>
                <w:sz w:val="22"/>
              </w:rPr>
            </w:pPr>
          </w:p>
        </w:tc>
        <w:tc>
          <w:tcPr>
            <w:tcW w:w="602" w:type="pct"/>
          </w:tcPr>
          <w:p w14:paraId="1B30DC61">
            <w:pPr>
              <w:spacing w:line="360" w:lineRule="exact"/>
              <w:rPr>
                <w:bCs/>
                <w:sz w:val="22"/>
              </w:rPr>
            </w:pPr>
          </w:p>
        </w:tc>
        <w:tc>
          <w:tcPr>
            <w:tcW w:w="675" w:type="pct"/>
          </w:tcPr>
          <w:p w14:paraId="3C832B90">
            <w:pPr>
              <w:spacing w:line="360" w:lineRule="exact"/>
              <w:rPr>
                <w:bCs/>
                <w:sz w:val="22"/>
              </w:rPr>
            </w:pPr>
          </w:p>
        </w:tc>
        <w:tc>
          <w:tcPr>
            <w:tcW w:w="693" w:type="pct"/>
          </w:tcPr>
          <w:p w14:paraId="0F2B013E">
            <w:pPr>
              <w:spacing w:line="360" w:lineRule="exact"/>
              <w:rPr>
                <w:bCs/>
                <w:sz w:val="22"/>
              </w:rPr>
            </w:pPr>
          </w:p>
        </w:tc>
        <w:tc>
          <w:tcPr>
            <w:tcW w:w="684" w:type="pct"/>
          </w:tcPr>
          <w:p w14:paraId="7FDB5766">
            <w:pPr>
              <w:spacing w:line="360" w:lineRule="exact"/>
              <w:rPr>
                <w:bCs/>
                <w:sz w:val="22"/>
              </w:rPr>
            </w:pPr>
          </w:p>
        </w:tc>
        <w:tc>
          <w:tcPr>
            <w:tcW w:w="684" w:type="pct"/>
          </w:tcPr>
          <w:p w14:paraId="1CB4E6E2">
            <w:pPr>
              <w:spacing w:line="360" w:lineRule="exact"/>
              <w:rPr>
                <w:bCs/>
                <w:sz w:val="22"/>
              </w:rPr>
            </w:pPr>
          </w:p>
        </w:tc>
        <w:tc>
          <w:tcPr>
            <w:tcW w:w="531" w:type="pct"/>
          </w:tcPr>
          <w:p w14:paraId="630A2545">
            <w:pPr>
              <w:spacing w:line="360" w:lineRule="exact"/>
              <w:rPr>
                <w:bCs/>
                <w:sz w:val="22"/>
              </w:rPr>
            </w:pPr>
          </w:p>
        </w:tc>
        <w:tc>
          <w:tcPr>
            <w:tcW w:w="684" w:type="pct"/>
          </w:tcPr>
          <w:p w14:paraId="1744B89D">
            <w:pPr>
              <w:spacing w:line="360" w:lineRule="exact"/>
              <w:rPr>
                <w:bCs/>
                <w:sz w:val="22"/>
              </w:rPr>
            </w:pPr>
          </w:p>
        </w:tc>
      </w:tr>
    </w:tbl>
    <w:p w14:paraId="1FAF48E7">
      <w:pPr>
        <w:ind w:firstLine="420" w:firstLineChars="200"/>
        <w:jc w:val="left"/>
        <w:rPr>
          <w:rFonts w:hint="eastAsia" w:hAnsi="宋体"/>
          <w:color w:val="000000"/>
        </w:rPr>
      </w:pPr>
    </w:p>
    <w:p w14:paraId="228C9292">
      <w:pPr>
        <w:tabs>
          <w:tab w:val="left" w:pos="414"/>
          <w:tab w:val="left" w:pos="1974"/>
          <w:tab w:val="left" w:pos="3414"/>
          <w:tab w:val="left" w:pos="4854"/>
          <w:tab w:val="left" w:pos="6174"/>
          <w:tab w:val="left" w:pos="7614"/>
          <w:tab w:val="left" w:pos="9414"/>
          <w:tab w:val="clear" w:pos="426"/>
        </w:tabs>
        <w:spacing w:line="360" w:lineRule="exact"/>
        <w:rPr>
          <w:sz w:val="22"/>
        </w:rPr>
      </w:pPr>
      <w:r>
        <w:rPr>
          <w:sz w:val="22"/>
        </w:rPr>
        <w:t>注：1、在</w:t>
      </w:r>
      <w:r>
        <w:rPr>
          <w:rFonts w:hint="eastAsia"/>
          <w:sz w:val="22"/>
        </w:rPr>
        <w:t>表格</w:t>
      </w:r>
      <w:r>
        <w:rPr>
          <w:sz w:val="22"/>
        </w:rPr>
        <w:t>中填写项目单位名称、联系人、联系方式等内容。</w:t>
      </w:r>
    </w:p>
    <w:p w14:paraId="05DFBDEA">
      <w:pPr>
        <w:tabs>
          <w:tab w:val="left" w:pos="414"/>
          <w:tab w:val="left" w:pos="1974"/>
          <w:tab w:val="left" w:pos="3414"/>
          <w:tab w:val="left" w:pos="4854"/>
          <w:tab w:val="left" w:pos="6174"/>
          <w:tab w:val="left" w:pos="7614"/>
          <w:tab w:val="left" w:pos="9414"/>
          <w:tab w:val="clear" w:pos="426"/>
        </w:tabs>
        <w:spacing w:line="360" w:lineRule="exact"/>
        <w:ind w:firstLine="440" w:firstLineChars="200"/>
        <w:rPr>
          <w:sz w:val="22"/>
        </w:rPr>
      </w:pPr>
      <w:r>
        <w:rPr>
          <w:sz w:val="22"/>
        </w:rPr>
        <w:t>2、需递交上述项目的证明材料扫描件，原件备查。</w:t>
      </w:r>
    </w:p>
    <w:p w14:paraId="7385696F">
      <w:pPr>
        <w:tabs>
          <w:tab w:val="left" w:pos="414"/>
          <w:tab w:val="left" w:pos="1974"/>
          <w:tab w:val="left" w:pos="3414"/>
          <w:tab w:val="left" w:pos="4854"/>
          <w:tab w:val="left" w:pos="6174"/>
          <w:tab w:val="left" w:pos="7614"/>
          <w:tab w:val="left" w:pos="9414"/>
          <w:tab w:val="clear" w:pos="426"/>
        </w:tabs>
        <w:spacing w:line="360" w:lineRule="exact"/>
        <w:ind w:firstLine="440" w:firstLineChars="200"/>
        <w:rPr>
          <w:bCs/>
          <w:sz w:val="22"/>
        </w:rPr>
      </w:pPr>
      <w:r>
        <w:rPr>
          <w:sz w:val="22"/>
        </w:rPr>
        <w:t>3、提供的资料须齐全。</w:t>
      </w:r>
    </w:p>
    <w:p w14:paraId="602AC6B3">
      <w:pPr>
        <w:rPr>
          <w:rFonts w:hint="eastAsia" w:hAnsi="宋体"/>
          <w:color w:val="000000"/>
          <w:sz w:val="28"/>
          <w:szCs w:val="28"/>
        </w:rPr>
      </w:pPr>
    </w:p>
    <w:p w14:paraId="6415B923">
      <w:pPr>
        <w:pStyle w:val="32"/>
        <w:rPr>
          <w:rFonts w:hint="eastAsia" w:hAnsi="宋体" w:cs="宋体"/>
          <w:b w:val="0"/>
          <w:bCs w:val="0"/>
          <w:color w:val="000000"/>
        </w:rPr>
      </w:pPr>
    </w:p>
    <w:p w14:paraId="306C5413">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46E22702">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6CFF43DA">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17DAF104">
      <w:pPr>
        <w:rPr>
          <w:rFonts w:hint="eastAsia" w:hAnsi="宋体"/>
          <w:b/>
          <w:bCs/>
          <w:color w:val="000000"/>
          <w:sz w:val="28"/>
          <w:szCs w:val="28"/>
        </w:rPr>
      </w:pPr>
      <w:r>
        <w:rPr>
          <w:rFonts w:hint="eastAsia" w:hAnsi="宋体"/>
          <w:b/>
          <w:bCs/>
          <w:color w:val="000000"/>
          <w:sz w:val="28"/>
          <w:szCs w:val="28"/>
        </w:rPr>
        <w:br w:type="page"/>
      </w:r>
    </w:p>
    <w:p w14:paraId="455CF2CE">
      <w:pPr>
        <w:pStyle w:val="5"/>
        <w:numPr>
          <w:ilvl w:val="0"/>
          <w:numId w:val="0"/>
        </w:numPr>
        <w:tabs>
          <w:tab w:val="clear" w:pos="1680"/>
        </w:tabs>
        <w:jc w:val="left"/>
        <w:rPr>
          <w:bCs w:val="0"/>
        </w:rPr>
      </w:pPr>
      <w:bookmarkStart w:id="97" w:name="_Toc26051"/>
      <w:bookmarkStart w:id="98" w:name="_Toc29446"/>
      <w:r>
        <w:rPr>
          <w:rFonts w:hint="eastAsia"/>
          <w:bCs w:val="0"/>
        </w:rPr>
        <w:t>十二、项目团队情况</w:t>
      </w:r>
      <w:bookmarkEnd w:id="97"/>
      <w:bookmarkEnd w:id="98"/>
    </w:p>
    <w:p w14:paraId="19DBA633">
      <w:pPr>
        <w:widowControl w:val="0"/>
        <w:adjustRightInd/>
        <w:jc w:val="center"/>
        <w:rPr>
          <w:rFonts w:hint="eastAsia" w:hAnsi="宋体"/>
          <w:b/>
          <w:color w:val="000000"/>
          <w:szCs w:val="21"/>
        </w:rPr>
      </w:pPr>
      <w:r>
        <w:rPr>
          <w:rFonts w:hint="eastAsia" w:hAnsi="宋体"/>
          <w:color w:val="000000"/>
        </w:rPr>
        <w:t>（参考格式，投标人可根据招标文件要求和自身实际情况修改）</w:t>
      </w:r>
    </w:p>
    <w:p w14:paraId="1A83B272">
      <w:pPr>
        <w:widowControl w:val="0"/>
        <w:adjustRightInd/>
        <w:rPr>
          <w:rFonts w:hint="eastAsia" w:hAnsi="宋体"/>
          <w:b/>
          <w:color w:val="000000"/>
          <w:szCs w:val="21"/>
        </w:rPr>
      </w:pPr>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249"/>
        <w:gridCol w:w="875"/>
        <w:gridCol w:w="941"/>
        <w:gridCol w:w="959"/>
        <w:gridCol w:w="940"/>
        <w:gridCol w:w="1514"/>
        <w:gridCol w:w="1075"/>
        <w:gridCol w:w="1024"/>
        <w:gridCol w:w="987"/>
      </w:tblGrid>
      <w:tr w14:paraId="7CA1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restart"/>
            <w:shd w:val="clear" w:color="auto" w:fill="FFFFFF" w:themeFill="background1"/>
            <w:vAlign w:val="center"/>
          </w:tcPr>
          <w:p w14:paraId="49617091">
            <w:pPr>
              <w:spacing w:line="360" w:lineRule="exact"/>
              <w:jc w:val="center"/>
              <w:rPr>
                <w:rFonts w:hint="eastAsia" w:hAnsi="宋体"/>
                <w:b/>
                <w:sz w:val="22"/>
              </w:rPr>
            </w:pPr>
            <w:r>
              <w:rPr>
                <w:rFonts w:hint="eastAsia" w:hAnsi="宋体"/>
                <w:b/>
                <w:sz w:val="22"/>
              </w:rPr>
              <w:t>类别</w:t>
            </w:r>
          </w:p>
        </w:tc>
        <w:tc>
          <w:tcPr>
            <w:tcW w:w="457" w:type="pct"/>
            <w:vMerge w:val="restart"/>
            <w:shd w:val="clear" w:color="auto" w:fill="FFFFFF" w:themeFill="background1"/>
            <w:vAlign w:val="center"/>
          </w:tcPr>
          <w:p w14:paraId="3A284A82">
            <w:pPr>
              <w:spacing w:line="360" w:lineRule="exact"/>
              <w:jc w:val="center"/>
              <w:rPr>
                <w:rFonts w:hint="eastAsia" w:hAnsi="宋体"/>
                <w:b/>
                <w:sz w:val="22"/>
              </w:rPr>
            </w:pPr>
            <w:r>
              <w:rPr>
                <w:rFonts w:hint="eastAsia" w:hAnsi="宋体"/>
                <w:b/>
                <w:sz w:val="22"/>
              </w:rPr>
              <w:t>姓名</w:t>
            </w:r>
          </w:p>
        </w:tc>
        <w:tc>
          <w:tcPr>
            <w:tcW w:w="492" w:type="pct"/>
            <w:vMerge w:val="restart"/>
            <w:shd w:val="clear" w:color="auto" w:fill="FFFFFF" w:themeFill="background1"/>
            <w:vAlign w:val="center"/>
          </w:tcPr>
          <w:p w14:paraId="36BF4348">
            <w:pPr>
              <w:spacing w:line="360" w:lineRule="exact"/>
              <w:jc w:val="center"/>
              <w:rPr>
                <w:rFonts w:hint="eastAsia" w:hAnsi="宋体"/>
                <w:b/>
                <w:sz w:val="22"/>
              </w:rPr>
            </w:pPr>
            <w:r>
              <w:rPr>
                <w:rFonts w:hint="eastAsia" w:hAnsi="宋体"/>
                <w:b/>
                <w:sz w:val="22"/>
              </w:rPr>
              <w:t>职务</w:t>
            </w:r>
          </w:p>
        </w:tc>
        <w:tc>
          <w:tcPr>
            <w:tcW w:w="501" w:type="pct"/>
            <w:vMerge w:val="restart"/>
            <w:shd w:val="clear" w:color="auto" w:fill="FFFFFF" w:themeFill="background1"/>
            <w:vAlign w:val="center"/>
          </w:tcPr>
          <w:p w14:paraId="6284E3C4">
            <w:pPr>
              <w:spacing w:line="360" w:lineRule="exact"/>
              <w:jc w:val="center"/>
              <w:rPr>
                <w:rFonts w:hint="eastAsia" w:hAnsi="宋体"/>
                <w:b/>
                <w:sz w:val="22"/>
              </w:rPr>
            </w:pPr>
            <w:r>
              <w:rPr>
                <w:rFonts w:hint="eastAsia" w:hAnsi="宋体"/>
                <w:b/>
                <w:sz w:val="22"/>
              </w:rPr>
              <w:t>职称</w:t>
            </w:r>
          </w:p>
        </w:tc>
        <w:tc>
          <w:tcPr>
            <w:tcW w:w="491" w:type="pct"/>
            <w:vMerge w:val="restart"/>
            <w:shd w:val="clear" w:color="auto" w:fill="FFFFFF" w:themeFill="background1"/>
            <w:vAlign w:val="center"/>
          </w:tcPr>
          <w:p w14:paraId="1F22C267">
            <w:pPr>
              <w:spacing w:line="360" w:lineRule="exact"/>
              <w:jc w:val="center"/>
              <w:rPr>
                <w:rFonts w:hint="eastAsia" w:hAnsi="宋体"/>
                <w:b/>
                <w:sz w:val="22"/>
              </w:rPr>
            </w:pPr>
            <w:r>
              <w:rPr>
                <w:rFonts w:hint="eastAsia" w:hAnsi="宋体"/>
                <w:b/>
                <w:sz w:val="22"/>
              </w:rPr>
              <w:t>学历</w:t>
            </w:r>
          </w:p>
        </w:tc>
        <w:tc>
          <w:tcPr>
            <w:tcW w:w="2404" w:type="pct"/>
            <w:gridSpan w:val="4"/>
            <w:shd w:val="clear" w:color="auto" w:fill="FFFFFF" w:themeFill="background1"/>
          </w:tcPr>
          <w:p w14:paraId="1388A7FC">
            <w:pPr>
              <w:spacing w:line="360" w:lineRule="exact"/>
              <w:jc w:val="center"/>
              <w:rPr>
                <w:rFonts w:hint="eastAsia" w:hAnsi="宋体"/>
                <w:b/>
                <w:sz w:val="22"/>
              </w:rPr>
            </w:pPr>
            <w:r>
              <w:rPr>
                <w:rFonts w:hint="eastAsia" w:hAnsi="宋体"/>
                <w:b/>
                <w:sz w:val="22"/>
              </w:rPr>
              <w:t>上岗资格证明（执业资格或专业等级）</w:t>
            </w:r>
          </w:p>
        </w:tc>
      </w:tr>
      <w:tr w14:paraId="09BF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continue"/>
            <w:shd w:val="clear" w:color="auto" w:fill="FFFFFF" w:themeFill="background1"/>
          </w:tcPr>
          <w:p w14:paraId="507D057E">
            <w:pPr>
              <w:spacing w:line="360" w:lineRule="exact"/>
              <w:rPr>
                <w:rFonts w:hint="eastAsia" w:hAnsi="宋体"/>
                <w:b/>
                <w:sz w:val="22"/>
              </w:rPr>
            </w:pPr>
          </w:p>
        </w:tc>
        <w:tc>
          <w:tcPr>
            <w:tcW w:w="457" w:type="pct"/>
            <w:vMerge w:val="continue"/>
            <w:shd w:val="clear" w:color="auto" w:fill="FFFFFF" w:themeFill="background1"/>
          </w:tcPr>
          <w:p w14:paraId="67489228">
            <w:pPr>
              <w:spacing w:line="360" w:lineRule="exact"/>
              <w:rPr>
                <w:rFonts w:hint="eastAsia" w:hAnsi="宋体"/>
                <w:b/>
                <w:sz w:val="22"/>
              </w:rPr>
            </w:pPr>
          </w:p>
        </w:tc>
        <w:tc>
          <w:tcPr>
            <w:tcW w:w="492" w:type="pct"/>
            <w:vMerge w:val="continue"/>
            <w:shd w:val="clear" w:color="auto" w:fill="FFFFFF" w:themeFill="background1"/>
          </w:tcPr>
          <w:p w14:paraId="661BEB23">
            <w:pPr>
              <w:spacing w:line="360" w:lineRule="exact"/>
              <w:rPr>
                <w:rFonts w:hint="eastAsia" w:hAnsi="宋体"/>
                <w:b/>
                <w:sz w:val="22"/>
              </w:rPr>
            </w:pPr>
          </w:p>
        </w:tc>
        <w:tc>
          <w:tcPr>
            <w:tcW w:w="501" w:type="pct"/>
            <w:vMerge w:val="continue"/>
            <w:shd w:val="clear" w:color="auto" w:fill="FFFFFF" w:themeFill="background1"/>
          </w:tcPr>
          <w:p w14:paraId="5818790D">
            <w:pPr>
              <w:spacing w:line="360" w:lineRule="exact"/>
              <w:rPr>
                <w:rFonts w:hint="eastAsia" w:hAnsi="宋体"/>
                <w:b/>
                <w:sz w:val="22"/>
              </w:rPr>
            </w:pPr>
          </w:p>
        </w:tc>
        <w:tc>
          <w:tcPr>
            <w:tcW w:w="491" w:type="pct"/>
            <w:vMerge w:val="continue"/>
            <w:shd w:val="clear" w:color="auto" w:fill="FFFFFF" w:themeFill="background1"/>
          </w:tcPr>
          <w:p w14:paraId="3DE8D1AC">
            <w:pPr>
              <w:spacing w:line="360" w:lineRule="exact"/>
              <w:rPr>
                <w:rFonts w:hint="eastAsia" w:hAnsi="宋体"/>
                <w:b/>
                <w:sz w:val="22"/>
              </w:rPr>
            </w:pPr>
          </w:p>
        </w:tc>
        <w:tc>
          <w:tcPr>
            <w:tcW w:w="791" w:type="pct"/>
            <w:shd w:val="clear" w:color="auto" w:fill="FFFFFF" w:themeFill="background1"/>
          </w:tcPr>
          <w:p w14:paraId="27C0872E">
            <w:pPr>
              <w:spacing w:line="360" w:lineRule="exact"/>
              <w:jc w:val="center"/>
              <w:rPr>
                <w:rFonts w:hint="eastAsia" w:hAnsi="宋体"/>
                <w:b/>
                <w:sz w:val="22"/>
              </w:rPr>
            </w:pPr>
            <w:r>
              <w:rPr>
                <w:rFonts w:hint="eastAsia" w:hAnsi="宋体"/>
                <w:b/>
                <w:sz w:val="22"/>
              </w:rPr>
              <w:t>证书名称</w:t>
            </w:r>
          </w:p>
        </w:tc>
        <w:tc>
          <w:tcPr>
            <w:tcW w:w="562" w:type="pct"/>
            <w:shd w:val="clear" w:color="auto" w:fill="FFFFFF" w:themeFill="background1"/>
          </w:tcPr>
          <w:p w14:paraId="200EC56E">
            <w:pPr>
              <w:spacing w:line="360" w:lineRule="exact"/>
              <w:jc w:val="center"/>
              <w:rPr>
                <w:rFonts w:hint="eastAsia" w:hAnsi="宋体"/>
                <w:b/>
                <w:sz w:val="22"/>
              </w:rPr>
            </w:pPr>
            <w:r>
              <w:rPr>
                <w:rFonts w:hint="eastAsia" w:hAnsi="宋体"/>
                <w:b/>
                <w:sz w:val="22"/>
              </w:rPr>
              <w:t>级别</w:t>
            </w:r>
          </w:p>
        </w:tc>
        <w:tc>
          <w:tcPr>
            <w:tcW w:w="535" w:type="pct"/>
            <w:shd w:val="clear" w:color="auto" w:fill="FFFFFF" w:themeFill="background1"/>
          </w:tcPr>
          <w:p w14:paraId="71B8DF01">
            <w:pPr>
              <w:spacing w:line="360" w:lineRule="exact"/>
              <w:jc w:val="center"/>
              <w:rPr>
                <w:rFonts w:hint="eastAsia" w:hAnsi="宋体"/>
                <w:b/>
                <w:sz w:val="22"/>
              </w:rPr>
            </w:pPr>
            <w:r>
              <w:rPr>
                <w:rFonts w:hint="eastAsia" w:hAnsi="宋体"/>
                <w:b/>
                <w:sz w:val="22"/>
              </w:rPr>
              <w:t>证号</w:t>
            </w:r>
          </w:p>
        </w:tc>
        <w:tc>
          <w:tcPr>
            <w:tcW w:w="514" w:type="pct"/>
            <w:shd w:val="clear" w:color="auto" w:fill="FFFFFF" w:themeFill="background1"/>
          </w:tcPr>
          <w:p w14:paraId="5C502598">
            <w:pPr>
              <w:spacing w:line="360" w:lineRule="exact"/>
              <w:jc w:val="center"/>
              <w:rPr>
                <w:rFonts w:hint="eastAsia" w:hAnsi="宋体"/>
                <w:b/>
                <w:sz w:val="22"/>
              </w:rPr>
            </w:pPr>
            <w:r>
              <w:rPr>
                <w:rFonts w:hint="eastAsia" w:hAnsi="宋体"/>
                <w:b/>
                <w:sz w:val="22"/>
              </w:rPr>
              <w:t>专业</w:t>
            </w:r>
          </w:p>
        </w:tc>
      </w:tr>
      <w:tr w14:paraId="6228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250" w:hRule="atLeast"/>
          <w:jc w:val="center"/>
        </w:trPr>
        <w:tc>
          <w:tcPr>
            <w:tcW w:w="653" w:type="pct"/>
            <w:shd w:val="clear" w:color="auto" w:fill="FFFFFF" w:themeFill="background1"/>
            <w:vAlign w:val="center"/>
          </w:tcPr>
          <w:p w14:paraId="03161043">
            <w:pPr>
              <w:spacing w:line="360" w:lineRule="exact"/>
              <w:jc w:val="center"/>
              <w:rPr>
                <w:rFonts w:hint="eastAsia" w:hAnsi="宋体"/>
                <w:sz w:val="22"/>
              </w:rPr>
            </w:pPr>
            <w:r>
              <w:rPr>
                <w:rFonts w:hint="eastAsia" w:hAnsi="宋体"/>
                <w:sz w:val="22"/>
              </w:rPr>
              <w:t>项目</w:t>
            </w:r>
          </w:p>
          <w:p w14:paraId="007A8C79">
            <w:pPr>
              <w:spacing w:line="360" w:lineRule="exact"/>
              <w:jc w:val="center"/>
              <w:rPr>
                <w:rFonts w:hint="eastAsia" w:hAnsi="宋体"/>
                <w:bCs/>
                <w:sz w:val="22"/>
              </w:rPr>
            </w:pPr>
            <w:r>
              <w:rPr>
                <w:rFonts w:hint="eastAsia" w:hAnsi="宋体"/>
                <w:sz w:val="22"/>
              </w:rPr>
              <w:t>负责人</w:t>
            </w:r>
          </w:p>
        </w:tc>
        <w:tc>
          <w:tcPr>
            <w:tcW w:w="457" w:type="pct"/>
            <w:shd w:val="clear" w:color="auto" w:fill="FFFFFF" w:themeFill="background1"/>
          </w:tcPr>
          <w:p w14:paraId="786B9EED">
            <w:pPr>
              <w:spacing w:line="360" w:lineRule="exact"/>
              <w:rPr>
                <w:rFonts w:hint="eastAsia" w:hAnsi="宋体"/>
                <w:bCs/>
                <w:sz w:val="22"/>
              </w:rPr>
            </w:pPr>
          </w:p>
        </w:tc>
        <w:tc>
          <w:tcPr>
            <w:tcW w:w="492" w:type="pct"/>
            <w:shd w:val="clear" w:color="auto" w:fill="FFFFFF" w:themeFill="background1"/>
          </w:tcPr>
          <w:p w14:paraId="53BCD7F0">
            <w:pPr>
              <w:spacing w:line="360" w:lineRule="exact"/>
              <w:rPr>
                <w:rFonts w:hint="eastAsia" w:hAnsi="宋体"/>
                <w:bCs/>
                <w:sz w:val="22"/>
              </w:rPr>
            </w:pPr>
          </w:p>
        </w:tc>
        <w:tc>
          <w:tcPr>
            <w:tcW w:w="501" w:type="pct"/>
            <w:shd w:val="clear" w:color="auto" w:fill="FFFFFF" w:themeFill="background1"/>
          </w:tcPr>
          <w:p w14:paraId="0EB4E3F0">
            <w:pPr>
              <w:spacing w:line="360" w:lineRule="exact"/>
              <w:rPr>
                <w:rFonts w:hint="eastAsia" w:hAnsi="宋体"/>
                <w:bCs/>
                <w:sz w:val="22"/>
              </w:rPr>
            </w:pPr>
          </w:p>
        </w:tc>
        <w:tc>
          <w:tcPr>
            <w:tcW w:w="491" w:type="pct"/>
            <w:shd w:val="clear" w:color="auto" w:fill="FFFFFF" w:themeFill="background1"/>
          </w:tcPr>
          <w:p w14:paraId="4C99282E">
            <w:pPr>
              <w:spacing w:line="360" w:lineRule="exact"/>
              <w:rPr>
                <w:rFonts w:hint="eastAsia" w:hAnsi="宋体"/>
                <w:bCs/>
                <w:sz w:val="22"/>
              </w:rPr>
            </w:pPr>
          </w:p>
        </w:tc>
        <w:tc>
          <w:tcPr>
            <w:tcW w:w="791" w:type="pct"/>
            <w:shd w:val="clear" w:color="auto" w:fill="FFFFFF" w:themeFill="background1"/>
          </w:tcPr>
          <w:p w14:paraId="2AA75D2E">
            <w:pPr>
              <w:spacing w:line="360" w:lineRule="exact"/>
              <w:rPr>
                <w:rFonts w:hint="eastAsia" w:hAnsi="宋体"/>
                <w:bCs/>
                <w:sz w:val="22"/>
              </w:rPr>
            </w:pPr>
          </w:p>
        </w:tc>
        <w:tc>
          <w:tcPr>
            <w:tcW w:w="562" w:type="pct"/>
            <w:shd w:val="clear" w:color="auto" w:fill="FFFFFF" w:themeFill="background1"/>
          </w:tcPr>
          <w:p w14:paraId="71AE79D6">
            <w:pPr>
              <w:spacing w:line="360" w:lineRule="exact"/>
              <w:rPr>
                <w:rFonts w:hint="eastAsia" w:hAnsi="宋体"/>
                <w:bCs/>
                <w:sz w:val="22"/>
              </w:rPr>
            </w:pPr>
          </w:p>
        </w:tc>
        <w:tc>
          <w:tcPr>
            <w:tcW w:w="535" w:type="pct"/>
            <w:shd w:val="clear" w:color="auto" w:fill="FFFFFF" w:themeFill="background1"/>
          </w:tcPr>
          <w:p w14:paraId="4D84F590">
            <w:pPr>
              <w:spacing w:line="360" w:lineRule="exact"/>
              <w:rPr>
                <w:rFonts w:hint="eastAsia" w:hAnsi="宋体"/>
                <w:bCs/>
                <w:sz w:val="22"/>
              </w:rPr>
            </w:pPr>
          </w:p>
        </w:tc>
        <w:tc>
          <w:tcPr>
            <w:tcW w:w="514" w:type="pct"/>
            <w:shd w:val="clear" w:color="auto" w:fill="FFFFFF" w:themeFill="background1"/>
          </w:tcPr>
          <w:p w14:paraId="00CD61AB">
            <w:pPr>
              <w:spacing w:line="360" w:lineRule="exact"/>
              <w:rPr>
                <w:rFonts w:hint="eastAsia" w:hAnsi="宋体"/>
                <w:bCs/>
                <w:sz w:val="22"/>
              </w:rPr>
            </w:pPr>
          </w:p>
        </w:tc>
      </w:tr>
      <w:tr w14:paraId="2CE08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restart"/>
            <w:shd w:val="clear" w:color="auto" w:fill="FFFFFF" w:themeFill="background1"/>
            <w:vAlign w:val="center"/>
          </w:tcPr>
          <w:p w14:paraId="49C7292D">
            <w:pPr>
              <w:spacing w:line="360" w:lineRule="exact"/>
              <w:jc w:val="center"/>
              <w:rPr>
                <w:rFonts w:hint="eastAsia" w:hAnsi="宋体"/>
                <w:bCs/>
                <w:sz w:val="22"/>
              </w:rPr>
            </w:pPr>
            <w:r>
              <w:rPr>
                <w:rFonts w:hint="eastAsia" w:hAnsi="宋体"/>
                <w:sz w:val="22"/>
              </w:rPr>
              <w:t>其他项目组成员</w:t>
            </w:r>
          </w:p>
        </w:tc>
        <w:tc>
          <w:tcPr>
            <w:tcW w:w="457" w:type="pct"/>
            <w:shd w:val="clear" w:color="auto" w:fill="FFFFFF" w:themeFill="background1"/>
          </w:tcPr>
          <w:p w14:paraId="78838653">
            <w:pPr>
              <w:spacing w:line="360" w:lineRule="exact"/>
              <w:rPr>
                <w:rFonts w:hint="eastAsia" w:hAnsi="宋体"/>
                <w:bCs/>
                <w:sz w:val="22"/>
              </w:rPr>
            </w:pPr>
          </w:p>
        </w:tc>
        <w:tc>
          <w:tcPr>
            <w:tcW w:w="492" w:type="pct"/>
            <w:shd w:val="clear" w:color="auto" w:fill="FFFFFF" w:themeFill="background1"/>
          </w:tcPr>
          <w:p w14:paraId="68C51C54">
            <w:pPr>
              <w:spacing w:line="360" w:lineRule="exact"/>
              <w:rPr>
                <w:rFonts w:hint="eastAsia" w:hAnsi="宋体"/>
                <w:bCs/>
                <w:sz w:val="22"/>
              </w:rPr>
            </w:pPr>
          </w:p>
        </w:tc>
        <w:tc>
          <w:tcPr>
            <w:tcW w:w="501" w:type="pct"/>
            <w:shd w:val="clear" w:color="auto" w:fill="FFFFFF" w:themeFill="background1"/>
          </w:tcPr>
          <w:p w14:paraId="6CDCBE38">
            <w:pPr>
              <w:spacing w:line="360" w:lineRule="exact"/>
              <w:rPr>
                <w:rFonts w:hint="eastAsia" w:hAnsi="宋体"/>
                <w:bCs/>
                <w:sz w:val="22"/>
              </w:rPr>
            </w:pPr>
          </w:p>
        </w:tc>
        <w:tc>
          <w:tcPr>
            <w:tcW w:w="491" w:type="pct"/>
            <w:shd w:val="clear" w:color="auto" w:fill="FFFFFF" w:themeFill="background1"/>
          </w:tcPr>
          <w:p w14:paraId="6B7A6646">
            <w:pPr>
              <w:spacing w:line="360" w:lineRule="exact"/>
              <w:rPr>
                <w:rFonts w:hint="eastAsia" w:hAnsi="宋体"/>
                <w:bCs/>
                <w:sz w:val="22"/>
              </w:rPr>
            </w:pPr>
          </w:p>
        </w:tc>
        <w:tc>
          <w:tcPr>
            <w:tcW w:w="791" w:type="pct"/>
            <w:shd w:val="clear" w:color="auto" w:fill="FFFFFF" w:themeFill="background1"/>
          </w:tcPr>
          <w:p w14:paraId="51B2760D">
            <w:pPr>
              <w:spacing w:line="360" w:lineRule="exact"/>
              <w:rPr>
                <w:rFonts w:hint="eastAsia" w:hAnsi="宋体"/>
                <w:bCs/>
                <w:sz w:val="22"/>
              </w:rPr>
            </w:pPr>
          </w:p>
        </w:tc>
        <w:tc>
          <w:tcPr>
            <w:tcW w:w="562" w:type="pct"/>
            <w:shd w:val="clear" w:color="auto" w:fill="FFFFFF" w:themeFill="background1"/>
          </w:tcPr>
          <w:p w14:paraId="4667BCD8">
            <w:pPr>
              <w:spacing w:line="360" w:lineRule="exact"/>
              <w:rPr>
                <w:rFonts w:hint="eastAsia" w:hAnsi="宋体"/>
                <w:bCs/>
                <w:sz w:val="22"/>
              </w:rPr>
            </w:pPr>
          </w:p>
        </w:tc>
        <w:tc>
          <w:tcPr>
            <w:tcW w:w="535" w:type="pct"/>
            <w:shd w:val="clear" w:color="auto" w:fill="FFFFFF" w:themeFill="background1"/>
          </w:tcPr>
          <w:p w14:paraId="14C4886F">
            <w:pPr>
              <w:spacing w:line="360" w:lineRule="exact"/>
              <w:rPr>
                <w:rFonts w:hint="eastAsia" w:hAnsi="宋体"/>
                <w:bCs/>
                <w:sz w:val="22"/>
              </w:rPr>
            </w:pPr>
          </w:p>
        </w:tc>
        <w:tc>
          <w:tcPr>
            <w:tcW w:w="514" w:type="pct"/>
            <w:shd w:val="clear" w:color="auto" w:fill="FFFFFF" w:themeFill="background1"/>
          </w:tcPr>
          <w:p w14:paraId="52B2B542">
            <w:pPr>
              <w:spacing w:line="360" w:lineRule="exact"/>
              <w:rPr>
                <w:rFonts w:hint="eastAsia" w:hAnsi="宋体"/>
                <w:bCs/>
                <w:sz w:val="22"/>
              </w:rPr>
            </w:pPr>
          </w:p>
        </w:tc>
      </w:tr>
      <w:tr w14:paraId="11A99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tcPr>
          <w:p w14:paraId="3BE3C44C">
            <w:pPr>
              <w:spacing w:line="360" w:lineRule="exact"/>
              <w:rPr>
                <w:rFonts w:hint="eastAsia" w:hAnsi="宋体"/>
                <w:bCs/>
                <w:sz w:val="22"/>
              </w:rPr>
            </w:pPr>
          </w:p>
        </w:tc>
        <w:tc>
          <w:tcPr>
            <w:tcW w:w="457" w:type="pct"/>
            <w:shd w:val="clear" w:color="auto" w:fill="FFFFFF" w:themeFill="background1"/>
          </w:tcPr>
          <w:p w14:paraId="2BEE617D">
            <w:pPr>
              <w:spacing w:line="360" w:lineRule="exact"/>
              <w:rPr>
                <w:rFonts w:hint="eastAsia" w:hAnsi="宋体"/>
                <w:bCs/>
                <w:sz w:val="22"/>
              </w:rPr>
            </w:pPr>
          </w:p>
        </w:tc>
        <w:tc>
          <w:tcPr>
            <w:tcW w:w="492" w:type="pct"/>
            <w:shd w:val="clear" w:color="auto" w:fill="FFFFFF" w:themeFill="background1"/>
          </w:tcPr>
          <w:p w14:paraId="731ED5FE">
            <w:pPr>
              <w:spacing w:line="360" w:lineRule="exact"/>
              <w:rPr>
                <w:rFonts w:hint="eastAsia" w:hAnsi="宋体"/>
                <w:bCs/>
                <w:sz w:val="22"/>
              </w:rPr>
            </w:pPr>
          </w:p>
        </w:tc>
        <w:tc>
          <w:tcPr>
            <w:tcW w:w="501" w:type="pct"/>
            <w:shd w:val="clear" w:color="auto" w:fill="FFFFFF" w:themeFill="background1"/>
          </w:tcPr>
          <w:p w14:paraId="01046C76">
            <w:pPr>
              <w:spacing w:line="360" w:lineRule="exact"/>
              <w:rPr>
                <w:rFonts w:hint="eastAsia" w:hAnsi="宋体"/>
                <w:bCs/>
                <w:sz w:val="22"/>
              </w:rPr>
            </w:pPr>
          </w:p>
        </w:tc>
        <w:tc>
          <w:tcPr>
            <w:tcW w:w="491" w:type="pct"/>
            <w:shd w:val="clear" w:color="auto" w:fill="FFFFFF" w:themeFill="background1"/>
          </w:tcPr>
          <w:p w14:paraId="21C18FA9">
            <w:pPr>
              <w:spacing w:line="360" w:lineRule="exact"/>
              <w:rPr>
                <w:rFonts w:hint="eastAsia" w:hAnsi="宋体"/>
                <w:bCs/>
                <w:sz w:val="22"/>
              </w:rPr>
            </w:pPr>
          </w:p>
        </w:tc>
        <w:tc>
          <w:tcPr>
            <w:tcW w:w="791" w:type="pct"/>
            <w:shd w:val="clear" w:color="auto" w:fill="FFFFFF" w:themeFill="background1"/>
          </w:tcPr>
          <w:p w14:paraId="19B100FE">
            <w:pPr>
              <w:spacing w:line="360" w:lineRule="exact"/>
              <w:rPr>
                <w:rFonts w:hint="eastAsia" w:hAnsi="宋体"/>
                <w:bCs/>
                <w:sz w:val="22"/>
              </w:rPr>
            </w:pPr>
          </w:p>
        </w:tc>
        <w:tc>
          <w:tcPr>
            <w:tcW w:w="562" w:type="pct"/>
            <w:shd w:val="clear" w:color="auto" w:fill="FFFFFF" w:themeFill="background1"/>
          </w:tcPr>
          <w:p w14:paraId="367FD0E6">
            <w:pPr>
              <w:spacing w:line="360" w:lineRule="exact"/>
              <w:rPr>
                <w:rFonts w:hint="eastAsia" w:hAnsi="宋体"/>
                <w:bCs/>
                <w:sz w:val="22"/>
              </w:rPr>
            </w:pPr>
          </w:p>
        </w:tc>
        <w:tc>
          <w:tcPr>
            <w:tcW w:w="535" w:type="pct"/>
            <w:shd w:val="clear" w:color="auto" w:fill="FFFFFF" w:themeFill="background1"/>
          </w:tcPr>
          <w:p w14:paraId="607DE7B9">
            <w:pPr>
              <w:spacing w:line="360" w:lineRule="exact"/>
              <w:rPr>
                <w:rFonts w:hint="eastAsia" w:hAnsi="宋体"/>
                <w:bCs/>
                <w:sz w:val="22"/>
              </w:rPr>
            </w:pPr>
          </w:p>
        </w:tc>
        <w:tc>
          <w:tcPr>
            <w:tcW w:w="514" w:type="pct"/>
            <w:shd w:val="clear" w:color="auto" w:fill="FFFFFF" w:themeFill="background1"/>
          </w:tcPr>
          <w:p w14:paraId="592F9666">
            <w:pPr>
              <w:spacing w:line="360" w:lineRule="exact"/>
              <w:rPr>
                <w:rFonts w:hint="eastAsia" w:hAnsi="宋体"/>
                <w:bCs/>
                <w:sz w:val="22"/>
              </w:rPr>
            </w:pPr>
          </w:p>
        </w:tc>
      </w:tr>
      <w:tr w14:paraId="50B55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tcPr>
          <w:p w14:paraId="3285CEC3">
            <w:pPr>
              <w:spacing w:line="360" w:lineRule="exact"/>
              <w:rPr>
                <w:rFonts w:hint="eastAsia" w:hAnsi="宋体"/>
                <w:bCs/>
                <w:sz w:val="22"/>
              </w:rPr>
            </w:pPr>
          </w:p>
        </w:tc>
        <w:tc>
          <w:tcPr>
            <w:tcW w:w="457" w:type="pct"/>
            <w:shd w:val="clear" w:color="auto" w:fill="FFFFFF" w:themeFill="background1"/>
          </w:tcPr>
          <w:p w14:paraId="5259E3BC">
            <w:pPr>
              <w:spacing w:line="360" w:lineRule="exact"/>
              <w:rPr>
                <w:rFonts w:hint="eastAsia" w:hAnsi="宋体"/>
                <w:bCs/>
                <w:sz w:val="22"/>
              </w:rPr>
            </w:pPr>
          </w:p>
        </w:tc>
        <w:tc>
          <w:tcPr>
            <w:tcW w:w="492" w:type="pct"/>
            <w:shd w:val="clear" w:color="auto" w:fill="FFFFFF" w:themeFill="background1"/>
          </w:tcPr>
          <w:p w14:paraId="5D82756B">
            <w:pPr>
              <w:spacing w:line="360" w:lineRule="exact"/>
              <w:rPr>
                <w:rFonts w:hint="eastAsia" w:hAnsi="宋体"/>
                <w:bCs/>
                <w:sz w:val="22"/>
              </w:rPr>
            </w:pPr>
          </w:p>
        </w:tc>
        <w:tc>
          <w:tcPr>
            <w:tcW w:w="501" w:type="pct"/>
            <w:shd w:val="clear" w:color="auto" w:fill="FFFFFF" w:themeFill="background1"/>
          </w:tcPr>
          <w:p w14:paraId="70DF66B4">
            <w:pPr>
              <w:spacing w:line="360" w:lineRule="exact"/>
              <w:rPr>
                <w:rFonts w:hint="eastAsia" w:hAnsi="宋体"/>
                <w:bCs/>
                <w:sz w:val="22"/>
              </w:rPr>
            </w:pPr>
          </w:p>
        </w:tc>
        <w:tc>
          <w:tcPr>
            <w:tcW w:w="491" w:type="pct"/>
            <w:shd w:val="clear" w:color="auto" w:fill="FFFFFF" w:themeFill="background1"/>
          </w:tcPr>
          <w:p w14:paraId="4574099E">
            <w:pPr>
              <w:spacing w:line="360" w:lineRule="exact"/>
              <w:rPr>
                <w:rFonts w:hint="eastAsia" w:hAnsi="宋体"/>
                <w:bCs/>
                <w:sz w:val="22"/>
              </w:rPr>
            </w:pPr>
          </w:p>
        </w:tc>
        <w:tc>
          <w:tcPr>
            <w:tcW w:w="791" w:type="pct"/>
            <w:shd w:val="clear" w:color="auto" w:fill="FFFFFF" w:themeFill="background1"/>
          </w:tcPr>
          <w:p w14:paraId="0FA1C08D">
            <w:pPr>
              <w:spacing w:line="360" w:lineRule="exact"/>
              <w:rPr>
                <w:rFonts w:hint="eastAsia" w:hAnsi="宋体"/>
                <w:bCs/>
                <w:sz w:val="22"/>
              </w:rPr>
            </w:pPr>
          </w:p>
        </w:tc>
        <w:tc>
          <w:tcPr>
            <w:tcW w:w="562" w:type="pct"/>
            <w:shd w:val="clear" w:color="auto" w:fill="FFFFFF" w:themeFill="background1"/>
          </w:tcPr>
          <w:p w14:paraId="4B64A602">
            <w:pPr>
              <w:spacing w:line="360" w:lineRule="exact"/>
              <w:rPr>
                <w:rFonts w:hint="eastAsia" w:hAnsi="宋体"/>
                <w:bCs/>
                <w:sz w:val="22"/>
              </w:rPr>
            </w:pPr>
          </w:p>
        </w:tc>
        <w:tc>
          <w:tcPr>
            <w:tcW w:w="535" w:type="pct"/>
            <w:shd w:val="clear" w:color="auto" w:fill="FFFFFF" w:themeFill="background1"/>
          </w:tcPr>
          <w:p w14:paraId="6F416AD3">
            <w:pPr>
              <w:spacing w:line="360" w:lineRule="exact"/>
              <w:rPr>
                <w:rFonts w:hint="eastAsia" w:hAnsi="宋体"/>
                <w:bCs/>
                <w:sz w:val="22"/>
              </w:rPr>
            </w:pPr>
          </w:p>
        </w:tc>
        <w:tc>
          <w:tcPr>
            <w:tcW w:w="514" w:type="pct"/>
            <w:shd w:val="clear" w:color="auto" w:fill="FFFFFF" w:themeFill="background1"/>
          </w:tcPr>
          <w:p w14:paraId="3BAC0129">
            <w:pPr>
              <w:spacing w:line="360" w:lineRule="exact"/>
              <w:rPr>
                <w:rFonts w:hint="eastAsia" w:hAnsi="宋体"/>
                <w:bCs/>
                <w:sz w:val="22"/>
              </w:rPr>
            </w:pPr>
          </w:p>
        </w:tc>
      </w:tr>
      <w:tr w14:paraId="4BE90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tcPr>
          <w:p w14:paraId="58481012">
            <w:pPr>
              <w:spacing w:line="360" w:lineRule="exact"/>
              <w:rPr>
                <w:rFonts w:hint="eastAsia" w:hAnsi="宋体"/>
                <w:bCs/>
                <w:sz w:val="22"/>
              </w:rPr>
            </w:pPr>
          </w:p>
        </w:tc>
        <w:tc>
          <w:tcPr>
            <w:tcW w:w="457" w:type="pct"/>
            <w:shd w:val="clear" w:color="auto" w:fill="FFFFFF" w:themeFill="background1"/>
          </w:tcPr>
          <w:p w14:paraId="5F9D721B">
            <w:pPr>
              <w:spacing w:line="360" w:lineRule="exact"/>
              <w:rPr>
                <w:rFonts w:hint="eastAsia" w:hAnsi="宋体"/>
                <w:bCs/>
                <w:sz w:val="22"/>
              </w:rPr>
            </w:pPr>
          </w:p>
        </w:tc>
        <w:tc>
          <w:tcPr>
            <w:tcW w:w="492" w:type="pct"/>
            <w:shd w:val="clear" w:color="auto" w:fill="FFFFFF" w:themeFill="background1"/>
          </w:tcPr>
          <w:p w14:paraId="362F6168">
            <w:pPr>
              <w:spacing w:line="360" w:lineRule="exact"/>
              <w:rPr>
                <w:rFonts w:hint="eastAsia" w:hAnsi="宋体"/>
                <w:bCs/>
                <w:sz w:val="22"/>
              </w:rPr>
            </w:pPr>
          </w:p>
        </w:tc>
        <w:tc>
          <w:tcPr>
            <w:tcW w:w="501" w:type="pct"/>
            <w:shd w:val="clear" w:color="auto" w:fill="FFFFFF" w:themeFill="background1"/>
          </w:tcPr>
          <w:p w14:paraId="52B8A653">
            <w:pPr>
              <w:spacing w:line="360" w:lineRule="exact"/>
              <w:rPr>
                <w:rFonts w:hint="eastAsia" w:hAnsi="宋体"/>
                <w:bCs/>
                <w:sz w:val="22"/>
              </w:rPr>
            </w:pPr>
          </w:p>
        </w:tc>
        <w:tc>
          <w:tcPr>
            <w:tcW w:w="491" w:type="pct"/>
            <w:shd w:val="clear" w:color="auto" w:fill="FFFFFF" w:themeFill="background1"/>
          </w:tcPr>
          <w:p w14:paraId="10D1AC4D">
            <w:pPr>
              <w:spacing w:line="360" w:lineRule="exact"/>
              <w:rPr>
                <w:rFonts w:hint="eastAsia" w:hAnsi="宋体"/>
                <w:bCs/>
                <w:sz w:val="22"/>
              </w:rPr>
            </w:pPr>
          </w:p>
        </w:tc>
        <w:tc>
          <w:tcPr>
            <w:tcW w:w="791" w:type="pct"/>
            <w:shd w:val="clear" w:color="auto" w:fill="FFFFFF" w:themeFill="background1"/>
          </w:tcPr>
          <w:p w14:paraId="56CBB9E6">
            <w:pPr>
              <w:spacing w:line="360" w:lineRule="exact"/>
              <w:rPr>
                <w:rFonts w:hint="eastAsia" w:hAnsi="宋体"/>
                <w:bCs/>
                <w:sz w:val="22"/>
              </w:rPr>
            </w:pPr>
          </w:p>
        </w:tc>
        <w:tc>
          <w:tcPr>
            <w:tcW w:w="562" w:type="pct"/>
            <w:shd w:val="clear" w:color="auto" w:fill="FFFFFF" w:themeFill="background1"/>
          </w:tcPr>
          <w:p w14:paraId="60A781AC">
            <w:pPr>
              <w:spacing w:line="360" w:lineRule="exact"/>
              <w:rPr>
                <w:rFonts w:hint="eastAsia" w:hAnsi="宋体"/>
                <w:bCs/>
                <w:sz w:val="22"/>
              </w:rPr>
            </w:pPr>
          </w:p>
        </w:tc>
        <w:tc>
          <w:tcPr>
            <w:tcW w:w="535" w:type="pct"/>
            <w:shd w:val="clear" w:color="auto" w:fill="FFFFFF" w:themeFill="background1"/>
          </w:tcPr>
          <w:p w14:paraId="15268A84">
            <w:pPr>
              <w:spacing w:line="360" w:lineRule="exact"/>
              <w:rPr>
                <w:rFonts w:hint="eastAsia" w:hAnsi="宋体"/>
                <w:bCs/>
                <w:sz w:val="22"/>
              </w:rPr>
            </w:pPr>
          </w:p>
        </w:tc>
        <w:tc>
          <w:tcPr>
            <w:tcW w:w="514" w:type="pct"/>
            <w:shd w:val="clear" w:color="auto" w:fill="FFFFFF" w:themeFill="background1"/>
          </w:tcPr>
          <w:p w14:paraId="029C9411">
            <w:pPr>
              <w:spacing w:line="360" w:lineRule="exact"/>
              <w:rPr>
                <w:rFonts w:hint="eastAsia" w:hAnsi="宋体"/>
                <w:bCs/>
                <w:sz w:val="22"/>
              </w:rPr>
            </w:pPr>
          </w:p>
        </w:tc>
      </w:tr>
      <w:tr w14:paraId="6642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tcPr>
          <w:p w14:paraId="45B6A9E9">
            <w:pPr>
              <w:spacing w:line="360" w:lineRule="exact"/>
              <w:rPr>
                <w:rFonts w:hint="eastAsia" w:hAnsi="宋体"/>
                <w:bCs/>
                <w:sz w:val="22"/>
              </w:rPr>
            </w:pPr>
          </w:p>
        </w:tc>
        <w:tc>
          <w:tcPr>
            <w:tcW w:w="457" w:type="pct"/>
            <w:shd w:val="clear" w:color="auto" w:fill="FFFFFF" w:themeFill="background1"/>
          </w:tcPr>
          <w:p w14:paraId="0BA12C69">
            <w:pPr>
              <w:spacing w:line="360" w:lineRule="exact"/>
              <w:rPr>
                <w:rFonts w:hint="eastAsia" w:hAnsi="宋体"/>
                <w:bCs/>
                <w:sz w:val="22"/>
              </w:rPr>
            </w:pPr>
          </w:p>
        </w:tc>
        <w:tc>
          <w:tcPr>
            <w:tcW w:w="492" w:type="pct"/>
            <w:shd w:val="clear" w:color="auto" w:fill="FFFFFF" w:themeFill="background1"/>
          </w:tcPr>
          <w:p w14:paraId="413166AD">
            <w:pPr>
              <w:spacing w:line="360" w:lineRule="exact"/>
              <w:rPr>
                <w:rFonts w:hint="eastAsia" w:hAnsi="宋体"/>
                <w:bCs/>
                <w:sz w:val="22"/>
              </w:rPr>
            </w:pPr>
          </w:p>
        </w:tc>
        <w:tc>
          <w:tcPr>
            <w:tcW w:w="501" w:type="pct"/>
            <w:shd w:val="clear" w:color="auto" w:fill="FFFFFF" w:themeFill="background1"/>
          </w:tcPr>
          <w:p w14:paraId="1F3CCCF9">
            <w:pPr>
              <w:spacing w:line="360" w:lineRule="exact"/>
              <w:rPr>
                <w:rFonts w:hint="eastAsia" w:hAnsi="宋体"/>
                <w:bCs/>
                <w:sz w:val="22"/>
              </w:rPr>
            </w:pPr>
          </w:p>
        </w:tc>
        <w:tc>
          <w:tcPr>
            <w:tcW w:w="491" w:type="pct"/>
            <w:shd w:val="clear" w:color="auto" w:fill="FFFFFF" w:themeFill="background1"/>
          </w:tcPr>
          <w:p w14:paraId="7A9022ED">
            <w:pPr>
              <w:spacing w:line="360" w:lineRule="exact"/>
              <w:rPr>
                <w:rFonts w:hint="eastAsia" w:hAnsi="宋体"/>
                <w:bCs/>
                <w:sz w:val="22"/>
              </w:rPr>
            </w:pPr>
          </w:p>
        </w:tc>
        <w:tc>
          <w:tcPr>
            <w:tcW w:w="791" w:type="pct"/>
            <w:shd w:val="clear" w:color="auto" w:fill="FFFFFF" w:themeFill="background1"/>
          </w:tcPr>
          <w:p w14:paraId="0698E054">
            <w:pPr>
              <w:spacing w:line="360" w:lineRule="exact"/>
              <w:rPr>
                <w:rFonts w:hint="eastAsia" w:hAnsi="宋体"/>
                <w:bCs/>
                <w:sz w:val="22"/>
              </w:rPr>
            </w:pPr>
          </w:p>
        </w:tc>
        <w:tc>
          <w:tcPr>
            <w:tcW w:w="562" w:type="pct"/>
            <w:shd w:val="clear" w:color="auto" w:fill="FFFFFF" w:themeFill="background1"/>
          </w:tcPr>
          <w:p w14:paraId="31E29E4E">
            <w:pPr>
              <w:spacing w:line="360" w:lineRule="exact"/>
              <w:rPr>
                <w:rFonts w:hint="eastAsia" w:hAnsi="宋体"/>
                <w:bCs/>
                <w:sz w:val="22"/>
              </w:rPr>
            </w:pPr>
          </w:p>
        </w:tc>
        <w:tc>
          <w:tcPr>
            <w:tcW w:w="535" w:type="pct"/>
            <w:shd w:val="clear" w:color="auto" w:fill="FFFFFF" w:themeFill="background1"/>
          </w:tcPr>
          <w:p w14:paraId="5DDFDB1E">
            <w:pPr>
              <w:spacing w:line="360" w:lineRule="exact"/>
              <w:rPr>
                <w:rFonts w:hint="eastAsia" w:hAnsi="宋体"/>
                <w:bCs/>
                <w:sz w:val="22"/>
              </w:rPr>
            </w:pPr>
          </w:p>
        </w:tc>
        <w:tc>
          <w:tcPr>
            <w:tcW w:w="514" w:type="pct"/>
            <w:shd w:val="clear" w:color="auto" w:fill="FFFFFF" w:themeFill="background1"/>
          </w:tcPr>
          <w:p w14:paraId="6FE6045C">
            <w:pPr>
              <w:spacing w:line="360" w:lineRule="exact"/>
              <w:rPr>
                <w:rFonts w:hint="eastAsia" w:hAnsi="宋体"/>
                <w:bCs/>
                <w:sz w:val="22"/>
              </w:rPr>
            </w:pPr>
          </w:p>
        </w:tc>
      </w:tr>
      <w:tr w14:paraId="22F06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tcPr>
          <w:p w14:paraId="11830B81">
            <w:pPr>
              <w:spacing w:line="360" w:lineRule="exact"/>
              <w:rPr>
                <w:rFonts w:hint="eastAsia" w:hAnsi="宋体"/>
                <w:bCs/>
                <w:sz w:val="22"/>
              </w:rPr>
            </w:pPr>
          </w:p>
        </w:tc>
        <w:tc>
          <w:tcPr>
            <w:tcW w:w="457" w:type="pct"/>
            <w:shd w:val="clear" w:color="auto" w:fill="FFFFFF" w:themeFill="background1"/>
          </w:tcPr>
          <w:p w14:paraId="6B5D17BF">
            <w:pPr>
              <w:spacing w:line="360" w:lineRule="exact"/>
              <w:rPr>
                <w:rFonts w:hint="eastAsia" w:hAnsi="宋体"/>
                <w:bCs/>
                <w:sz w:val="22"/>
              </w:rPr>
            </w:pPr>
          </w:p>
        </w:tc>
        <w:tc>
          <w:tcPr>
            <w:tcW w:w="492" w:type="pct"/>
            <w:shd w:val="clear" w:color="auto" w:fill="FFFFFF" w:themeFill="background1"/>
          </w:tcPr>
          <w:p w14:paraId="6D64E9F4">
            <w:pPr>
              <w:spacing w:line="360" w:lineRule="exact"/>
              <w:rPr>
                <w:rFonts w:hint="eastAsia" w:hAnsi="宋体"/>
                <w:bCs/>
                <w:sz w:val="22"/>
              </w:rPr>
            </w:pPr>
          </w:p>
        </w:tc>
        <w:tc>
          <w:tcPr>
            <w:tcW w:w="501" w:type="pct"/>
            <w:shd w:val="clear" w:color="auto" w:fill="FFFFFF" w:themeFill="background1"/>
          </w:tcPr>
          <w:p w14:paraId="53702150">
            <w:pPr>
              <w:spacing w:line="360" w:lineRule="exact"/>
              <w:rPr>
                <w:rFonts w:hint="eastAsia" w:hAnsi="宋体"/>
                <w:bCs/>
                <w:sz w:val="22"/>
              </w:rPr>
            </w:pPr>
          </w:p>
        </w:tc>
        <w:tc>
          <w:tcPr>
            <w:tcW w:w="491" w:type="pct"/>
            <w:shd w:val="clear" w:color="auto" w:fill="FFFFFF" w:themeFill="background1"/>
          </w:tcPr>
          <w:p w14:paraId="0FBAD4A7">
            <w:pPr>
              <w:spacing w:line="360" w:lineRule="exact"/>
              <w:rPr>
                <w:rFonts w:hint="eastAsia" w:hAnsi="宋体"/>
                <w:bCs/>
                <w:sz w:val="22"/>
              </w:rPr>
            </w:pPr>
          </w:p>
        </w:tc>
        <w:tc>
          <w:tcPr>
            <w:tcW w:w="791" w:type="pct"/>
            <w:shd w:val="clear" w:color="auto" w:fill="FFFFFF" w:themeFill="background1"/>
          </w:tcPr>
          <w:p w14:paraId="0D7CD54D">
            <w:pPr>
              <w:spacing w:line="360" w:lineRule="exact"/>
              <w:rPr>
                <w:rFonts w:hint="eastAsia" w:hAnsi="宋体"/>
                <w:bCs/>
                <w:sz w:val="22"/>
              </w:rPr>
            </w:pPr>
          </w:p>
        </w:tc>
        <w:tc>
          <w:tcPr>
            <w:tcW w:w="562" w:type="pct"/>
            <w:shd w:val="clear" w:color="auto" w:fill="FFFFFF" w:themeFill="background1"/>
          </w:tcPr>
          <w:p w14:paraId="090F9B28">
            <w:pPr>
              <w:spacing w:line="360" w:lineRule="exact"/>
              <w:rPr>
                <w:rFonts w:hint="eastAsia" w:hAnsi="宋体"/>
                <w:bCs/>
                <w:sz w:val="22"/>
              </w:rPr>
            </w:pPr>
          </w:p>
        </w:tc>
        <w:tc>
          <w:tcPr>
            <w:tcW w:w="535" w:type="pct"/>
            <w:shd w:val="clear" w:color="auto" w:fill="FFFFFF" w:themeFill="background1"/>
          </w:tcPr>
          <w:p w14:paraId="36BFF924">
            <w:pPr>
              <w:spacing w:line="360" w:lineRule="exact"/>
              <w:rPr>
                <w:rFonts w:hint="eastAsia" w:hAnsi="宋体"/>
                <w:bCs/>
                <w:sz w:val="22"/>
              </w:rPr>
            </w:pPr>
          </w:p>
        </w:tc>
        <w:tc>
          <w:tcPr>
            <w:tcW w:w="514" w:type="pct"/>
            <w:shd w:val="clear" w:color="auto" w:fill="FFFFFF" w:themeFill="background1"/>
          </w:tcPr>
          <w:p w14:paraId="7DC5A8F9">
            <w:pPr>
              <w:spacing w:line="360" w:lineRule="exact"/>
              <w:rPr>
                <w:rFonts w:hint="eastAsia" w:hAnsi="宋体"/>
                <w:bCs/>
                <w:sz w:val="22"/>
              </w:rPr>
            </w:pPr>
          </w:p>
        </w:tc>
      </w:tr>
    </w:tbl>
    <w:p w14:paraId="7B0FEB58">
      <w:pPr>
        <w:pStyle w:val="32"/>
        <w:rPr>
          <w:rFonts w:hint="eastAsia" w:hAnsi="宋体" w:cs="宋体"/>
          <w:color w:val="000000"/>
        </w:rPr>
      </w:pPr>
    </w:p>
    <w:p w14:paraId="2CC49996">
      <w:pPr>
        <w:rPr>
          <w:rFonts w:hint="eastAsia" w:hAnsi="宋体"/>
          <w:color w:val="000000"/>
        </w:rPr>
      </w:pPr>
      <w:r>
        <w:rPr>
          <w:rFonts w:hint="eastAsia" w:hAnsi="宋体"/>
          <w:color w:val="000000"/>
        </w:rPr>
        <w:t>注：本表可根据实际情况自行调整</w:t>
      </w:r>
    </w:p>
    <w:p w14:paraId="0D44EAD5">
      <w:pPr>
        <w:rPr>
          <w:rFonts w:hint="eastAsia" w:hAnsi="宋体"/>
          <w:color w:val="000000"/>
          <w:sz w:val="28"/>
          <w:szCs w:val="28"/>
        </w:rPr>
      </w:pPr>
    </w:p>
    <w:p w14:paraId="27F1B0F7">
      <w:pPr>
        <w:rPr>
          <w:rFonts w:hint="eastAsia" w:hAnsi="宋体"/>
          <w:color w:val="000000"/>
          <w:sz w:val="28"/>
          <w:szCs w:val="28"/>
        </w:rPr>
      </w:pPr>
    </w:p>
    <w:p w14:paraId="7E1EC76C">
      <w:pPr>
        <w:spacing w:line="360" w:lineRule="exact"/>
        <w:ind w:right="2100" w:rightChars="1000"/>
        <w:jc w:val="left"/>
        <w:rPr>
          <w:rFonts w:hint="eastAsia" w:hAnsi="宋体"/>
          <w:snapToGrid w:val="0"/>
          <w:sz w:val="22"/>
        </w:rPr>
      </w:pPr>
      <w:r>
        <w:rPr>
          <w:rFonts w:hint="eastAsia" w:hAnsi="宋体"/>
          <w:snapToGrid w:val="0"/>
          <w:sz w:val="22"/>
          <w:lang w:val="zh-CN"/>
        </w:rPr>
        <w:t>法定代表人（</w:t>
      </w:r>
      <w:r>
        <w:rPr>
          <w:rFonts w:hint="eastAsia" w:hAnsi="宋体"/>
          <w:snapToGrid w:val="0"/>
          <w:sz w:val="22"/>
        </w:rPr>
        <w:t>单位负责人</w:t>
      </w:r>
      <w:r>
        <w:rPr>
          <w:rFonts w:hint="eastAsia" w:hAnsi="宋体"/>
          <w:snapToGrid w:val="0"/>
          <w:sz w:val="22"/>
          <w:lang w:val="zh-CN"/>
        </w:rPr>
        <w:t>）或其授权代表（签字</w:t>
      </w:r>
      <w:r>
        <w:rPr>
          <w:rFonts w:hint="eastAsia" w:hAnsi="宋体"/>
          <w:snapToGrid w:val="0"/>
          <w:sz w:val="22"/>
        </w:rPr>
        <w:t>或盖章</w:t>
      </w:r>
      <w:r>
        <w:rPr>
          <w:rFonts w:hint="eastAsia" w:hAnsi="宋体"/>
          <w:snapToGrid w:val="0"/>
          <w:sz w:val="22"/>
          <w:lang w:val="zh-CN"/>
        </w:rPr>
        <w:t>）</w:t>
      </w:r>
      <w:r>
        <w:rPr>
          <w:rFonts w:hint="eastAsia" w:hAnsi="宋体"/>
          <w:snapToGrid w:val="0"/>
          <w:sz w:val="22"/>
        </w:rPr>
        <w:t xml:space="preserve">：                   </w:t>
      </w:r>
    </w:p>
    <w:p w14:paraId="7DD57650">
      <w:pPr>
        <w:spacing w:line="360" w:lineRule="exact"/>
        <w:ind w:right="2100" w:rightChars="1000"/>
        <w:jc w:val="left"/>
        <w:rPr>
          <w:rFonts w:hint="eastAsia" w:hAnsi="宋体"/>
          <w:snapToGrid w:val="0"/>
          <w:sz w:val="22"/>
        </w:rPr>
      </w:pPr>
      <w:r>
        <w:rPr>
          <w:rFonts w:hint="eastAsia" w:hAnsi="宋体"/>
          <w:snapToGrid w:val="0"/>
          <w:sz w:val="22"/>
        </w:rPr>
        <w:t xml:space="preserve">投标人名称（盖章）：                        </w:t>
      </w:r>
    </w:p>
    <w:p w14:paraId="0128D37A">
      <w:pPr>
        <w:spacing w:line="360" w:lineRule="exact"/>
        <w:ind w:right="2100" w:rightChars="1000"/>
        <w:jc w:val="left"/>
        <w:rPr>
          <w:rFonts w:hint="eastAsia" w:hAnsi="宋体"/>
          <w:snapToGrid w:val="0"/>
          <w:sz w:val="22"/>
        </w:rPr>
      </w:pPr>
      <w:r>
        <w:rPr>
          <w:rFonts w:hint="eastAsia" w:hAnsi="宋体"/>
          <w:snapToGrid w:val="0"/>
          <w:sz w:val="22"/>
        </w:rPr>
        <w:t>日期：   年   月   日</w:t>
      </w:r>
    </w:p>
    <w:p w14:paraId="16459EE7">
      <w:pPr>
        <w:widowControl w:val="0"/>
        <w:adjustRightInd/>
        <w:snapToGrid/>
        <w:jc w:val="right"/>
        <w:rPr>
          <w:rFonts w:hint="eastAsia" w:hAnsi="宋体"/>
          <w:bCs/>
          <w:color w:val="000000"/>
          <w:sz w:val="24"/>
        </w:rPr>
      </w:pPr>
    </w:p>
    <w:p w14:paraId="07EDC483">
      <w:pPr>
        <w:rPr>
          <w:rFonts w:hint="eastAsia" w:hAnsi="宋体"/>
          <w:bCs/>
          <w:color w:val="000000"/>
          <w:sz w:val="24"/>
        </w:rPr>
      </w:pPr>
    </w:p>
    <w:p w14:paraId="4798843C">
      <w:pPr>
        <w:rPr>
          <w:rFonts w:hint="eastAsia" w:hAnsi="宋体"/>
          <w:b/>
          <w:bCs/>
          <w:color w:val="000000"/>
          <w:sz w:val="28"/>
          <w:szCs w:val="28"/>
        </w:rPr>
      </w:pPr>
      <w:r>
        <w:rPr>
          <w:rFonts w:hint="eastAsia" w:hAnsi="宋体"/>
          <w:b/>
          <w:bCs/>
          <w:color w:val="000000"/>
          <w:sz w:val="28"/>
          <w:szCs w:val="28"/>
        </w:rPr>
        <w:br w:type="page"/>
      </w:r>
    </w:p>
    <w:p w14:paraId="4115BB30">
      <w:pPr>
        <w:pStyle w:val="5"/>
        <w:numPr>
          <w:ilvl w:val="0"/>
          <w:numId w:val="0"/>
        </w:numPr>
        <w:tabs>
          <w:tab w:val="clear" w:pos="1680"/>
        </w:tabs>
        <w:jc w:val="left"/>
        <w:rPr>
          <w:bCs w:val="0"/>
        </w:rPr>
      </w:pPr>
      <w:bookmarkStart w:id="99" w:name="_Toc19749"/>
      <w:bookmarkStart w:id="100" w:name="_Toc9518"/>
      <w:r>
        <w:rPr>
          <w:rFonts w:hint="eastAsia"/>
          <w:bCs w:val="0"/>
        </w:rPr>
        <w:t>十三、项目实施方案</w:t>
      </w:r>
      <w:bookmarkEnd w:id="99"/>
      <w:bookmarkEnd w:id="100"/>
    </w:p>
    <w:p w14:paraId="79BB0A3C">
      <w:pPr>
        <w:outlineLvl w:val="1"/>
        <w:rPr>
          <w:rFonts w:hint="eastAsia" w:hAnsi="宋体"/>
          <w:b/>
          <w:bCs/>
          <w:color w:val="000000"/>
          <w:sz w:val="22"/>
          <w:szCs w:val="28"/>
        </w:rPr>
      </w:pPr>
      <w:bookmarkStart w:id="101" w:name="_Toc29380"/>
      <w:bookmarkStart w:id="102" w:name="_Toc13553"/>
      <w:bookmarkStart w:id="103" w:name="_Toc4737"/>
      <w:bookmarkStart w:id="104" w:name="_Toc2417"/>
      <w:bookmarkStart w:id="105" w:name="_Toc13387"/>
      <w:bookmarkStart w:id="106" w:name="_Toc28157"/>
      <w:bookmarkStart w:id="107" w:name="_Toc2487"/>
      <w:bookmarkStart w:id="108" w:name="_Toc2805"/>
      <w:r>
        <w:rPr>
          <w:rFonts w:hint="eastAsia" w:hAnsi="宋体"/>
          <w:b/>
          <w:bCs/>
          <w:color w:val="000000"/>
          <w:sz w:val="22"/>
          <w:szCs w:val="28"/>
        </w:rPr>
        <w:t>（一）</w:t>
      </w:r>
      <w:bookmarkEnd w:id="101"/>
      <w:bookmarkEnd w:id="102"/>
      <w:bookmarkEnd w:id="103"/>
      <w:r>
        <w:rPr>
          <w:rFonts w:hint="eastAsia" w:hAnsi="宋体"/>
          <w:b/>
          <w:bCs/>
          <w:color w:val="000000"/>
          <w:sz w:val="22"/>
          <w:szCs w:val="28"/>
        </w:rPr>
        <w:t>服务方案</w:t>
      </w:r>
      <w:bookmarkEnd w:id="104"/>
      <w:bookmarkEnd w:id="105"/>
      <w:bookmarkEnd w:id="106"/>
      <w:bookmarkEnd w:id="107"/>
      <w:bookmarkEnd w:id="108"/>
    </w:p>
    <w:p w14:paraId="17848BEC">
      <w:pPr>
        <w:jc w:val="left"/>
        <w:rPr>
          <w:rFonts w:hint="eastAsia" w:hAnsi="宋体"/>
          <w:color w:val="000000"/>
        </w:rPr>
      </w:pPr>
      <w:r>
        <w:rPr>
          <w:rFonts w:hint="eastAsia" w:hAnsi="宋体"/>
          <w:color w:val="000000"/>
        </w:rPr>
        <w:t>注：此处由投标人根据评分表要求内容及自身情况拟写。</w:t>
      </w:r>
    </w:p>
    <w:p w14:paraId="52F89468">
      <w:pPr>
        <w:rPr>
          <w:rFonts w:hint="eastAsia" w:hAnsi="宋体"/>
          <w:color w:val="000000"/>
        </w:rPr>
      </w:pPr>
    </w:p>
    <w:p w14:paraId="2562320C">
      <w:pPr>
        <w:outlineLvl w:val="1"/>
        <w:rPr>
          <w:rFonts w:hint="eastAsia" w:hAnsi="宋体"/>
          <w:color w:val="000000"/>
        </w:rPr>
      </w:pPr>
      <w:bookmarkStart w:id="109" w:name="_Toc20358"/>
      <w:bookmarkStart w:id="110" w:name="_Toc6837"/>
      <w:bookmarkStart w:id="111" w:name="_Toc18552"/>
      <w:bookmarkStart w:id="112" w:name="_Toc7892"/>
      <w:bookmarkStart w:id="113" w:name="_Toc9941"/>
      <w:bookmarkStart w:id="114" w:name="_Toc8229"/>
      <w:bookmarkStart w:id="115" w:name="_Toc10351"/>
      <w:bookmarkStart w:id="116" w:name="_Toc12868"/>
      <w:r>
        <w:rPr>
          <w:rFonts w:hint="eastAsia" w:hAnsi="宋体"/>
          <w:b/>
          <w:bCs/>
          <w:color w:val="000000"/>
          <w:sz w:val="22"/>
          <w:szCs w:val="28"/>
        </w:rPr>
        <w:t>（二）</w:t>
      </w:r>
      <w:bookmarkEnd w:id="109"/>
      <w:bookmarkEnd w:id="110"/>
      <w:bookmarkEnd w:id="111"/>
      <w:r>
        <w:rPr>
          <w:rFonts w:hint="eastAsia" w:hAnsi="宋体"/>
          <w:b/>
          <w:bCs/>
          <w:color w:val="000000"/>
          <w:sz w:val="22"/>
          <w:szCs w:val="28"/>
        </w:rPr>
        <w:t>项目重点难点分析、应对措施及相关的合理化建议</w:t>
      </w:r>
      <w:bookmarkEnd w:id="112"/>
      <w:bookmarkEnd w:id="113"/>
      <w:bookmarkEnd w:id="114"/>
      <w:bookmarkEnd w:id="115"/>
      <w:bookmarkEnd w:id="116"/>
    </w:p>
    <w:p w14:paraId="4326CF26">
      <w:pPr>
        <w:jc w:val="left"/>
        <w:rPr>
          <w:rFonts w:hint="eastAsia" w:hAnsi="宋体"/>
          <w:color w:val="000000"/>
        </w:rPr>
      </w:pPr>
      <w:r>
        <w:rPr>
          <w:rFonts w:hint="eastAsia" w:hAnsi="宋体"/>
          <w:color w:val="000000"/>
        </w:rPr>
        <w:t>注：此处由投标人根据评分表要求内容及自身情况拟写。</w:t>
      </w:r>
    </w:p>
    <w:p w14:paraId="42E5C803">
      <w:pPr>
        <w:rPr>
          <w:rFonts w:hint="eastAsia" w:hAnsi="宋体"/>
          <w:color w:val="000000"/>
        </w:rPr>
      </w:pPr>
    </w:p>
    <w:p w14:paraId="0436E174">
      <w:pPr>
        <w:outlineLvl w:val="1"/>
        <w:rPr>
          <w:rFonts w:hint="eastAsia" w:hAnsi="宋体"/>
          <w:b/>
          <w:bCs/>
          <w:color w:val="000000"/>
          <w:sz w:val="22"/>
          <w:szCs w:val="28"/>
        </w:rPr>
      </w:pPr>
      <w:bookmarkStart w:id="117" w:name="_Toc21539"/>
      <w:bookmarkStart w:id="118" w:name="_Toc9532"/>
      <w:bookmarkStart w:id="119" w:name="_Toc4916"/>
      <w:bookmarkStart w:id="120" w:name="_Toc10166"/>
      <w:bookmarkStart w:id="121" w:name="_Toc9399"/>
      <w:bookmarkStart w:id="122" w:name="_Toc19681"/>
      <w:bookmarkStart w:id="123" w:name="_Toc14814"/>
      <w:bookmarkStart w:id="124" w:name="_Toc20909"/>
      <w:r>
        <w:rPr>
          <w:rFonts w:hint="eastAsia" w:hAnsi="宋体"/>
          <w:b/>
          <w:bCs/>
          <w:color w:val="000000"/>
          <w:sz w:val="22"/>
          <w:szCs w:val="28"/>
        </w:rPr>
        <w:t>（三）</w:t>
      </w:r>
      <w:bookmarkEnd w:id="117"/>
      <w:bookmarkEnd w:id="118"/>
      <w:bookmarkEnd w:id="119"/>
      <w:r>
        <w:rPr>
          <w:rFonts w:hint="eastAsia" w:hAnsi="宋体"/>
          <w:b/>
          <w:bCs/>
          <w:color w:val="000000"/>
          <w:sz w:val="22"/>
          <w:szCs w:val="28"/>
        </w:rPr>
        <w:t>质量（完成时间、安全、环保）保障措施及方案</w:t>
      </w:r>
      <w:bookmarkEnd w:id="120"/>
      <w:bookmarkEnd w:id="121"/>
      <w:bookmarkEnd w:id="122"/>
      <w:bookmarkEnd w:id="123"/>
      <w:bookmarkEnd w:id="124"/>
    </w:p>
    <w:p w14:paraId="4873C1C2">
      <w:pPr>
        <w:jc w:val="left"/>
        <w:rPr>
          <w:rFonts w:hint="eastAsia" w:hAnsi="宋体"/>
          <w:color w:val="000000"/>
        </w:rPr>
      </w:pPr>
      <w:r>
        <w:rPr>
          <w:rFonts w:hint="eastAsia" w:hAnsi="宋体"/>
          <w:color w:val="000000"/>
        </w:rPr>
        <w:t>注：此处由投标人根据评分表要求内容及自身情况拟写。</w:t>
      </w:r>
    </w:p>
    <w:p w14:paraId="1BDD062C">
      <w:pPr>
        <w:rPr>
          <w:rFonts w:hint="eastAsia" w:hAnsi="宋体"/>
          <w:color w:val="000000"/>
        </w:rPr>
      </w:pPr>
    </w:p>
    <w:p w14:paraId="09427F88">
      <w:pPr>
        <w:outlineLvl w:val="1"/>
        <w:rPr>
          <w:rFonts w:hint="eastAsia" w:hAnsi="宋体"/>
          <w:b/>
          <w:bCs/>
          <w:color w:val="000000"/>
          <w:sz w:val="22"/>
          <w:szCs w:val="28"/>
        </w:rPr>
      </w:pPr>
      <w:bookmarkStart w:id="125" w:name="_Toc23834"/>
      <w:bookmarkStart w:id="126" w:name="_Toc29521"/>
      <w:bookmarkStart w:id="127" w:name="_Toc13520"/>
      <w:bookmarkStart w:id="128" w:name="_Toc16255"/>
      <w:bookmarkStart w:id="129" w:name="_Toc12218"/>
      <w:bookmarkStart w:id="130" w:name="_Toc31317"/>
      <w:bookmarkStart w:id="131" w:name="_Toc31611"/>
      <w:bookmarkStart w:id="132" w:name="_Toc14000"/>
      <w:r>
        <w:rPr>
          <w:rFonts w:hint="eastAsia" w:hAnsi="宋体"/>
          <w:b/>
          <w:bCs/>
          <w:color w:val="000000"/>
          <w:sz w:val="22"/>
          <w:szCs w:val="28"/>
        </w:rPr>
        <w:t>（四）</w:t>
      </w:r>
      <w:bookmarkEnd w:id="125"/>
      <w:bookmarkEnd w:id="126"/>
      <w:bookmarkEnd w:id="127"/>
      <w:r>
        <w:rPr>
          <w:rFonts w:hint="eastAsia" w:hAnsi="宋体"/>
          <w:b/>
          <w:bCs/>
          <w:color w:val="000000"/>
          <w:sz w:val="22"/>
          <w:szCs w:val="28"/>
        </w:rPr>
        <w:t>服务响应情况</w:t>
      </w:r>
      <w:bookmarkEnd w:id="128"/>
      <w:bookmarkEnd w:id="129"/>
      <w:bookmarkEnd w:id="130"/>
      <w:bookmarkEnd w:id="131"/>
      <w:bookmarkEnd w:id="132"/>
    </w:p>
    <w:p w14:paraId="57234B10">
      <w:pPr>
        <w:jc w:val="left"/>
        <w:rPr>
          <w:rFonts w:hint="eastAsia" w:hAnsi="宋体"/>
          <w:color w:val="000000"/>
        </w:rPr>
      </w:pPr>
      <w:r>
        <w:rPr>
          <w:rFonts w:hint="eastAsia" w:hAnsi="宋体"/>
          <w:color w:val="000000"/>
        </w:rPr>
        <w:t>注：此处由投标人根据评分表要求的承诺内容及自身情况拟写。</w:t>
      </w:r>
    </w:p>
    <w:p w14:paraId="000389AC">
      <w:pPr>
        <w:pStyle w:val="44"/>
        <w:rPr>
          <w:rFonts w:hint="eastAsia" w:hAnsi="宋体" w:cs="宋体"/>
          <w:color w:val="000000"/>
        </w:rPr>
      </w:pPr>
    </w:p>
    <w:p w14:paraId="22C52B55">
      <w:pPr>
        <w:outlineLvl w:val="1"/>
        <w:rPr>
          <w:rFonts w:hint="eastAsia" w:hAnsi="宋体"/>
          <w:b/>
          <w:bCs/>
          <w:color w:val="000000"/>
          <w:sz w:val="22"/>
          <w:szCs w:val="28"/>
        </w:rPr>
      </w:pPr>
      <w:bookmarkStart w:id="133" w:name="_Toc10453"/>
      <w:bookmarkStart w:id="134" w:name="_Toc22860"/>
      <w:bookmarkStart w:id="135" w:name="_Toc4742"/>
      <w:bookmarkStart w:id="136" w:name="_Toc19919"/>
      <w:bookmarkStart w:id="137" w:name="_Toc13068"/>
      <w:r>
        <w:rPr>
          <w:rFonts w:hint="eastAsia" w:hAnsi="宋体"/>
          <w:b/>
          <w:bCs/>
          <w:color w:val="000000"/>
          <w:sz w:val="22"/>
          <w:szCs w:val="28"/>
        </w:rPr>
        <w:t>（五）项目完成（服务期满）后的服务承诺</w:t>
      </w:r>
      <w:bookmarkEnd w:id="133"/>
      <w:bookmarkEnd w:id="134"/>
      <w:bookmarkEnd w:id="135"/>
      <w:bookmarkEnd w:id="136"/>
      <w:bookmarkEnd w:id="137"/>
    </w:p>
    <w:p w14:paraId="011C16EE">
      <w:pPr>
        <w:jc w:val="left"/>
        <w:rPr>
          <w:rFonts w:hint="eastAsia" w:hAnsi="宋体"/>
          <w:color w:val="000000"/>
        </w:rPr>
      </w:pPr>
      <w:r>
        <w:rPr>
          <w:rFonts w:hint="eastAsia" w:hAnsi="宋体"/>
          <w:color w:val="000000"/>
        </w:rPr>
        <w:t>注：此处由投标人根据评分表要求的承诺内容及自身情况拟写。</w:t>
      </w:r>
    </w:p>
    <w:p w14:paraId="2DA8487F">
      <w:pPr>
        <w:pStyle w:val="44"/>
        <w:rPr>
          <w:rFonts w:hint="eastAsia" w:hAnsi="宋体" w:cs="宋体"/>
          <w:color w:val="000000"/>
        </w:rPr>
      </w:pPr>
    </w:p>
    <w:p w14:paraId="2BF1E96C">
      <w:pPr>
        <w:outlineLvl w:val="1"/>
        <w:rPr>
          <w:rFonts w:hint="eastAsia" w:hAnsi="宋体"/>
          <w:b/>
          <w:bCs/>
          <w:color w:val="000000"/>
          <w:sz w:val="22"/>
          <w:szCs w:val="28"/>
        </w:rPr>
      </w:pPr>
      <w:bookmarkStart w:id="138" w:name="_Toc8340"/>
      <w:bookmarkStart w:id="139" w:name="_Toc1736"/>
      <w:bookmarkStart w:id="140" w:name="_Toc8105"/>
      <w:bookmarkStart w:id="141" w:name="_Toc24111"/>
      <w:bookmarkStart w:id="142" w:name="_Toc18727"/>
      <w:r>
        <w:rPr>
          <w:rFonts w:hint="eastAsia" w:hAnsi="宋体"/>
          <w:b/>
          <w:bCs/>
          <w:color w:val="000000"/>
          <w:sz w:val="22"/>
          <w:szCs w:val="28"/>
        </w:rPr>
        <w:t>（六）违约承诺</w:t>
      </w:r>
      <w:bookmarkEnd w:id="138"/>
      <w:bookmarkEnd w:id="139"/>
      <w:bookmarkEnd w:id="140"/>
      <w:bookmarkEnd w:id="141"/>
      <w:bookmarkEnd w:id="142"/>
    </w:p>
    <w:p w14:paraId="7A94A12F">
      <w:pPr>
        <w:jc w:val="left"/>
        <w:rPr>
          <w:rFonts w:hint="eastAsia" w:hAnsi="宋体"/>
          <w:color w:val="000000"/>
        </w:rPr>
      </w:pPr>
      <w:r>
        <w:rPr>
          <w:rFonts w:hint="eastAsia" w:hAnsi="宋体"/>
          <w:color w:val="000000"/>
        </w:rPr>
        <w:t>注：此处由投标人根据评分表要求的承诺内容及自身情况拟写。</w:t>
      </w:r>
    </w:p>
    <w:p w14:paraId="32F876D2">
      <w:pPr>
        <w:rPr>
          <w:rFonts w:hint="eastAsia" w:hAnsi="宋体"/>
          <w:bCs/>
          <w:sz w:val="24"/>
        </w:rPr>
      </w:pPr>
      <w:r>
        <w:rPr>
          <w:rFonts w:hint="eastAsia" w:hAnsi="宋体"/>
          <w:bCs/>
          <w:sz w:val="24"/>
        </w:rPr>
        <w:br w:type="page"/>
      </w:r>
    </w:p>
    <w:p w14:paraId="00F31BC0">
      <w:pPr>
        <w:pStyle w:val="5"/>
        <w:numPr>
          <w:ilvl w:val="0"/>
          <w:numId w:val="0"/>
        </w:numPr>
        <w:tabs>
          <w:tab w:val="clear" w:pos="1680"/>
        </w:tabs>
        <w:jc w:val="left"/>
        <w:rPr>
          <w:bCs w:val="0"/>
        </w:rPr>
      </w:pPr>
      <w:r>
        <w:rPr>
          <w:rFonts w:hint="eastAsia"/>
          <w:bCs w:val="0"/>
        </w:rPr>
        <w:t>十四、商务条款偏离表</w:t>
      </w:r>
    </w:p>
    <w:p w14:paraId="097C56D7">
      <w:pPr>
        <w:spacing w:line="360" w:lineRule="exact"/>
        <w:rPr>
          <w:bCs/>
          <w:sz w:val="22"/>
        </w:rPr>
      </w:pPr>
      <w:r>
        <w:rPr>
          <w:bCs/>
          <w:sz w:val="22"/>
        </w:rPr>
        <w:t xml:space="preserve">投标人名称：                                   项目编号：                        </w:t>
      </w: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210"/>
        <w:gridCol w:w="2325"/>
        <w:gridCol w:w="2633"/>
        <w:gridCol w:w="1704"/>
        <w:gridCol w:w="929"/>
      </w:tblGrid>
      <w:tr w14:paraId="24553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pct"/>
          </w:tcPr>
          <w:p w14:paraId="021C3187">
            <w:pPr>
              <w:spacing w:line="360" w:lineRule="exact"/>
              <w:jc w:val="center"/>
              <w:rPr>
                <w:bCs/>
                <w:sz w:val="22"/>
              </w:rPr>
            </w:pPr>
            <w:r>
              <w:rPr>
                <w:bCs/>
                <w:sz w:val="22"/>
              </w:rPr>
              <w:t>序号</w:t>
            </w:r>
          </w:p>
        </w:tc>
        <w:tc>
          <w:tcPr>
            <w:tcW w:w="632" w:type="pct"/>
          </w:tcPr>
          <w:p w14:paraId="0EA4C899">
            <w:pPr>
              <w:spacing w:line="360" w:lineRule="exact"/>
              <w:jc w:val="center"/>
              <w:rPr>
                <w:bCs/>
                <w:sz w:val="22"/>
              </w:rPr>
            </w:pPr>
            <w:r>
              <w:rPr>
                <w:bCs/>
                <w:sz w:val="22"/>
              </w:rPr>
              <w:t>目录</w:t>
            </w:r>
          </w:p>
        </w:tc>
        <w:tc>
          <w:tcPr>
            <w:tcW w:w="1214" w:type="pct"/>
            <w:vAlign w:val="center"/>
          </w:tcPr>
          <w:p w14:paraId="62B0486C">
            <w:pPr>
              <w:spacing w:line="360" w:lineRule="exact"/>
              <w:jc w:val="center"/>
              <w:rPr>
                <w:bCs/>
                <w:sz w:val="22"/>
              </w:rPr>
            </w:pPr>
            <w:r>
              <w:rPr>
                <w:rFonts w:hint="eastAsia"/>
                <w:bCs/>
                <w:sz w:val="22"/>
              </w:rPr>
              <w:t>招标</w:t>
            </w:r>
            <w:r>
              <w:rPr>
                <w:bCs/>
                <w:sz w:val="22"/>
              </w:rPr>
              <w:t>商务</w:t>
            </w:r>
            <w:r>
              <w:rPr>
                <w:rFonts w:hint="eastAsia"/>
                <w:bCs/>
                <w:sz w:val="22"/>
              </w:rPr>
              <w:t>要</w:t>
            </w:r>
            <w:r>
              <w:rPr>
                <w:bCs/>
                <w:sz w:val="22"/>
              </w:rPr>
              <w:t>求</w:t>
            </w:r>
          </w:p>
        </w:tc>
        <w:tc>
          <w:tcPr>
            <w:tcW w:w="1375" w:type="pct"/>
            <w:vAlign w:val="center"/>
          </w:tcPr>
          <w:p w14:paraId="1FD73E3A">
            <w:pPr>
              <w:spacing w:line="360" w:lineRule="exact"/>
              <w:jc w:val="center"/>
              <w:rPr>
                <w:bCs/>
                <w:sz w:val="22"/>
              </w:rPr>
            </w:pPr>
            <w:r>
              <w:rPr>
                <w:bCs/>
                <w:sz w:val="22"/>
              </w:rPr>
              <w:t>投标商务响应</w:t>
            </w:r>
          </w:p>
        </w:tc>
        <w:tc>
          <w:tcPr>
            <w:tcW w:w="890" w:type="pct"/>
          </w:tcPr>
          <w:p w14:paraId="1F7AF0EB">
            <w:pPr>
              <w:spacing w:line="360" w:lineRule="exact"/>
              <w:jc w:val="center"/>
              <w:rPr>
                <w:bCs/>
                <w:sz w:val="22"/>
              </w:rPr>
            </w:pPr>
            <w:r>
              <w:rPr>
                <w:bCs/>
                <w:sz w:val="22"/>
              </w:rPr>
              <w:t>偏离情况</w:t>
            </w:r>
          </w:p>
        </w:tc>
        <w:tc>
          <w:tcPr>
            <w:tcW w:w="485" w:type="pct"/>
          </w:tcPr>
          <w:p w14:paraId="4A79238A">
            <w:pPr>
              <w:spacing w:line="360" w:lineRule="exact"/>
              <w:jc w:val="center"/>
              <w:rPr>
                <w:bCs/>
                <w:sz w:val="22"/>
              </w:rPr>
            </w:pPr>
            <w:r>
              <w:rPr>
                <w:bCs/>
                <w:sz w:val="22"/>
              </w:rPr>
              <w:t>说明</w:t>
            </w:r>
          </w:p>
        </w:tc>
      </w:tr>
      <w:tr w14:paraId="1964D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pct"/>
            <w:vAlign w:val="center"/>
          </w:tcPr>
          <w:p w14:paraId="748BD191">
            <w:pPr>
              <w:spacing w:line="360" w:lineRule="exact"/>
              <w:jc w:val="center"/>
              <w:rPr>
                <w:sz w:val="22"/>
              </w:rPr>
            </w:pPr>
            <w:r>
              <w:rPr>
                <w:rFonts w:hint="eastAsia"/>
                <w:sz w:val="22"/>
              </w:rPr>
              <w:t>1</w:t>
            </w:r>
          </w:p>
        </w:tc>
        <w:tc>
          <w:tcPr>
            <w:tcW w:w="632" w:type="pct"/>
            <w:vAlign w:val="center"/>
          </w:tcPr>
          <w:p w14:paraId="32F3A15C">
            <w:pPr>
              <w:spacing w:line="360" w:lineRule="exact"/>
              <w:rPr>
                <w:sz w:val="22"/>
              </w:rPr>
            </w:pPr>
          </w:p>
        </w:tc>
        <w:tc>
          <w:tcPr>
            <w:tcW w:w="1214" w:type="pct"/>
          </w:tcPr>
          <w:p w14:paraId="47821FA9">
            <w:pPr>
              <w:spacing w:line="360" w:lineRule="exact"/>
              <w:rPr>
                <w:sz w:val="22"/>
              </w:rPr>
            </w:pPr>
          </w:p>
        </w:tc>
        <w:tc>
          <w:tcPr>
            <w:tcW w:w="1375" w:type="pct"/>
          </w:tcPr>
          <w:p w14:paraId="66057D0B">
            <w:pPr>
              <w:spacing w:line="360" w:lineRule="exact"/>
              <w:rPr>
                <w:sz w:val="22"/>
              </w:rPr>
            </w:pPr>
          </w:p>
        </w:tc>
        <w:tc>
          <w:tcPr>
            <w:tcW w:w="890" w:type="pct"/>
          </w:tcPr>
          <w:p w14:paraId="7B9B095A">
            <w:pPr>
              <w:spacing w:line="360" w:lineRule="exact"/>
              <w:rPr>
                <w:sz w:val="22"/>
              </w:rPr>
            </w:pPr>
          </w:p>
        </w:tc>
        <w:tc>
          <w:tcPr>
            <w:tcW w:w="485" w:type="pct"/>
          </w:tcPr>
          <w:p w14:paraId="05C2B34A">
            <w:pPr>
              <w:spacing w:line="360" w:lineRule="exact"/>
              <w:rPr>
                <w:sz w:val="22"/>
              </w:rPr>
            </w:pPr>
          </w:p>
        </w:tc>
      </w:tr>
      <w:tr w14:paraId="1553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pct"/>
            <w:vAlign w:val="center"/>
          </w:tcPr>
          <w:p w14:paraId="4DDCEFC8">
            <w:pPr>
              <w:spacing w:line="360" w:lineRule="exact"/>
              <w:jc w:val="center"/>
              <w:rPr>
                <w:sz w:val="22"/>
              </w:rPr>
            </w:pPr>
            <w:r>
              <w:rPr>
                <w:rFonts w:hint="eastAsia"/>
                <w:sz w:val="22"/>
              </w:rPr>
              <w:t>...</w:t>
            </w:r>
          </w:p>
        </w:tc>
        <w:tc>
          <w:tcPr>
            <w:tcW w:w="632" w:type="pct"/>
            <w:vAlign w:val="center"/>
          </w:tcPr>
          <w:p w14:paraId="2FE79D8E">
            <w:pPr>
              <w:spacing w:line="360" w:lineRule="exact"/>
              <w:rPr>
                <w:sz w:val="22"/>
              </w:rPr>
            </w:pPr>
          </w:p>
        </w:tc>
        <w:tc>
          <w:tcPr>
            <w:tcW w:w="1214" w:type="pct"/>
          </w:tcPr>
          <w:p w14:paraId="63941884">
            <w:pPr>
              <w:spacing w:line="360" w:lineRule="exact"/>
              <w:rPr>
                <w:sz w:val="22"/>
              </w:rPr>
            </w:pPr>
          </w:p>
        </w:tc>
        <w:tc>
          <w:tcPr>
            <w:tcW w:w="1375" w:type="pct"/>
          </w:tcPr>
          <w:p w14:paraId="437D682E">
            <w:pPr>
              <w:spacing w:line="360" w:lineRule="exact"/>
              <w:rPr>
                <w:sz w:val="22"/>
              </w:rPr>
            </w:pPr>
          </w:p>
        </w:tc>
        <w:tc>
          <w:tcPr>
            <w:tcW w:w="890" w:type="pct"/>
          </w:tcPr>
          <w:p w14:paraId="3D127996">
            <w:pPr>
              <w:spacing w:line="360" w:lineRule="exact"/>
              <w:rPr>
                <w:sz w:val="22"/>
              </w:rPr>
            </w:pPr>
          </w:p>
        </w:tc>
        <w:tc>
          <w:tcPr>
            <w:tcW w:w="485" w:type="pct"/>
          </w:tcPr>
          <w:p w14:paraId="08CF5746">
            <w:pPr>
              <w:spacing w:line="360" w:lineRule="exact"/>
              <w:rPr>
                <w:sz w:val="22"/>
              </w:rPr>
            </w:pPr>
          </w:p>
        </w:tc>
      </w:tr>
    </w:tbl>
    <w:p w14:paraId="484CD146">
      <w:pPr>
        <w:spacing w:line="360" w:lineRule="exact"/>
        <w:rPr>
          <w:bCs/>
          <w:sz w:val="22"/>
        </w:rPr>
      </w:pPr>
      <w:r>
        <w:rPr>
          <w:rFonts w:hint="eastAsia"/>
          <w:bCs/>
          <w:sz w:val="22"/>
        </w:rPr>
        <w:t>备注：</w:t>
      </w:r>
    </w:p>
    <w:p w14:paraId="460557FA">
      <w:pPr>
        <w:spacing w:line="360" w:lineRule="exact"/>
        <w:rPr>
          <w:sz w:val="22"/>
        </w:rPr>
      </w:pPr>
      <w:r>
        <w:rPr>
          <w:sz w:val="22"/>
        </w:rPr>
        <w:t>1.“</w:t>
      </w:r>
      <w:r>
        <w:rPr>
          <w:rFonts w:hint="eastAsia"/>
          <w:bCs/>
          <w:sz w:val="22"/>
        </w:rPr>
        <w:t>招标</w:t>
      </w:r>
      <w:r>
        <w:rPr>
          <w:bCs/>
          <w:sz w:val="22"/>
        </w:rPr>
        <w:t>商务</w:t>
      </w:r>
      <w:r>
        <w:rPr>
          <w:rFonts w:hint="eastAsia"/>
          <w:bCs/>
          <w:sz w:val="22"/>
        </w:rPr>
        <w:t>要</w:t>
      </w:r>
      <w:r>
        <w:rPr>
          <w:bCs/>
          <w:sz w:val="22"/>
        </w:rPr>
        <w:t>求</w:t>
      </w:r>
      <w:r>
        <w:rPr>
          <w:sz w:val="22"/>
        </w:rPr>
        <w:t>”一栏必须填写</w:t>
      </w:r>
      <w:r>
        <w:rPr>
          <w:rFonts w:hint="eastAsia"/>
          <w:sz w:val="22"/>
        </w:rPr>
        <w:t>招标</w:t>
      </w:r>
      <w:r>
        <w:rPr>
          <w:sz w:val="22"/>
        </w:rPr>
        <w:t>文件第</w:t>
      </w:r>
      <w:r>
        <w:rPr>
          <w:rFonts w:hint="eastAsia"/>
          <w:sz w:val="22"/>
        </w:rPr>
        <w:t>三</w:t>
      </w:r>
      <w:r>
        <w:rPr>
          <w:sz w:val="22"/>
        </w:rPr>
        <w:t>章</w:t>
      </w:r>
      <w:r>
        <w:rPr>
          <w:rFonts w:hint="eastAsia"/>
          <w:sz w:val="22"/>
        </w:rPr>
        <w:t>项目需求中</w:t>
      </w:r>
      <w:r>
        <w:rPr>
          <w:sz w:val="22"/>
        </w:rPr>
        <w:t>“商务</w:t>
      </w:r>
      <w:r>
        <w:rPr>
          <w:rFonts w:hint="eastAsia"/>
          <w:sz w:val="22"/>
        </w:rPr>
        <w:t>要</w:t>
      </w:r>
      <w:r>
        <w:rPr>
          <w:sz w:val="22"/>
        </w:rPr>
        <w:t>求”的内容分别对应的内容进行填写。</w:t>
      </w:r>
    </w:p>
    <w:p w14:paraId="560CDAB9">
      <w:pPr>
        <w:spacing w:line="360" w:lineRule="exact"/>
        <w:rPr>
          <w:sz w:val="22"/>
        </w:rPr>
      </w:pPr>
      <w:r>
        <w:rPr>
          <w:sz w:val="22"/>
        </w:rPr>
        <w:t>2.“投标商务条款”一栏必须详细填写投标商务条款的内容。</w:t>
      </w:r>
    </w:p>
    <w:p w14:paraId="462FE14B">
      <w:pPr>
        <w:spacing w:line="360" w:lineRule="exact"/>
        <w:rPr>
          <w:sz w:val="22"/>
        </w:rPr>
      </w:pPr>
      <w:r>
        <w:rPr>
          <w:sz w:val="22"/>
        </w:rPr>
        <w:t>3.“偏离情况”栏中应如实填写“正偏离”、“负偏离”或“无偏离”。</w:t>
      </w:r>
    </w:p>
    <w:p w14:paraId="35E2DE47">
      <w:pPr>
        <w:spacing w:line="360" w:lineRule="exact"/>
        <w:rPr>
          <w:sz w:val="22"/>
        </w:rPr>
      </w:pPr>
      <w:r>
        <w:rPr>
          <w:sz w:val="22"/>
        </w:rPr>
        <w:t>3.交货期条款为不可负偏离条款，投标文件响应为“负偏离”的，投标文件将按废标处理。</w:t>
      </w:r>
    </w:p>
    <w:p w14:paraId="5B761013">
      <w:pPr>
        <w:spacing w:line="360" w:lineRule="exact"/>
        <w:rPr>
          <w:sz w:val="22"/>
        </w:rPr>
      </w:pPr>
      <w:r>
        <w:rPr>
          <w:sz w:val="22"/>
        </w:rPr>
        <w:t>4.开标一览表中填写的“交货期”必须与本表填写的“交货期”一致。如填写不一致，以开标一览表填写的“交货期”为准。</w:t>
      </w:r>
    </w:p>
    <w:p w14:paraId="5B539147">
      <w:pPr>
        <w:spacing w:line="360" w:lineRule="exact"/>
        <w:rPr>
          <w:bCs/>
          <w:sz w:val="22"/>
        </w:rPr>
      </w:pPr>
    </w:p>
    <w:p w14:paraId="2FF92B9B">
      <w:pPr>
        <w:tabs>
          <w:tab w:val="left" w:pos="0"/>
          <w:tab w:val="clear" w:pos="426"/>
        </w:tabs>
        <w:ind w:firstLine="397"/>
        <w:jc w:val="left"/>
        <w:outlineLvl w:val="2"/>
        <w:rPr>
          <w:bCs/>
          <w:sz w:val="24"/>
        </w:rPr>
      </w:pPr>
      <w:bookmarkStart w:id="143" w:name="_Toc8943"/>
      <w:r>
        <w:rPr>
          <w:rFonts w:hint="eastAsia" w:hAnsi="宋体"/>
          <w:b/>
          <w:bCs/>
          <w:sz w:val="32"/>
          <w:szCs w:val="32"/>
        </w:rPr>
        <w:t>二、</w:t>
      </w:r>
      <w:r>
        <w:rPr>
          <w:bCs/>
          <w:szCs w:val="21"/>
        </w:rPr>
        <w:br w:type="page"/>
      </w:r>
      <w:r>
        <w:rPr>
          <w:rFonts w:hint="eastAsia" w:ascii="Arial" w:hAnsi="Arial" w:eastAsia="黑体" w:cs="Times New Roman"/>
          <w:b/>
          <w:kern w:val="2"/>
          <w:sz w:val="28"/>
          <w:szCs w:val="28"/>
        </w:rPr>
        <w:t>十五、技术规格偏离表</w:t>
      </w:r>
      <w:bookmarkEnd w:id="143"/>
    </w:p>
    <w:p w14:paraId="050AB8D9">
      <w:pPr>
        <w:spacing w:line="360" w:lineRule="exact"/>
        <w:rPr>
          <w:bCs/>
          <w:sz w:val="22"/>
        </w:rPr>
      </w:pPr>
      <w:r>
        <w:rPr>
          <w:bCs/>
          <w:sz w:val="22"/>
        </w:rPr>
        <w:t xml:space="preserve">投标人名称：                               项目编号：                        </w:t>
      </w:r>
    </w:p>
    <w:tbl>
      <w:tblPr>
        <w:tblStyle w:val="8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117"/>
        <w:gridCol w:w="1559"/>
        <w:gridCol w:w="1984"/>
        <w:gridCol w:w="1701"/>
        <w:gridCol w:w="850"/>
      </w:tblGrid>
      <w:tr w14:paraId="02C0E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center"/>
          </w:tcPr>
          <w:p w14:paraId="076200A7">
            <w:pPr>
              <w:spacing w:line="360" w:lineRule="exact"/>
              <w:jc w:val="center"/>
              <w:rPr>
                <w:bCs/>
                <w:sz w:val="22"/>
              </w:rPr>
            </w:pPr>
            <w:r>
              <w:rPr>
                <w:bCs/>
                <w:sz w:val="22"/>
              </w:rPr>
              <w:t>序号</w:t>
            </w:r>
          </w:p>
        </w:tc>
        <w:tc>
          <w:tcPr>
            <w:tcW w:w="1117" w:type="dxa"/>
          </w:tcPr>
          <w:p w14:paraId="55BFB366">
            <w:pPr>
              <w:spacing w:line="360" w:lineRule="exact"/>
              <w:jc w:val="center"/>
              <w:rPr>
                <w:bCs/>
                <w:sz w:val="22"/>
              </w:rPr>
            </w:pPr>
            <w:r>
              <w:rPr>
                <w:bCs/>
                <w:sz w:val="22"/>
              </w:rPr>
              <w:t>货物名称</w:t>
            </w:r>
          </w:p>
        </w:tc>
        <w:tc>
          <w:tcPr>
            <w:tcW w:w="1559" w:type="dxa"/>
          </w:tcPr>
          <w:p w14:paraId="36523AC1">
            <w:pPr>
              <w:spacing w:line="360" w:lineRule="exact"/>
              <w:jc w:val="center"/>
              <w:rPr>
                <w:bCs/>
                <w:sz w:val="22"/>
              </w:rPr>
            </w:pPr>
            <w:r>
              <w:rPr>
                <w:bCs/>
                <w:sz w:val="22"/>
              </w:rPr>
              <w:t>招标技术要求</w:t>
            </w:r>
          </w:p>
        </w:tc>
        <w:tc>
          <w:tcPr>
            <w:tcW w:w="1984" w:type="dxa"/>
          </w:tcPr>
          <w:p w14:paraId="0BA4CAC5">
            <w:pPr>
              <w:spacing w:line="360" w:lineRule="exact"/>
              <w:jc w:val="center"/>
              <w:rPr>
                <w:bCs/>
                <w:sz w:val="22"/>
              </w:rPr>
            </w:pPr>
            <w:r>
              <w:rPr>
                <w:bCs/>
                <w:sz w:val="22"/>
              </w:rPr>
              <w:t>投标技术响应</w:t>
            </w:r>
          </w:p>
        </w:tc>
        <w:tc>
          <w:tcPr>
            <w:tcW w:w="1701" w:type="dxa"/>
            <w:vAlign w:val="center"/>
          </w:tcPr>
          <w:p w14:paraId="4C039413">
            <w:pPr>
              <w:spacing w:line="360" w:lineRule="exact"/>
              <w:jc w:val="center"/>
              <w:rPr>
                <w:bCs/>
                <w:sz w:val="22"/>
              </w:rPr>
            </w:pPr>
            <w:r>
              <w:rPr>
                <w:bCs/>
                <w:sz w:val="22"/>
              </w:rPr>
              <w:t>偏离情况</w:t>
            </w:r>
          </w:p>
        </w:tc>
        <w:tc>
          <w:tcPr>
            <w:tcW w:w="850" w:type="dxa"/>
            <w:vAlign w:val="center"/>
          </w:tcPr>
          <w:p w14:paraId="405472B2">
            <w:pPr>
              <w:spacing w:line="360" w:lineRule="exact"/>
              <w:jc w:val="center"/>
              <w:rPr>
                <w:bCs/>
                <w:sz w:val="22"/>
              </w:rPr>
            </w:pPr>
            <w:r>
              <w:rPr>
                <w:bCs/>
                <w:sz w:val="22"/>
              </w:rPr>
              <w:t>说明</w:t>
            </w:r>
          </w:p>
        </w:tc>
      </w:tr>
      <w:tr w14:paraId="40B18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center"/>
          </w:tcPr>
          <w:p w14:paraId="3EB7B7F5">
            <w:pPr>
              <w:spacing w:line="360" w:lineRule="exact"/>
              <w:jc w:val="center"/>
              <w:rPr>
                <w:bCs/>
                <w:sz w:val="22"/>
              </w:rPr>
            </w:pPr>
            <w:r>
              <w:rPr>
                <w:rFonts w:hint="eastAsia"/>
                <w:bCs/>
                <w:sz w:val="22"/>
              </w:rPr>
              <w:t>1</w:t>
            </w:r>
          </w:p>
        </w:tc>
        <w:tc>
          <w:tcPr>
            <w:tcW w:w="1117" w:type="dxa"/>
          </w:tcPr>
          <w:p w14:paraId="2919125E">
            <w:pPr>
              <w:spacing w:line="360" w:lineRule="exact"/>
              <w:jc w:val="center"/>
              <w:rPr>
                <w:bCs/>
                <w:sz w:val="22"/>
              </w:rPr>
            </w:pPr>
          </w:p>
        </w:tc>
        <w:tc>
          <w:tcPr>
            <w:tcW w:w="1559" w:type="dxa"/>
            <w:vAlign w:val="center"/>
          </w:tcPr>
          <w:p w14:paraId="41E25AE4">
            <w:pPr>
              <w:spacing w:line="360" w:lineRule="exact"/>
              <w:jc w:val="center"/>
              <w:rPr>
                <w:bCs/>
                <w:sz w:val="22"/>
              </w:rPr>
            </w:pPr>
          </w:p>
        </w:tc>
        <w:tc>
          <w:tcPr>
            <w:tcW w:w="1984" w:type="dxa"/>
            <w:vAlign w:val="center"/>
          </w:tcPr>
          <w:p w14:paraId="23C5C641">
            <w:pPr>
              <w:spacing w:line="360" w:lineRule="exact"/>
              <w:jc w:val="center"/>
              <w:rPr>
                <w:bCs/>
                <w:sz w:val="22"/>
              </w:rPr>
            </w:pPr>
          </w:p>
        </w:tc>
        <w:tc>
          <w:tcPr>
            <w:tcW w:w="1701" w:type="dxa"/>
            <w:vAlign w:val="center"/>
          </w:tcPr>
          <w:p w14:paraId="755374E4">
            <w:pPr>
              <w:spacing w:line="360" w:lineRule="exact"/>
              <w:jc w:val="center"/>
              <w:rPr>
                <w:bCs/>
                <w:sz w:val="22"/>
              </w:rPr>
            </w:pPr>
          </w:p>
        </w:tc>
        <w:tc>
          <w:tcPr>
            <w:tcW w:w="850" w:type="dxa"/>
            <w:vAlign w:val="center"/>
          </w:tcPr>
          <w:p w14:paraId="1DB84165">
            <w:pPr>
              <w:spacing w:line="360" w:lineRule="exact"/>
              <w:jc w:val="center"/>
              <w:rPr>
                <w:bCs/>
                <w:sz w:val="22"/>
              </w:rPr>
            </w:pPr>
          </w:p>
        </w:tc>
      </w:tr>
      <w:tr w14:paraId="3FC7C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center"/>
          </w:tcPr>
          <w:p w14:paraId="76CF19EC">
            <w:pPr>
              <w:spacing w:line="360" w:lineRule="exact"/>
              <w:jc w:val="center"/>
              <w:rPr>
                <w:bCs/>
                <w:sz w:val="22"/>
              </w:rPr>
            </w:pPr>
            <w:r>
              <w:rPr>
                <w:rFonts w:hint="eastAsia"/>
                <w:bCs/>
                <w:sz w:val="22"/>
              </w:rPr>
              <w:t>...</w:t>
            </w:r>
          </w:p>
        </w:tc>
        <w:tc>
          <w:tcPr>
            <w:tcW w:w="1117" w:type="dxa"/>
          </w:tcPr>
          <w:p w14:paraId="02226BBF">
            <w:pPr>
              <w:spacing w:line="360" w:lineRule="exact"/>
              <w:jc w:val="center"/>
              <w:rPr>
                <w:bCs/>
                <w:sz w:val="22"/>
              </w:rPr>
            </w:pPr>
          </w:p>
        </w:tc>
        <w:tc>
          <w:tcPr>
            <w:tcW w:w="1559" w:type="dxa"/>
            <w:vAlign w:val="center"/>
          </w:tcPr>
          <w:p w14:paraId="7D8C3F59">
            <w:pPr>
              <w:spacing w:line="360" w:lineRule="exact"/>
              <w:jc w:val="center"/>
              <w:rPr>
                <w:bCs/>
                <w:sz w:val="22"/>
              </w:rPr>
            </w:pPr>
          </w:p>
        </w:tc>
        <w:tc>
          <w:tcPr>
            <w:tcW w:w="1984" w:type="dxa"/>
            <w:vAlign w:val="center"/>
          </w:tcPr>
          <w:p w14:paraId="086725AF">
            <w:pPr>
              <w:spacing w:line="360" w:lineRule="exact"/>
              <w:jc w:val="center"/>
              <w:rPr>
                <w:bCs/>
                <w:sz w:val="22"/>
              </w:rPr>
            </w:pPr>
          </w:p>
        </w:tc>
        <w:tc>
          <w:tcPr>
            <w:tcW w:w="1701" w:type="dxa"/>
            <w:vAlign w:val="center"/>
          </w:tcPr>
          <w:p w14:paraId="781D67CA">
            <w:pPr>
              <w:spacing w:line="360" w:lineRule="exact"/>
              <w:jc w:val="center"/>
              <w:rPr>
                <w:bCs/>
                <w:sz w:val="22"/>
              </w:rPr>
            </w:pPr>
          </w:p>
        </w:tc>
        <w:tc>
          <w:tcPr>
            <w:tcW w:w="850" w:type="dxa"/>
            <w:vAlign w:val="center"/>
          </w:tcPr>
          <w:p w14:paraId="1B239996">
            <w:pPr>
              <w:spacing w:line="360" w:lineRule="exact"/>
              <w:jc w:val="center"/>
              <w:rPr>
                <w:bCs/>
                <w:sz w:val="22"/>
              </w:rPr>
            </w:pPr>
          </w:p>
        </w:tc>
      </w:tr>
    </w:tbl>
    <w:p w14:paraId="6DB1F436">
      <w:pPr>
        <w:spacing w:line="360" w:lineRule="exact"/>
        <w:rPr>
          <w:bCs/>
          <w:sz w:val="22"/>
        </w:rPr>
      </w:pPr>
      <w:r>
        <w:rPr>
          <w:bCs/>
          <w:sz w:val="22"/>
        </w:rPr>
        <w:t>备注：</w:t>
      </w:r>
    </w:p>
    <w:p w14:paraId="5EF2B047">
      <w:pPr>
        <w:spacing w:line="360" w:lineRule="exact"/>
      </w:pPr>
      <w:r>
        <w:t>1、“招标技术要求”一栏应填写采购文件第</w:t>
      </w:r>
      <w:r>
        <w:rPr>
          <w:rFonts w:hint="eastAsia"/>
        </w:rPr>
        <w:t>三</w:t>
      </w:r>
      <w:r>
        <w:t>章</w:t>
      </w:r>
      <w:r>
        <w:rPr>
          <w:rFonts w:hint="eastAsia"/>
        </w:rPr>
        <w:t>项目需求中</w:t>
      </w:r>
      <w:r>
        <w:t>“</w:t>
      </w:r>
      <w:r>
        <w:rPr>
          <w:rFonts w:hint="eastAsia"/>
        </w:rPr>
        <w:t>技术参数要求</w:t>
      </w:r>
      <w:r>
        <w:t>”的内容；</w:t>
      </w:r>
    </w:p>
    <w:p w14:paraId="1F618CF4">
      <w:pPr>
        <w:spacing w:line="360" w:lineRule="exact"/>
      </w:pPr>
      <w:r>
        <w:t>2、“投标技术响应”一栏必须详细填写投标产品的具体参数，并应对照招标技术要求一一对应响应；</w:t>
      </w:r>
    </w:p>
    <w:p w14:paraId="7C693B76">
      <w:pPr>
        <w:spacing w:line="360" w:lineRule="exact"/>
      </w:pPr>
      <w:r>
        <w:t>3、“偏离情况”一栏应如实填写“正偏离”、“负偏离”或“无偏离”。</w:t>
      </w:r>
    </w:p>
    <w:p w14:paraId="6C1B215D">
      <w:pPr>
        <w:spacing w:line="360" w:lineRule="exact"/>
      </w:pPr>
      <w:r>
        <w:t>4、投标产品的技术参数应</w:t>
      </w:r>
      <w:r>
        <w:rPr>
          <w:rFonts w:hint="eastAsia"/>
        </w:rPr>
        <w:t>按照技术要求</w:t>
      </w:r>
      <w:r>
        <w:t>提供相应的证明资料，投标人应在“说明”一栏中列出技术参数的证明资料名称，并指明该证明资料在投标文件中的具体位置。</w:t>
      </w:r>
    </w:p>
    <w:p w14:paraId="67DBE498">
      <w:pPr>
        <w:spacing w:line="360" w:lineRule="exact"/>
        <w:rPr>
          <w:bCs/>
          <w:sz w:val="22"/>
        </w:rPr>
      </w:pPr>
      <w:r>
        <w:rPr>
          <w:rFonts w:hint="eastAsia"/>
        </w:rPr>
        <w:t>5</w:t>
      </w:r>
      <w:r>
        <w:t>、评审委员会有权对以谋取中标为目的的技术规格模糊响应或虚假响应予以认定，并视情况经政府采购代理机构报市政府采购监督管理部门</w:t>
      </w:r>
      <w:r>
        <w:rPr>
          <w:rFonts w:hint="eastAsia"/>
        </w:rPr>
        <w:t>处理</w:t>
      </w:r>
      <w:r>
        <w:t>。</w:t>
      </w:r>
    </w:p>
    <w:p w14:paraId="79DD8623">
      <w:pPr>
        <w:rPr>
          <w:rFonts w:hint="eastAsia" w:hAnsi="宋体"/>
          <w:bCs/>
          <w:sz w:val="24"/>
          <w:lang w:eastAsia="zh-Hans"/>
        </w:rPr>
      </w:pPr>
      <w:r>
        <w:rPr>
          <w:rFonts w:hint="eastAsia" w:hAnsi="宋体"/>
          <w:bCs/>
          <w:sz w:val="24"/>
          <w:lang w:eastAsia="zh-Hans"/>
        </w:rPr>
        <w:br w:type="page"/>
      </w:r>
    </w:p>
    <w:bookmarkEnd w:id="91"/>
    <w:bookmarkEnd w:id="92"/>
    <w:bookmarkEnd w:id="93"/>
    <w:bookmarkEnd w:id="94"/>
    <w:bookmarkEnd w:id="95"/>
    <w:p w14:paraId="426FF4A3">
      <w:pPr>
        <w:pStyle w:val="5"/>
        <w:numPr>
          <w:ilvl w:val="0"/>
          <w:numId w:val="0"/>
        </w:numPr>
        <w:tabs>
          <w:tab w:val="clear" w:pos="1680"/>
        </w:tabs>
        <w:jc w:val="left"/>
        <w:rPr>
          <w:bCs w:val="0"/>
        </w:rPr>
      </w:pPr>
      <w:bookmarkStart w:id="144" w:name="_Toc528170834"/>
      <w:bookmarkStart w:id="145" w:name="_Toc518464390"/>
      <w:bookmarkStart w:id="146" w:name="_Toc36822702"/>
      <w:bookmarkStart w:id="147" w:name="_Toc528675207"/>
      <w:r>
        <w:rPr>
          <w:rFonts w:hint="eastAsia"/>
          <w:bCs w:val="0"/>
        </w:rPr>
        <w:t>十六、中小企业、残疾人福利性单位和监狱企业政策导向</w:t>
      </w:r>
    </w:p>
    <w:p w14:paraId="5C08D7DF">
      <w:pPr>
        <w:spacing w:line="360" w:lineRule="exact"/>
        <w:ind w:firstLine="440" w:firstLineChars="200"/>
        <w:jc w:val="center"/>
        <w:rPr>
          <w:rFonts w:hint="eastAsia" w:hAnsi="宋体"/>
          <w:sz w:val="22"/>
        </w:rPr>
      </w:pPr>
      <w:r>
        <w:rPr>
          <w:rFonts w:hint="eastAsia" w:hAnsi="宋体"/>
          <w:sz w:val="22"/>
        </w:rPr>
        <w:t>（如符合则提供）</w:t>
      </w:r>
    </w:p>
    <w:p w14:paraId="5A4E6ADD">
      <w:pPr>
        <w:ind w:firstLine="440" w:firstLineChars="200"/>
        <w:rPr>
          <w:rFonts w:hint="eastAsia" w:hAnsi="宋体"/>
          <w:bCs/>
          <w:sz w:val="22"/>
          <w:szCs w:val="22"/>
        </w:rPr>
      </w:pPr>
      <w:r>
        <w:rPr>
          <w:rFonts w:hint="eastAsia" w:hAnsi="宋体"/>
          <w:bCs/>
          <w:sz w:val="22"/>
          <w:szCs w:val="22"/>
        </w:rPr>
        <w:t>填写指引：</w:t>
      </w:r>
    </w:p>
    <w:p w14:paraId="0D668CDC">
      <w:pPr>
        <w:ind w:firstLine="440" w:firstLineChars="200"/>
        <w:rPr>
          <w:rFonts w:hint="eastAsia" w:hAnsi="宋体"/>
          <w:bCs/>
          <w:sz w:val="22"/>
          <w:szCs w:val="22"/>
        </w:rPr>
      </w:pPr>
      <w:r>
        <w:rPr>
          <w:rFonts w:hint="eastAsia" w:hAnsi="宋体"/>
          <w:bCs/>
          <w:sz w:val="22"/>
          <w:szCs w:val="22"/>
        </w:rPr>
        <w:t>1、该部分内容由供应商根据自身实际情况填写，不符合要求的供应商可以不填写或直接删除相应的声明函。供应商自行对声明内容的真实性负责；如提供虚假声明，将报送主管部门进行行政处罚。若无法确定是否为中小微企业，可查阅《关于印发中小企业划型标准规定的通知》（工信部联企业【2011】300号）或向中小企业服务局咨询。</w:t>
      </w:r>
    </w:p>
    <w:p w14:paraId="32368EF7">
      <w:pPr>
        <w:ind w:firstLine="440" w:firstLineChars="200"/>
        <w:rPr>
          <w:rFonts w:hint="eastAsia" w:hAnsi="宋体"/>
          <w:bCs/>
          <w:sz w:val="22"/>
          <w:szCs w:val="22"/>
        </w:rPr>
      </w:pPr>
      <w:r>
        <w:rPr>
          <w:rFonts w:hint="eastAsia" w:hAnsi="宋体"/>
          <w:bCs/>
          <w:sz w:val="22"/>
          <w:szCs w:val="22"/>
        </w:rPr>
        <w:t>2、该部分内容填写需要参考的相关文件：</w:t>
      </w:r>
    </w:p>
    <w:p w14:paraId="721778A9">
      <w:pPr>
        <w:ind w:firstLine="440" w:firstLineChars="200"/>
        <w:rPr>
          <w:rFonts w:hint="eastAsia" w:hAnsi="宋体"/>
          <w:bCs/>
          <w:sz w:val="22"/>
          <w:szCs w:val="22"/>
        </w:rPr>
      </w:pPr>
      <w:r>
        <w:rPr>
          <w:rFonts w:hint="eastAsia" w:hAnsi="宋体"/>
          <w:bCs/>
          <w:sz w:val="22"/>
          <w:szCs w:val="22"/>
        </w:rPr>
        <w:t>（1）财政部《政府采购促进中小企业发展管理办法》（财库〔2020〕46号）</w:t>
      </w:r>
    </w:p>
    <w:p w14:paraId="097CF0EC">
      <w:pPr>
        <w:ind w:firstLine="440" w:firstLineChars="200"/>
        <w:rPr>
          <w:rFonts w:hint="eastAsia" w:hAnsi="宋体"/>
          <w:bCs/>
          <w:sz w:val="22"/>
          <w:szCs w:val="22"/>
        </w:rPr>
      </w:pPr>
      <w:r>
        <w:rPr>
          <w:rFonts w:hint="eastAsia" w:hAnsi="宋体"/>
          <w:bCs/>
          <w:sz w:val="22"/>
          <w:szCs w:val="22"/>
        </w:rPr>
        <w:t>（2）《工业和信息化部、国家统计局、国家发展和改革委员会、财政部关于印发中小企业划型标准规定的通知》（工信部联企业〔2011〕300 号，以下简称300号文）</w:t>
      </w:r>
    </w:p>
    <w:p w14:paraId="19333539">
      <w:pPr>
        <w:ind w:firstLine="440" w:firstLineChars="200"/>
        <w:rPr>
          <w:rFonts w:hint="eastAsia" w:hAnsi="宋体"/>
          <w:bCs/>
          <w:sz w:val="22"/>
          <w:szCs w:val="22"/>
        </w:rPr>
      </w:pPr>
      <w:r>
        <w:rPr>
          <w:rFonts w:hint="eastAsia" w:hAnsi="宋体"/>
          <w:bCs/>
          <w:sz w:val="22"/>
          <w:szCs w:val="22"/>
        </w:rPr>
        <w:t>（3）《统计上大中小微型企业划分办法(2017)》（国统字〔2017〕213 号）</w:t>
      </w:r>
    </w:p>
    <w:p w14:paraId="5C8D9AFB">
      <w:pPr>
        <w:ind w:firstLine="440" w:firstLineChars="200"/>
        <w:rPr>
          <w:rFonts w:hint="eastAsia" w:hAnsi="宋体"/>
          <w:bCs/>
          <w:sz w:val="22"/>
          <w:szCs w:val="22"/>
        </w:rPr>
      </w:pPr>
      <w:r>
        <w:rPr>
          <w:rFonts w:hint="eastAsia" w:hAnsi="宋体"/>
          <w:bCs/>
          <w:sz w:val="22"/>
          <w:szCs w:val="22"/>
        </w:rPr>
        <w:t>（4）《关于促进残疾人就业政府采购政策的通知》（财库〔2017〕141号）</w:t>
      </w:r>
    </w:p>
    <w:p w14:paraId="3F7F6FC4">
      <w:pPr>
        <w:ind w:firstLine="440" w:firstLineChars="200"/>
        <w:rPr>
          <w:rFonts w:hint="eastAsia" w:hAnsi="宋体"/>
          <w:bCs/>
          <w:sz w:val="22"/>
          <w:szCs w:val="22"/>
        </w:rPr>
      </w:pPr>
      <w:r>
        <w:rPr>
          <w:rFonts w:hint="eastAsia" w:hAnsi="宋体"/>
          <w:bCs/>
          <w:sz w:val="22"/>
          <w:szCs w:val="22"/>
        </w:rPr>
        <w:t>（5）《关于政府采购支持监狱企业发展有关问题的通知》（财库〔2014〕68号）</w:t>
      </w:r>
    </w:p>
    <w:p w14:paraId="16EF9137">
      <w:pPr>
        <w:ind w:firstLine="440" w:firstLineChars="200"/>
        <w:rPr>
          <w:rFonts w:hint="eastAsia" w:hAnsi="宋体"/>
          <w:bCs/>
          <w:sz w:val="22"/>
          <w:szCs w:val="22"/>
        </w:rPr>
      </w:pPr>
      <w:r>
        <w:rPr>
          <w:rFonts w:hint="eastAsia" w:hAnsi="宋体"/>
          <w:bCs/>
          <w:sz w:val="22"/>
          <w:szCs w:val="22"/>
        </w:rPr>
        <w:t>（6）《国民经济行业分类》(GB/T4754-2002)</w:t>
      </w:r>
    </w:p>
    <w:p w14:paraId="7FA2AABE">
      <w:pPr>
        <w:ind w:firstLine="440" w:firstLineChars="200"/>
        <w:rPr>
          <w:rFonts w:hint="eastAsia" w:hAnsi="宋体"/>
          <w:bCs/>
          <w:sz w:val="22"/>
          <w:szCs w:val="22"/>
        </w:rPr>
      </w:pPr>
      <w:r>
        <w:rPr>
          <w:rFonts w:hint="eastAsia" w:hAnsi="宋体"/>
          <w:bCs/>
          <w:sz w:val="22"/>
          <w:szCs w:val="22"/>
        </w:rPr>
        <w:t>（7）《金融业企业划型标准规定》（银发〔2015〕 309 号）</w:t>
      </w:r>
    </w:p>
    <w:p w14:paraId="1E7D2AF8">
      <w:pPr>
        <w:ind w:firstLine="440" w:firstLineChars="200"/>
        <w:rPr>
          <w:rFonts w:hint="eastAsia" w:hAnsi="宋体"/>
          <w:bCs/>
          <w:sz w:val="22"/>
          <w:szCs w:val="22"/>
        </w:rPr>
      </w:pPr>
      <w:r>
        <w:rPr>
          <w:rFonts w:hint="eastAsia" w:hAnsi="宋体"/>
          <w:bCs/>
          <w:sz w:val="22"/>
          <w:szCs w:val="22"/>
        </w:rPr>
        <w:t>3、请依照提供的格式和内容填写声明函，不要随意变更格式或增删内容；满足多项优惠政策的企业，不重复享受多项价格扣除政策。</w:t>
      </w:r>
    </w:p>
    <w:p w14:paraId="42E62DF5">
      <w:pPr>
        <w:ind w:firstLine="440" w:firstLineChars="200"/>
        <w:rPr>
          <w:rFonts w:hint="eastAsia" w:hAnsi="宋体"/>
          <w:bCs/>
          <w:sz w:val="22"/>
          <w:szCs w:val="22"/>
        </w:rPr>
      </w:pPr>
      <w:r>
        <w:rPr>
          <w:rFonts w:hint="eastAsia" w:hAnsi="宋体"/>
          <w:bCs/>
          <w:sz w:val="22"/>
          <w:szCs w:val="22"/>
        </w:rPr>
        <w:t>4、声明函具体填写要求：</w:t>
      </w:r>
    </w:p>
    <w:p w14:paraId="137DDCE2">
      <w:pPr>
        <w:ind w:firstLine="442" w:firstLineChars="200"/>
        <w:rPr>
          <w:rFonts w:hint="eastAsia" w:hAnsi="宋体"/>
          <w:b/>
          <w:sz w:val="22"/>
          <w:szCs w:val="22"/>
        </w:rPr>
      </w:pPr>
      <w:r>
        <w:rPr>
          <w:rFonts w:hint="eastAsia" w:hAnsi="宋体"/>
          <w:b/>
          <w:sz w:val="22"/>
          <w:szCs w:val="22"/>
        </w:rPr>
        <w:t>（1）声明是中小企业须填写《中小企业声明函》的以下内容：</w:t>
      </w:r>
    </w:p>
    <w:p w14:paraId="5E8F8B83">
      <w:pPr>
        <w:ind w:firstLine="442" w:firstLineChars="200"/>
        <w:rPr>
          <w:rFonts w:hint="eastAsia" w:hAnsi="宋体"/>
          <w:b/>
          <w:sz w:val="22"/>
          <w:szCs w:val="22"/>
        </w:rPr>
      </w:pPr>
      <w:r>
        <w:rPr>
          <w:rFonts w:hint="eastAsia" w:hAnsi="宋体"/>
          <w:b/>
          <w:sz w:val="22"/>
          <w:szCs w:val="22"/>
        </w:rPr>
        <w:t>在“采购单位名称”下划线处填写本项目的实际采购单位名称（深圳市东海国际招标有限公司不是本项目的采购单位，而是本项目的组织实施机构）；</w:t>
      </w:r>
    </w:p>
    <w:p w14:paraId="43E81062">
      <w:pPr>
        <w:ind w:firstLine="442" w:firstLineChars="200"/>
        <w:rPr>
          <w:rFonts w:hint="eastAsia" w:hAnsi="宋体"/>
          <w:b/>
          <w:sz w:val="22"/>
          <w:szCs w:val="22"/>
        </w:rPr>
      </w:pPr>
      <w:r>
        <w:rPr>
          <w:rFonts w:hint="eastAsia" w:hAnsi="宋体"/>
          <w:b/>
          <w:sz w:val="22"/>
          <w:szCs w:val="22"/>
        </w:rPr>
        <w:t>在“项目名称”下划线处填写本项目的实际项目名称（项目名称可在招标公告处查看）；</w:t>
      </w:r>
    </w:p>
    <w:p w14:paraId="38C959BE">
      <w:pPr>
        <w:ind w:firstLine="442" w:firstLineChars="200"/>
        <w:rPr>
          <w:b/>
          <w:sz w:val="22"/>
          <w:szCs w:val="22"/>
        </w:rPr>
      </w:pPr>
      <w:r>
        <w:rPr>
          <w:rFonts w:hint="eastAsia" w:hAnsi="宋体"/>
          <w:b/>
          <w:sz w:val="22"/>
          <w:szCs w:val="22"/>
        </w:rPr>
        <w:t>在“货物名称”下划线处填写所采购货物（标的）的具体名称（以招标文件第一册第三章项目需求“货物清单”的“货物名称”一栏为准）；如果涉及多项货物（标的）为同一企业制造，“货物名称”下划线处可以如实填写多项货物；；</w:t>
      </w:r>
    </w:p>
    <w:p w14:paraId="1F849535">
      <w:pPr>
        <w:ind w:firstLine="442" w:firstLineChars="200"/>
        <w:rPr>
          <w:b/>
          <w:sz w:val="22"/>
          <w:szCs w:val="22"/>
        </w:rPr>
      </w:pPr>
      <w:r>
        <w:rPr>
          <w:rFonts w:hint="eastAsia" w:hAnsi="宋体"/>
          <w:b/>
          <w:sz w:val="22"/>
          <w:szCs w:val="22"/>
        </w:rPr>
        <w:t>在“采购文件中明确的所属行业”中填写对应的行业类别；</w:t>
      </w:r>
    </w:p>
    <w:p w14:paraId="3C5CDB29">
      <w:pPr>
        <w:ind w:firstLine="442" w:firstLineChars="200"/>
        <w:rPr>
          <w:rFonts w:hint="eastAsia" w:hAnsi="宋体"/>
          <w:b/>
          <w:sz w:val="22"/>
          <w:szCs w:val="22"/>
        </w:rPr>
      </w:pPr>
      <w:r>
        <w:rPr>
          <w:rFonts w:hint="eastAsia" w:hAnsi="宋体"/>
          <w:b/>
          <w:sz w:val="22"/>
          <w:szCs w:val="22"/>
        </w:rPr>
        <w:t>在“企业名称”中填写所提供货物的制造商的企业名称，并如实填写该企业需要填报的其他情况。</w:t>
      </w:r>
    </w:p>
    <w:p w14:paraId="5150839E">
      <w:pPr>
        <w:ind w:firstLine="442" w:firstLineChars="200"/>
        <w:rPr>
          <w:rFonts w:hint="eastAsia" w:hAnsi="宋体"/>
          <w:b/>
          <w:sz w:val="22"/>
          <w:szCs w:val="22"/>
        </w:rPr>
      </w:pPr>
      <w:r>
        <w:rPr>
          <w:rFonts w:hint="eastAsia" w:hAnsi="宋体"/>
          <w:b/>
          <w:sz w:val="22"/>
          <w:szCs w:val="22"/>
        </w:rPr>
        <w:t>在“中型企业、小型企业、微型企业”下划线处根据自身实际情况在三个选项中填写符合相关政策要求的一个；</w:t>
      </w:r>
    </w:p>
    <w:p w14:paraId="18D6286E">
      <w:pPr>
        <w:numPr>
          <w:ilvl w:val="0"/>
          <w:numId w:val="33"/>
        </w:numPr>
        <w:ind w:firstLine="440" w:firstLineChars="200"/>
        <w:rPr>
          <w:rFonts w:hint="eastAsia" w:hAnsi="宋体"/>
          <w:bCs/>
          <w:sz w:val="22"/>
          <w:szCs w:val="22"/>
        </w:rPr>
      </w:pPr>
      <w:r>
        <w:rPr>
          <w:rFonts w:hint="eastAsia" w:hAnsi="宋体"/>
          <w:bCs/>
          <w:sz w:val="22"/>
          <w:szCs w:val="22"/>
        </w:rPr>
        <w:t>声明是残疾人福利性单位须填写《残疾人福利性单位声明函》的三项内容（填写位置的字体已加粗），具体参照以上《中小企业声明函》填写要求执行。</w:t>
      </w:r>
    </w:p>
    <w:p w14:paraId="6AD9CA3E">
      <w:pPr>
        <w:ind w:firstLine="440" w:firstLineChars="200"/>
        <w:rPr>
          <w:rFonts w:hint="eastAsia" w:hAnsi="宋体"/>
          <w:b/>
          <w:szCs w:val="21"/>
        </w:rPr>
      </w:pPr>
      <w:r>
        <w:rPr>
          <w:rFonts w:hint="eastAsia" w:hAnsi="宋体"/>
          <w:bCs/>
          <w:sz w:val="22"/>
          <w:szCs w:val="22"/>
        </w:rPr>
        <w:t>5、声明函的有效性最终由评审委员会判定。</w:t>
      </w:r>
    </w:p>
    <w:p w14:paraId="403094E6">
      <w:r>
        <w:br w:type="page"/>
      </w:r>
    </w:p>
    <w:p w14:paraId="22CD1672"/>
    <w:p w14:paraId="30E2D38E">
      <w:pPr>
        <w:pStyle w:val="7"/>
      </w:pPr>
    </w:p>
    <w:p w14:paraId="08DAB4A6">
      <w:pPr>
        <w:jc w:val="center"/>
        <w:rPr>
          <w:rFonts w:hint="eastAsia" w:hAnsi="宋体"/>
          <w:b/>
          <w:sz w:val="22"/>
          <w:szCs w:val="22"/>
        </w:rPr>
      </w:pPr>
      <w:r>
        <w:rPr>
          <w:rFonts w:hint="eastAsia" w:hAnsi="宋体"/>
          <w:b/>
          <w:sz w:val="22"/>
          <w:szCs w:val="22"/>
        </w:rPr>
        <w:t>（一）中小企</w:t>
      </w:r>
      <w:r>
        <w:rPr>
          <w:rFonts w:hint="eastAsia" w:hAnsi="宋体"/>
          <w:b/>
          <w:bCs/>
          <w:sz w:val="22"/>
          <w:szCs w:val="22"/>
        </w:rPr>
        <w:t>业声明函</w:t>
      </w:r>
    </w:p>
    <w:p w14:paraId="4950F169">
      <w:pPr>
        <w:spacing w:line="260" w:lineRule="auto"/>
        <w:ind w:firstLine="440" w:firstLineChars="200"/>
        <w:jc w:val="left"/>
        <w:rPr>
          <w:rFonts w:hint="eastAsia" w:hAnsi="宋体"/>
          <w:color w:val="000000"/>
          <w:sz w:val="22"/>
          <w:szCs w:val="22"/>
        </w:rPr>
      </w:pPr>
      <w:r>
        <w:rPr>
          <w:rFonts w:hint="eastAsia" w:hAnsi="宋体"/>
          <w:color w:val="000000"/>
          <w:sz w:val="22"/>
          <w:szCs w:val="22"/>
        </w:rPr>
        <w:t>本公司郑重声明，根据《政府采购促进中小企业发展管理办法》（财库﹝2020﹞46 号）的规定，本公司参加</w:t>
      </w:r>
      <w:r>
        <w:rPr>
          <w:rFonts w:hint="eastAsia" w:hAnsi="宋体"/>
          <w:color w:val="000000"/>
          <w:sz w:val="22"/>
          <w:szCs w:val="22"/>
          <w:u w:val="single"/>
        </w:rPr>
        <w:t xml:space="preserve">   </w:t>
      </w:r>
      <w:r>
        <w:rPr>
          <w:rFonts w:hint="eastAsia" w:hAnsi="宋体"/>
          <w:b/>
          <w:bCs/>
          <w:color w:val="000000"/>
          <w:sz w:val="22"/>
          <w:szCs w:val="22"/>
          <w:u w:val="single"/>
        </w:rPr>
        <w:t>（采购单位名称）</w:t>
      </w:r>
      <w:r>
        <w:rPr>
          <w:rFonts w:hint="eastAsia" w:hAnsi="宋体"/>
          <w:color w:val="000000"/>
          <w:sz w:val="22"/>
          <w:szCs w:val="22"/>
          <w:u w:val="single"/>
        </w:rPr>
        <w:t xml:space="preserve">   </w:t>
      </w:r>
      <w:r>
        <w:rPr>
          <w:rFonts w:hint="eastAsia" w:hAnsi="宋体"/>
          <w:color w:val="000000"/>
          <w:sz w:val="22"/>
          <w:szCs w:val="22"/>
        </w:rPr>
        <w:t xml:space="preserve">的 </w:t>
      </w:r>
      <w:r>
        <w:rPr>
          <w:rFonts w:hint="eastAsia" w:hAnsi="宋体"/>
          <w:b/>
          <w:bCs/>
          <w:color w:val="000000"/>
          <w:sz w:val="22"/>
          <w:szCs w:val="22"/>
          <w:u w:val="single"/>
        </w:rPr>
        <w:t>（项目名称）</w:t>
      </w:r>
      <w:r>
        <w:rPr>
          <w:rFonts w:hint="eastAsia" w:hAnsi="宋体"/>
          <w:color w:val="000000"/>
          <w:sz w:val="22"/>
          <w:szCs w:val="22"/>
          <w:u w:val="single"/>
        </w:rPr>
        <w:t xml:space="preserve">  </w:t>
      </w:r>
      <w:r>
        <w:rPr>
          <w:rFonts w:hint="eastAsia" w:hAnsi="宋体"/>
          <w:color w:val="000000"/>
          <w:sz w:val="22"/>
          <w:szCs w:val="22"/>
        </w:rPr>
        <w:t>采购活动，提供的货物全部由符合政策要求的中小企业制造。相关企业的具体情况如下：</w:t>
      </w:r>
    </w:p>
    <w:p w14:paraId="414A3052">
      <w:pPr>
        <w:spacing w:line="260" w:lineRule="auto"/>
        <w:ind w:firstLine="440" w:firstLineChars="200"/>
        <w:rPr>
          <w:rFonts w:hint="eastAsia" w:hAnsi="宋体"/>
          <w:color w:val="000000"/>
          <w:sz w:val="22"/>
          <w:szCs w:val="22"/>
        </w:rPr>
      </w:pPr>
      <w:r>
        <w:rPr>
          <w:rFonts w:hint="eastAsia" w:hAnsi="宋体"/>
          <w:color w:val="000000"/>
          <w:sz w:val="22"/>
          <w:szCs w:val="22"/>
          <w:u w:val="single"/>
        </w:rPr>
        <w:t xml:space="preserve">1.   </w:t>
      </w:r>
      <w:r>
        <w:rPr>
          <w:rFonts w:hint="eastAsia" w:hAnsi="宋体"/>
          <w:b/>
          <w:bCs/>
          <w:color w:val="000000"/>
          <w:sz w:val="22"/>
          <w:szCs w:val="22"/>
          <w:u w:val="single"/>
        </w:rPr>
        <w:t>（货物名称）</w:t>
      </w:r>
      <w:r>
        <w:rPr>
          <w:rFonts w:hint="eastAsia" w:hAnsi="宋体"/>
          <w:color w:val="000000"/>
          <w:sz w:val="22"/>
          <w:szCs w:val="22"/>
          <w:u w:val="single"/>
        </w:rPr>
        <w:t xml:space="preserve">   </w:t>
      </w:r>
      <w:r>
        <w:rPr>
          <w:rFonts w:hint="eastAsia" w:hAnsi="宋体"/>
          <w:color w:val="000000"/>
          <w:sz w:val="22"/>
          <w:szCs w:val="22"/>
        </w:rPr>
        <w:t>，属于</w:t>
      </w:r>
      <w:r>
        <w:rPr>
          <w:rFonts w:hint="eastAsia" w:hAnsi="宋体"/>
          <w:color w:val="000000"/>
          <w:sz w:val="22"/>
          <w:szCs w:val="22"/>
          <w:u w:val="single"/>
        </w:rPr>
        <w:t xml:space="preserve">  </w:t>
      </w:r>
      <w:r>
        <w:rPr>
          <w:rFonts w:hint="eastAsia" w:hAnsi="宋体"/>
          <w:b/>
          <w:bCs/>
          <w:color w:val="000000"/>
          <w:sz w:val="22"/>
          <w:szCs w:val="22"/>
          <w:u w:val="single"/>
        </w:rPr>
        <w:t>（所属行业）</w:t>
      </w:r>
      <w:r>
        <w:rPr>
          <w:rFonts w:hint="eastAsia" w:hAnsi="宋体"/>
          <w:color w:val="000000"/>
          <w:sz w:val="22"/>
          <w:szCs w:val="22"/>
          <w:u w:val="single"/>
        </w:rPr>
        <w:t xml:space="preserve">   </w:t>
      </w:r>
      <w:r>
        <w:rPr>
          <w:rFonts w:hint="eastAsia" w:hAnsi="宋体"/>
          <w:color w:val="000000"/>
          <w:sz w:val="22"/>
          <w:szCs w:val="22"/>
        </w:rPr>
        <w:t>； 制造商为</w:t>
      </w:r>
      <w:r>
        <w:rPr>
          <w:rFonts w:hint="eastAsia" w:hAnsi="宋体"/>
          <w:color w:val="000000"/>
          <w:sz w:val="22"/>
          <w:szCs w:val="22"/>
          <w:u w:val="single"/>
        </w:rPr>
        <w:t xml:space="preserve">  </w:t>
      </w:r>
      <w:r>
        <w:rPr>
          <w:rFonts w:hint="eastAsia" w:hAnsi="宋体"/>
          <w:b/>
          <w:bCs/>
          <w:color w:val="000000"/>
          <w:sz w:val="22"/>
          <w:szCs w:val="22"/>
          <w:u w:val="single"/>
        </w:rPr>
        <w:t>（企业名称）</w:t>
      </w:r>
      <w:r>
        <w:rPr>
          <w:rFonts w:hint="eastAsia" w:hAnsi="宋体"/>
          <w:color w:val="000000"/>
          <w:sz w:val="22"/>
          <w:szCs w:val="22"/>
          <w:u w:val="single"/>
        </w:rPr>
        <w:t xml:space="preserve">  </w:t>
      </w:r>
      <w:r>
        <w:rPr>
          <w:rFonts w:hint="eastAsia" w:hAnsi="宋体"/>
          <w:color w:val="000000"/>
          <w:sz w:val="22"/>
          <w:szCs w:val="22"/>
        </w:rPr>
        <w:t>，从业人员</w:t>
      </w:r>
      <w:r>
        <w:rPr>
          <w:rFonts w:hint="eastAsia" w:hAnsi="宋体"/>
          <w:color w:val="000000"/>
          <w:sz w:val="22"/>
          <w:szCs w:val="22"/>
          <w:u w:val="single"/>
        </w:rPr>
        <w:t xml:space="preserve">  </w:t>
      </w:r>
      <w:r>
        <w:rPr>
          <w:rFonts w:hint="eastAsia" w:hAnsi="宋体"/>
          <w:color w:val="000000"/>
          <w:sz w:val="22"/>
          <w:szCs w:val="22"/>
        </w:rPr>
        <w:t>人，营业收入为</w:t>
      </w:r>
      <w:r>
        <w:rPr>
          <w:rFonts w:hint="eastAsia" w:hAnsi="宋体"/>
          <w:color w:val="000000"/>
          <w:sz w:val="22"/>
          <w:szCs w:val="22"/>
          <w:u w:val="single"/>
        </w:rPr>
        <w:t xml:space="preserve">  </w:t>
      </w:r>
      <w:r>
        <w:rPr>
          <w:rFonts w:hint="eastAsia" w:hAnsi="宋体"/>
          <w:color w:val="000000"/>
          <w:sz w:val="22"/>
          <w:szCs w:val="22"/>
        </w:rPr>
        <w:t>万元，资产总额为</w:t>
      </w:r>
      <w:r>
        <w:rPr>
          <w:rFonts w:hint="eastAsia" w:hAnsi="宋体"/>
          <w:color w:val="000000"/>
          <w:sz w:val="22"/>
          <w:szCs w:val="22"/>
          <w:u w:val="single"/>
        </w:rPr>
        <w:t xml:space="preserve">  </w:t>
      </w:r>
      <w:r>
        <w:rPr>
          <w:rFonts w:hint="eastAsia" w:hAnsi="宋体"/>
          <w:color w:val="000000"/>
          <w:sz w:val="22"/>
          <w:szCs w:val="22"/>
        </w:rPr>
        <w:t>万元，属于</w:t>
      </w:r>
      <w:r>
        <w:rPr>
          <w:rFonts w:hint="eastAsia" w:hAnsi="宋体"/>
          <w:color w:val="000000"/>
          <w:sz w:val="22"/>
          <w:szCs w:val="22"/>
          <w:u w:val="single"/>
        </w:rPr>
        <w:t xml:space="preserve">   </w:t>
      </w:r>
      <w:r>
        <w:rPr>
          <w:rFonts w:hint="eastAsia" w:hAnsi="宋体"/>
          <w:b/>
          <w:bCs/>
          <w:color w:val="000000"/>
          <w:sz w:val="22"/>
          <w:szCs w:val="22"/>
          <w:u w:val="single"/>
        </w:rPr>
        <w:t>（请选择填写：中型企业、 小型企业、微型企业）</w:t>
      </w:r>
      <w:r>
        <w:rPr>
          <w:rFonts w:hint="eastAsia" w:hAnsi="宋体"/>
          <w:color w:val="000000"/>
          <w:sz w:val="22"/>
          <w:szCs w:val="22"/>
          <w:u w:val="single"/>
        </w:rPr>
        <w:t xml:space="preserve">  </w:t>
      </w:r>
      <w:r>
        <w:rPr>
          <w:rFonts w:hint="eastAsia" w:hAnsi="宋体"/>
          <w:color w:val="000000"/>
          <w:sz w:val="22"/>
          <w:szCs w:val="22"/>
        </w:rPr>
        <w:t xml:space="preserve">； </w:t>
      </w:r>
    </w:p>
    <w:p w14:paraId="562C9833">
      <w:pPr>
        <w:ind w:firstLine="440" w:firstLineChars="200"/>
        <w:rPr>
          <w:rFonts w:hint="eastAsia" w:hAnsi="宋体"/>
          <w:sz w:val="22"/>
          <w:szCs w:val="22"/>
        </w:rPr>
      </w:pPr>
      <w:r>
        <w:rPr>
          <w:rFonts w:hint="eastAsia" w:hAnsi="宋体"/>
          <w:color w:val="000000"/>
          <w:sz w:val="22"/>
          <w:szCs w:val="22"/>
          <w:u w:val="single"/>
        </w:rPr>
        <w:t xml:space="preserve">2.   </w:t>
      </w:r>
      <w:r>
        <w:rPr>
          <w:rFonts w:hint="eastAsia" w:hAnsi="宋体"/>
          <w:b/>
          <w:bCs/>
          <w:color w:val="000000"/>
          <w:sz w:val="22"/>
          <w:szCs w:val="22"/>
          <w:u w:val="single"/>
        </w:rPr>
        <w:t>（货物名称）</w:t>
      </w:r>
      <w:r>
        <w:rPr>
          <w:rFonts w:hint="eastAsia" w:hAnsi="宋体"/>
          <w:color w:val="000000"/>
          <w:sz w:val="22"/>
          <w:szCs w:val="22"/>
          <w:u w:val="single"/>
        </w:rPr>
        <w:t xml:space="preserve">   </w:t>
      </w:r>
      <w:r>
        <w:rPr>
          <w:rFonts w:hint="eastAsia" w:hAnsi="宋体"/>
          <w:color w:val="000000"/>
          <w:sz w:val="22"/>
          <w:szCs w:val="22"/>
        </w:rPr>
        <w:t>，属于</w:t>
      </w:r>
      <w:r>
        <w:rPr>
          <w:rFonts w:hint="eastAsia" w:hAnsi="宋体"/>
          <w:color w:val="000000"/>
          <w:sz w:val="22"/>
          <w:szCs w:val="22"/>
          <w:u w:val="single"/>
        </w:rPr>
        <w:t xml:space="preserve">  </w:t>
      </w:r>
      <w:r>
        <w:rPr>
          <w:rFonts w:hint="eastAsia" w:hAnsi="宋体"/>
          <w:b/>
          <w:bCs/>
          <w:color w:val="000000"/>
          <w:sz w:val="22"/>
          <w:szCs w:val="22"/>
          <w:u w:val="single"/>
        </w:rPr>
        <w:t>（所属行业）</w:t>
      </w:r>
      <w:r>
        <w:rPr>
          <w:rFonts w:hint="eastAsia" w:hAnsi="宋体"/>
          <w:color w:val="000000"/>
          <w:sz w:val="22"/>
          <w:szCs w:val="22"/>
          <w:u w:val="single"/>
        </w:rPr>
        <w:t xml:space="preserve">   </w:t>
      </w:r>
      <w:r>
        <w:rPr>
          <w:rFonts w:hint="eastAsia" w:hAnsi="宋体"/>
          <w:color w:val="000000"/>
          <w:sz w:val="22"/>
          <w:szCs w:val="22"/>
        </w:rPr>
        <w:t>； 制造商为</w:t>
      </w:r>
      <w:r>
        <w:rPr>
          <w:rFonts w:hint="eastAsia" w:hAnsi="宋体"/>
          <w:color w:val="000000"/>
          <w:sz w:val="22"/>
          <w:szCs w:val="22"/>
          <w:u w:val="single"/>
        </w:rPr>
        <w:t xml:space="preserve">  </w:t>
      </w:r>
      <w:r>
        <w:rPr>
          <w:rFonts w:hint="eastAsia" w:hAnsi="宋体"/>
          <w:b/>
          <w:bCs/>
          <w:color w:val="000000"/>
          <w:sz w:val="22"/>
          <w:szCs w:val="22"/>
          <w:u w:val="single"/>
        </w:rPr>
        <w:t>（企业名称）</w:t>
      </w:r>
      <w:r>
        <w:rPr>
          <w:rFonts w:hint="eastAsia" w:hAnsi="宋体"/>
          <w:color w:val="000000"/>
          <w:sz w:val="22"/>
          <w:szCs w:val="22"/>
          <w:u w:val="single"/>
        </w:rPr>
        <w:t xml:space="preserve">  </w:t>
      </w:r>
      <w:r>
        <w:rPr>
          <w:rFonts w:hint="eastAsia" w:hAnsi="宋体"/>
          <w:color w:val="000000"/>
          <w:sz w:val="22"/>
          <w:szCs w:val="22"/>
        </w:rPr>
        <w:t>，从业人员</w:t>
      </w:r>
      <w:r>
        <w:rPr>
          <w:rFonts w:hint="eastAsia" w:hAnsi="宋体"/>
          <w:color w:val="000000"/>
          <w:sz w:val="22"/>
          <w:szCs w:val="22"/>
          <w:u w:val="single"/>
        </w:rPr>
        <w:t xml:space="preserve">  </w:t>
      </w:r>
      <w:r>
        <w:rPr>
          <w:rFonts w:hint="eastAsia" w:hAnsi="宋体"/>
          <w:color w:val="000000"/>
          <w:sz w:val="22"/>
          <w:szCs w:val="22"/>
        </w:rPr>
        <w:t>人，营业收入为</w:t>
      </w:r>
      <w:r>
        <w:rPr>
          <w:rFonts w:hint="eastAsia" w:hAnsi="宋体"/>
          <w:color w:val="000000"/>
          <w:sz w:val="22"/>
          <w:szCs w:val="22"/>
          <w:u w:val="single"/>
        </w:rPr>
        <w:t xml:space="preserve">  </w:t>
      </w:r>
      <w:r>
        <w:rPr>
          <w:rFonts w:hint="eastAsia" w:hAnsi="宋体"/>
          <w:color w:val="000000"/>
          <w:sz w:val="22"/>
          <w:szCs w:val="22"/>
        </w:rPr>
        <w:t>万元，资产总额为</w:t>
      </w:r>
      <w:r>
        <w:rPr>
          <w:rFonts w:hint="eastAsia" w:hAnsi="宋体"/>
          <w:color w:val="000000"/>
          <w:sz w:val="22"/>
          <w:szCs w:val="22"/>
          <w:u w:val="single"/>
        </w:rPr>
        <w:t xml:space="preserve">  </w:t>
      </w:r>
      <w:r>
        <w:rPr>
          <w:rFonts w:hint="eastAsia" w:hAnsi="宋体"/>
          <w:color w:val="000000"/>
          <w:sz w:val="22"/>
          <w:szCs w:val="22"/>
        </w:rPr>
        <w:t>万元，属于</w:t>
      </w:r>
      <w:r>
        <w:rPr>
          <w:rFonts w:hint="eastAsia" w:hAnsi="宋体"/>
          <w:color w:val="000000"/>
          <w:sz w:val="22"/>
          <w:szCs w:val="22"/>
          <w:u w:val="single"/>
        </w:rPr>
        <w:t xml:space="preserve">   </w:t>
      </w:r>
      <w:r>
        <w:rPr>
          <w:rFonts w:hint="eastAsia" w:hAnsi="宋体"/>
          <w:b/>
          <w:bCs/>
          <w:color w:val="000000"/>
          <w:sz w:val="22"/>
          <w:szCs w:val="22"/>
          <w:u w:val="single"/>
        </w:rPr>
        <w:t>（请选择填写：中型企业、 小型企业、微型企业）</w:t>
      </w:r>
      <w:r>
        <w:rPr>
          <w:rFonts w:hint="eastAsia" w:hAnsi="宋体"/>
          <w:color w:val="000000"/>
          <w:sz w:val="22"/>
          <w:szCs w:val="22"/>
          <w:u w:val="single"/>
        </w:rPr>
        <w:t xml:space="preserve">  </w:t>
      </w:r>
      <w:r>
        <w:rPr>
          <w:rFonts w:hint="eastAsia" w:hAnsi="宋体"/>
          <w:color w:val="000000"/>
          <w:sz w:val="22"/>
          <w:szCs w:val="22"/>
        </w:rPr>
        <w:t>；</w:t>
      </w:r>
    </w:p>
    <w:p w14:paraId="07D7B146">
      <w:pPr>
        <w:ind w:firstLine="440" w:firstLineChars="200"/>
        <w:rPr>
          <w:rFonts w:hint="eastAsia" w:hAnsi="宋体"/>
          <w:sz w:val="22"/>
          <w:szCs w:val="22"/>
        </w:rPr>
      </w:pPr>
      <w:r>
        <w:rPr>
          <w:rFonts w:hint="eastAsia" w:hAnsi="宋体"/>
          <w:sz w:val="22"/>
          <w:szCs w:val="22"/>
        </w:rPr>
        <w:t>……</w:t>
      </w:r>
    </w:p>
    <w:p w14:paraId="78B88E9C">
      <w:pPr>
        <w:spacing w:line="360" w:lineRule="exact"/>
        <w:ind w:firstLine="440" w:firstLineChars="200"/>
        <w:rPr>
          <w:rFonts w:hint="eastAsia" w:hAnsi="宋体"/>
          <w:sz w:val="22"/>
          <w:szCs w:val="22"/>
        </w:rPr>
      </w:pPr>
      <w:r>
        <w:rPr>
          <w:rFonts w:hint="eastAsia" w:hAnsi="宋体"/>
          <w:sz w:val="22"/>
          <w:szCs w:val="22"/>
        </w:rPr>
        <w:t xml:space="preserve">以上企业，不属于大企业的分支机构，不存在控股股东为大企业的情形，也不存在与大企业的负责人为同一人的情形。 </w:t>
      </w:r>
    </w:p>
    <w:p w14:paraId="5B44021D">
      <w:pPr>
        <w:spacing w:line="360" w:lineRule="exact"/>
        <w:ind w:firstLine="440" w:firstLineChars="200"/>
        <w:rPr>
          <w:rFonts w:hint="eastAsia" w:hAnsi="宋体"/>
          <w:sz w:val="22"/>
          <w:szCs w:val="22"/>
        </w:rPr>
      </w:pPr>
      <w:r>
        <w:rPr>
          <w:rFonts w:hint="eastAsia" w:hAnsi="宋体"/>
          <w:sz w:val="22"/>
          <w:szCs w:val="22"/>
        </w:rPr>
        <w:t>本公司已知悉《政府采购促进中小企业发展管理办法》（财库〔2020〕46 号）、《中小企业划型标准规定》（工信部联企〔2011〕300号）、《统计上大中小微型企业划分办法（2017）》等规定，承诺提供的声明函内容是真实的，并知悉根据《政府采购促进中小企业发展管理办法》（财库〔2020〕46 号）第二十条规定，供应商按照本办法规定提供声明函内容不实的，属于提供虚假材料谋取中标、成交，依照《政府采购法》等政府采购有关法律法规规定追究相应责任。本企业对上述声明内容的真实性负责。如有虚假，将依法承担相应责任。</w:t>
      </w:r>
    </w:p>
    <w:p w14:paraId="5B11EDB9">
      <w:pPr>
        <w:ind w:firstLine="440" w:firstLineChars="200"/>
        <w:jc w:val="center"/>
        <w:rPr>
          <w:rFonts w:hint="eastAsia" w:hAnsi="宋体"/>
          <w:sz w:val="22"/>
          <w:szCs w:val="22"/>
        </w:rPr>
      </w:pPr>
    </w:p>
    <w:p w14:paraId="59D9AE38">
      <w:pPr>
        <w:ind w:firstLine="440" w:firstLineChars="200"/>
        <w:jc w:val="center"/>
        <w:rPr>
          <w:rFonts w:hint="eastAsia" w:hAnsi="宋体"/>
          <w:sz w:val="22"/>
          <w:szCs w:val="22"/>
        </w:rPr>
      </w:pPr>
    </w:p>
    <w:p w14:paraId="0EFD7649">
      <w:pPr>
        <w:ind w:firstLine="440" w:firstLineChars="200"/>
        <w:jc w:val="center"/>
        <w:rPr>
          <w:rFonts w:hint="eastAsia" w:hAnsi="宋体"/>
          <w:sz w:val="22"/>
          <w:szCs w:val="22"/>
          <w:u w:val="single"/>
        </w:rPr>
      </w:pPr>
      <w:r>
        <w:rPr>
          <w:rFonts w:hint="eastAsia" w:hAnsi="宋体"/>
          <w:sz w:val="22"/>
          <w:szCs w:val="22"/>
        </w:rPr>
        <w:t xml:space="preserve">                                   企业名称（盖章）：</w:t>
      </w:r>
      <w:r>
        <w:rPr>
          <w:rFonts w:hint="eastAsia" w:hAnsi="宋体"/>
          <w:sz w:val="22"/>
          <w:szCs w:val="22"/>
          <w:u w:val="single"/>
        </w:rPr>
        <w:t xml:space="preserve">          </w:t>
      </w:r>
    </w:p>
    <w:p w14:paraId="2CAF7D20">
      <w:pPr>
        <w:ind w:firstLine="420" w:firstLineChars="200"/>
        <w:jc w:val="center"/>
      </w:pPr>
      <w:r>
        <w:rPr>
          <w:rFonts w:hint="eastAsia" w:hAnsi="宋体"/>
        </w:rPr>
        <w:t xml:space="preserve">                                 日期：</w:t>
      </w:r>
      <w:r>
        <w:rPr>
          <w:rFonts w:hint="eastAsia"/>
          <w:u w:val="single"/>
        </w:rPr>
        <w:t xml:space="preserve">               </w:t>
      </w:r>
    </w:p>
    <w:p w14:paraId="63600DB7">
      <w:pPr>
        <w:rPr>
          <w:rFonts w:hint="eastAsia" w:hAnsi="宋体"/>
        </w:rPr>
      </w:pPr>
    </w:p>
    <w:p w14:paraId="76FAFE31">
      <w:r>
        <w:rPr>
          <w:rFonts w:hint="eastAsia" w:hAnsi="宋体"/>
          <w:b/>
          <w:bCs/>
        </w:rPr>
        <w:t>（从业人员、营业收入、资产总额上一年度数据，无上一年度数据的新成立企业可不填报）</w:t>
      </w:r>
    </w:p>
    <w:p w14:paraId="15F6A067">
      <w:pPr>
        <w:rPr>
          <w:rFonts w:hint="eastAsia" w:hAnsi="宋体"/>
          <w:sz w:val="22"/>
          <w:u w:val="single"/>
        </w:rPr>
      </w:pPr>
      <w:r>
        <w:rPr>
          <w:rFonts w:hAnsi="宋体"/>
          <w:sz w:val="22"/>
          <w:u w:val="single"/>
        </w:rPr>
        <w:br w:type="page"/>
      </w:r>
    </w:p>
    <w:p w14:paraId="317459F9">
      <w:pPr>
        <w:spacing w:line="360" w:lineRule="exact"/>
        <w:jc w:val="center"/>
        <w:rPr>
          <w:rFonts w:hint="eastAsia" w:hAnsi="宋体"/>
          <w:b/>
          <w:spacing w:val="6"/>
          <w:sz w:val="22"/>
        </w:rPr>
      </w:pPr>
      <w:r>
        <w:rPr>
          <w:rFonts w:hint="eastAsia" w:hAnsi="宋体"/>
          <w:b/>
          <w:spacing w:val="6"/>
          <w:sz w:val="22"/>
        </w:rPr>
        <w:t>（二）残疾人福利性单位声明函</w:t>
      </w:r>
    </w:p>
    <w:p w14:paraId="57AC7508">
      <w:pPr>
        <w:spacing w:line="360" w:lineRule="exact"/>
        <w:ind w:firstLine="464" w:firstLineChars="200"/>
        <w:jc w:val="left"/>
        <w:rPr>
          <w:rFonts w:hint="eastAsia" w:hAnsi="宋体"/>
          <w:spacing w:val="6"/>
          <w:sz w:val="22"/>
          <w:szCs w:val="22"/>
        </w:rPr>
      </w:pPr>
      <w:r>
        <w:rPr>
          <w:rFonts w:hint="eastAsia" w:hAnsi="宋体"/>
          <w:spacing w:val="6"/>
          <w:sz w:val="22"/>
          <w:szCs w:val="22"/>
        </w:rPr>
        <w:t>本单位郑重声明，根据《财政部 民政部 中国残疾人联合会关于促进残疾人就业政府采购政策的通知》（财库〔2017〕 141号）的规定，本单位为符合条件的残疾人福利性单位，且本单位参加</w:t>
      </w:r>
      <w:r>
        <w:rPr>
          <w:rFonts w:hint="eastAsia" w:hAnsi="宋体"/>
          <w:b/>
          <w:bCs/>
          <w:sz w:val="22"/>
          <w:szCs w:val="22"/>
          <w:u w:val="single"/>
        </w:rPr>
        <w:t>（采购单位名称）</w:t>
      </w:r>
      <w:r>
        <w:rPr>
          <w:rFonts w:hint="eastAsia" w:hAnsi="宋体"/>
          <w:spacing w:val="6"/>
          <w:sz w:val="22"/>
          <w:szCs w:val="22"/>
        </w:rPr>
        <w:t>单位的</w:t>
      </w:r>
      <w:r>
        <w:rPr>
          <w:rFonts w:hint="eastAsia" w:hAnsi="宋体"/>
          <w:b/>
          <w:bCs/>
          <w:sz w:val="22"/>
          <w:szCs w:val="22"/>
          <w:u w:val="single"/>
        </w:rPr>
        <w:t>（采购项目名称）</w:t>
      </w:r>
      <w:r>
        <w:rPr>
          <w:rFonts w:hint="eastAsia" w:hAnsi="宋体"/>
          <w:spacing w:val="6"/>
          <w:sz w:val="22"/>
          <w:szCs w:val="22"/>
        </w:rPr>
        <w:t>项目采购活动提供本单位制造的货物（由本单位承担工程/提供服务），或者提供其他残疾人福利性单位制造的货物（不包括使用非残疾人福利性单位注册商标的货物）。</w:t>
      </w:r>
    </w:p>
    <w:p w14:paraId="0E128A01">
      <w:pPr>
        <w:spacing w:line="360" w:lineRule="exact"/>
        <w:ind w:firstLine="464" w:firstLineChars="200"/>
        <w:jc w:val="left"/>
        <w:rPr>
          <w:rFonts w:hint="eastAsia" w:hAnsi="宋体"/>
          <w:b/>
          <w:spacing w:val="6"/>
          <w:sz w:val="22"/>
        </w:rPr>
      </w:pPr>
      <w:r>
        <w:rPr>
          <w:rFonts w:hint="eastAsia" w:hAnsi="宋体"/>
          <w:spacing w:val="6"/>
          <w:sz w:val="22"/>
          <w:szCs w:val="22"/>
        </w:rPr>
        <w:t>本单位知悉《关于促进残疾人就业政府采购政策的通知》（财库〔2017〕141 号）的规定，承诺提供的声明函内容是真实的，如提供声明函内容不实，则依法追究相关法律责任。本单位对上述声明的真实性负责。如有虚假，将依法承担相应责任。</w:t>
      </w:r>
    </w:p>
    <w:p w14:paraId="7844F086">
      <w:pPr>
        <w:spacing w:line="360" w:lineRule="exact"/>
        <w:ind w:firstLine="440" w:firstLineChars="200"/>
        <w:rPr>
          <w:rFonts w:hint="eastAsia" w:hAnsi="宋体"/>
          <w:sz w:val="22"/>
        </w:rPr>
      </w:pPr>
    </w:p>
    <w:p w14:paraId="07CC2C4F">
      <w:pPr>
        <w:ind w:firstLine="5880" w:firstLineChars="2800"/>
        <w:jc w:val="left"/>
        <w:rPr>
          <w:rFonts w:hint="eastAsia" w:hAnsi="宋体"/>
        </w:rPr>
      </w:pPr>
    </w:p>
    <w:p w14:paraId="3ECC8E45">
      <w:pPr>
        <w:ind w:firstLine="5880" w:firstLineChars="2800"/>
        <w:jc w:val="left"/>
      </w:pPr>
      <w:r>
        <w:rPr>
          <w:rFonts w:hint="eastAsia" w:hAnsi="宋体"/>
        </w:rPr>
        <w:t>单位名称</w:t>
      </w:r>
      <w:r>
        <w:rPr>
          <w:rFonts w:hint="eastAsia" w:hAnsi="宋体"/>
          <w:sz w:val="22"/>
          <w:szCs w:val="22"/>
        </w:rPr>
        <w:t>（盖章）</w:t>
      </w:r>
      <w:r>
        <w:rPr>
          <w:rFonts w:hint="eastAsia" w:hAnsi="宋体"/>
        </w:rPr>
        <w:t>：</w:t>
      </w:r>
      <w:r>
        <w:rPr>
          <w:rFonts w:hint="eastAsia"/>
          <w:u w:val="single"/>
        </w:rPr>
        <w:t xml:space="preserve">           </w:t>
      </w:r>
    </w:p>
    <w:p w14:paraId="487AB00D">
      <w:pPr>
        <w:ind w:firstLine="420" w:firstLineChars="200"/>
        <w:jc w:val="center"/>
      </w:pPr>
      <w:r>
        <w:rPr>
          <w:rFonts w:hint="eastAsia" w:hAnsi="宋体"/>
        </w:rPr>
        <w:t xml:space="preserve">                                  日期：</w:t>
      </w:r>
      <w:r>
        <w:rPr>
          <w:rFonts w:hint="eastAsia"/>
          <w:u w:val="single"/>
        </w:rPr>
        <w:t xml:space="preserve">               </w:t>
      </w:r>
    </w:p>
    <w:p w14:paraId="25C0CB66">
      <w:pPr>
        <w:spacing w:line="360" w:lineRule="exact"/>
        <w:rPr>
          <w:rFonts w:hint="eastAsia" w:hAnsi="宋体"/>
          <w:b/>
          <w:spacing w:val="6"/>
          <w:sz w:val="22"/>
        </w:rPr>
      </w:pPr>
    </w:p>
    <w:p w14:paraId="7047D860">
      <w:pPr>
        <w:spacing w:line="360" w:lineRule="exact"/>
        <w:jc w:val="center"/>
        <w:rPr>
          <w:rFonts w:hint="eastAsia" w:hAnsi="宋体"/>
          <w:b/>
          <w:spacing w:val="6"/>
          <w:sz w:val="22"/>
        </w:rPr>
      </w:pPr>
    </w:p>
    <w:p w14:paraId="0F44D04A">
      <w:pPr>
        <w:pStyle w:val="7"/>
      </w:pPr>
    </w:p>
    <w:p w14:paraId="5DF772A2">
      <w:pPr>
        <w:spacing w:line="360" w:lineRule="exact"/>
        <w:jc w:val="center"/>
        <w:rPr>
          <w:rFonts w:hint="eastAsia" w:hAnsi="宋体"/>
          <w:b/>
          <w:spacing w:val="6"/>
          <w:sz w:val="22"/>
        </w:rPr>
      </w:pPr>
    </w:p>
    <w:p w14:paraId="78F5A330">
      <w:pPr>
        <w:pStyle w:val="7"/>
      </w:pPr>
    </w:p>
    <w:p w14:paraId="02826FB0">
      <w:pPr>
        <w:spacing w:line="360" w:lineRule="exact"/>
        <w:jc w:val="center"/>
        <w:rPr>
          <w:rFonts w:hint="eastAsia" w:hAnsi="宋体"/>
          <w:b/>
          <w:bCs/>
          <w:sz w:val="22"/>
        </w:rPr>
      </w:pPr>
      <w:r>
        <w:rPr>
          <w:rFonts w:hint="eastAsia" w:hAnsi="宋体"/>
          <w:b/>
          <w:spacing w:val="6"/>
          <w:sz w:val="22"/>
        </w:rPr>
        <w:t>（三）</w:t>
      </w:r>
      <w:r>
        <w:rPr>
          <w:rFonts w:hint="eastAsia"/>
          <w:b/>
          <w:sz w:val="24"/>
        </w:rPr>
        <w:t>监狱企业声明函（</w:t>
      </w:r>
      <w:r>
        <w:rPr>
          <w:b/>
          <w:spacing w:val="6"/>
          <w:sz w:val="22"/>
        </w:rPr>
        <w:t>省级以上监狱管理局、戒毒管理局(含新疆生产建设兵团)出具的属于监狱企业的证明文件原件的扫描件</w:t>
      </w:r>
      <w:r>
        <w:rPr>
          <w:rFonts w:hint="eastAsia"/>
          <w:b/>
          <w:sz w:val="24"/>
        </w:rPr>
        <w:t>）</w:t>
      </w:r>
    </w:p>
    <w:p w14:paraId="6103612B">
      <w:pPr>
        <w:spacing w:line="360" w:lineRule="exact"/>
        <w:ind w:firstLine="440" w:firstLineChars="200"/>
        <w:rPr>
          <w:rFonts w:hint="eastAsia" w:hAnsi="宋体"/>
          <w:sz w:val="22"/>
          <w:szCs w:val="22"/>
        </w:rPr>
      </w:pPr>
      <w:r>
        <w:rPr>
          <w:rFonts w:hint="eastAsia" w:hAnsi="宋体"/>
          <w:sz w:val="22"/>
          <w:szCs w:val="22"/>
        </w:rPr>
        <w:t>本单位郑重声明，根据《财政部司法部关于政府采购支持监狱企业发展有关问题的通知》（财库〔2014〕68号）的规定，本单位为符合条件的监狱企业，且本单位参加</w:t>
      </w:r>
      <w:r>
        <w:rPr>
          <w:rFonts w:hint="eastAsia" w:hAnsi="宋体"/>
          <w:b/>
          <w:bCs/>
          <w:sz w:val="22"/>
          <w:szCs w:val="22"/>
          <w:u w:val="single"/>
        </w:rPr>
        <w:t>（采购单位名称）</w:t>
      </w:r>
      <w:r>
        <w:rPr>
          <w:rFonts w:hint="eastAsia" w:hAnsi="宋体"/>
          <w:sz w:val="22"/>
          <w:szCs w:val="22"/>
        </w:rPr>
        <w:t>单位的</w:t>
      </w:r>
      <w:r>
        <w:rPr>
          <w:rFonts w:hint="eastAsia" w:hAnsi="宋体"/>
          <w:b/>
          <w:bCs/>
          <w:sz w:val="22"/>
          <w:szCs w:val="22"/>
          <w:u w:val="single"/>
        </w:rPr>
        <w:t>（采购项目名称）</w:t>
      </w:r>
      <w:r>
        <w:rPr>
          <w:rFonts w:hint="eastAsia" w:hAnsi="宋体"/>
          <w:sz w:val="22"/>
          <w:szCs w:val="22"/>
        </w:rPr>
        <w:t>项目采购活动，并提供:□本单位制造的货物；□由本单位承担的工程、提供服务；□提供其他监狱企业制造的货物（承诺人在□处打√）。本条所称货物是指单一产品采购项目中的货物，或者非单一产品采购项目中的核心产品（货物）。</w:t>
      </w:r>
    </w:p>
    <w:p w14:paraId="59B38B3C">
      <w:pPr>
        <w:spacing w:line="360" w:lineRule="exact"/>
        <w:ind w:firstLine="440" w:firstLineChars="200"/>
        <w:rPr>
          <w:rFonts w:hint="eastAsia" w:hAnsi="宋体"/>
          <w:sz w:val="22"/>
          <w:szCs w:val="22"/>
        </w:rPr>
      </w:pPr>
      <w:r>
        <w:rPr>
          <w:rFonts w:hint="eastAsia" w:hAnsi="宋体"/>
          <w:sz w:val="22"/>
          <w:szCs w:val="22"/>
        </w:rPr>
        <w:t>本单位对上述声明的真实性负责。如有虚假，将依法承担相应责任。</w:t>
      </w:r>
    </w:p>
    <w:p w14:paraId="57F15AC1">
      <w:pPr>
        <w:spacing w:line="360" w:lineRule="exact"/>
        <w:ind w:firstLine="440" w:firstLineChars="200"/>
        <w:rPr>
          <w:szCs w:val="21"/>
        </w:rPr>
      </w:pPr>
      <w:r>
        <w:rPr>
          <w:rFonts w:hint="eastAsia" w:hAnsi="宋体"/>
          <w:sz w:val="22"/>
          <w:szCs w:val="22"/>
        </w:rPr>
        <w:t>附：省级以上监狱管理局、戒毒管理局（含新疆生产建设兵团）出具的监狱企业证明文件。</w:t>
      </w:r>
    </w:p>
    <w:p w14:paraId="613395C6">
      <w:pPr>
        <w:ind w:firstLine="5460" w:firstLineChars="2600"/>
        <w:jc w:val="left"/>
        <w:rPr>
          <w:rFonts w:hint="eastAsia" w:hAnsi="宋体"/>
        </w:rPr>
      </w:pPr>
    </w:p>
    <w:p w14:paraId="1305A9D8">
      <w:pPr>
        <w:ind w:firstLine="5460" w:firstLineChars="2600"/>
        <w:jc w:val="left"/>
        <w:rPr>
          <w:rFonts w:hint="eastAsia" w:hAnsi="宋体"/>
        </w:rPr>
      </w:pPr>
    </w:p>
    <w:p w14:paraId="5B517FEF">
      <w:pPr>
        <w:ind w:firstLine="5460" w:firstLineChars="2600"/>
        <w:jc w:val="left"/>
      </w:pPr>
      <w:r>
        <w:rPr>
          <w:rFonts w:hint="eastAsia" w:hAnsi="宋体"/>
        </w:rPr>
        <w:t>单位名称</w:t>
      </w:r>
      <w:r>
        <w:rPr>
          <w:rFonts w:hint="eastAsia" w:hAnsi="宋体"/>
          <w:sz w:val="22"/>
          <w:szCs w:val="22"/>
        </w:rPr>
        <w:t>（盖章）</w:t>
      </w:r>
      <w:r>
        <w:rPr>
          <w:rFonts w:hint="eastAsia" w:hAnsi="宋体"/>
        </w:rPr>
        <w:t>：</w:t>
      </w:r>
      <w:r>
        <w:rPr>
          <w:rFonts w:hint="eastAsia"/>
          <w:u w:val="single"/>
        </w:rPr>
        <w:t xml:space="preserve">           </w:t>
      </w:r>
    </w:p>
    <w:p w14:paraId="60A5E411">
      <w:pPr>
        <w:ind w:firstLine="420" w:firstLineChars="200"/>
        <w:jc w:val="center"/>
      </w:pPr>
      <w:r>
        <w:rPr>
          <w:rFonts w:hint="eastAsia" w:hAnsi="宋体"/>
        </w:rPr>
        <w:t xml:space="preserve">                                  日期：</w:t>
      </w:r>
      <w:r>
        <w:rPr>
          <w:rFonts w:hint="eastAsia"/>
          <w:u w:val="single"/>
        </w:rPr>
        <w:t xml:space="preserve">               </w:t>
      </w:r>
    </w:p>
    <w:p w14:paraId="572B3DC3">
      <w:pPr>
        <w:spacing w:line="360" w:lineRule="exact"/>
        <w:jc w:val="center"/>
        <w:rPr>
          <w:rFonts w:hint="eastAsia" w:hAnsi="宋体"/>
          <w:b/>
          <w:spacing w:val="6"/>
          <w:sz w:val="22"/>
        </w:rPr>
      </w:pPr>
    </w:p>
    <w:p w14:paraId="30ED36A9">
      <w:pPr>
        <w:spacing w:line="360" w:lineRule="exact"/>
        <w:jc w:val="center"/>
        <w:rPr>
          <w:rFonts w:hint="eastAsia" w:hAnsi="宋体"/>
          <w:b/>
          <w:spacing w:val="6"/>
          <w:sz w:val="22"/>
        </w:rPr>
      </w:pPr>
    </w:p>
    <w:p w14:paraId="1756BC8D">
      <w:pPr>
        <w:rPr>
          <w:rFonts w:hint="eastAsia" w:hAnsi="宋体"/>
          <w:b/>
          <w:spacing w:val="6"/>
          <w:sz w:val="22"/>
        </w:rPr>
      </w:pPr>
      <w:r>
        <w:rPr>
          <w:rFonts w:hint="eastAsia" w:hAnsi="宋体"/>
          <w:b/>
          <w:spacing w:val="6"/>
          <w:sz w:val="22"/>
        </w:rPr>
        <w:br w:type="page"/>
      </w:r>
    </w:p>
    <w:p w14:paraId="758C27D0">
      <w:pPr>
        <w:spacing w:line="360" w:lineRule="exact"/>
        <w:jc w:val="center"/>
        <w:rPr>
          <w:rFonts w:hint="eastAsia" w:hAnsi="宋体"/>
          <w:b/>
          <w:spacing w:val="6"/>
          <w:sz w:val="22"/>
        </w:rPr>
      </w:pPr>
      <w:r>
        <w:rPr>
          <w:rFonts w:hint="eastAsia" w:hAnsi="宋体"/>
          <w:b/>
          <w:spacing w:val="6"/>
          <w:sz w:val="22"/>
        </w:rPr>
        <w:t>（四）含有小型、微型企业的联合体声明函</w:t>
      </w:r>
    </w:p>
    <w:p w14:paraId="1CE0586A">
      <w:pPr>
        <w:spacing w:line="240" w:lineRule="auto"/>
        <w:ind w:firstLine="420" w:firstLineChars="200"/>
        <w:rPr>
          <w:szCs w:val="21"/>
        </w:rPr>
      </w:pPr>
    </w:p>
    <w:p w14:paraId="65ACAC1A">
      <w:pPr>
        <w:spacing w:line="360" w:lineRule="exact"/>
        <w:ind w:firstLine="440" w:firstLineChars="200"/>
        <w:rPr>
          <w:sz w:val="22"/>
          <w:szCs w:val="22"/>
        </w:rPr>
      </w:pPr>
      <w:r>
        <w:rPr>
          <w:sz w:val="22"/>
          <w:szCs w:val="22"/>
        </w:rPr>
        <w:t>1.</w:t>
      </w:r>
      <w:r>
        <w:rPr>
          <w:sz w:val="22"/>
          <w:szCs w:val="22"/>
          <w:u w:val="single"/>
        </w:rPr>
        <w:t>___</w:t>
      </w:r>
      <w:r>
        <w:rPr>
          <w:rFonts w:hint="eastAsia"/>
          <w:sz w:val="22"/>
          <w:szCs w:val="22"/>
        </w:rPr>
        <w:t>（供应商名称、供应商名称）</w:t>
      </w:r>
      <w:r>
        <w:rPr>
          <w:sz w:val="22"/>
          <w:szCs w:val="22"/>
          <w:u w:val="single"/>
        </w:rPr>
        <w:t>____</w:t>
      </w:r>
      <w:r>
        <w:rPr>
          <w:rFonts w:hint="eastAsia"/>
          <w:sz w:val="22"/>
          <w:szCs w:val="22"/>
        </w:rPr>
        <w:t>共同组成联合体（详见联合体协议）。根据《工业和信息化部、国家统计局、国家发展和改革委员会、财政部关于印发中小企业划型标准规定的通知》（工信部联企业〔</w:t>
      </w:r>
      <w:r>
        <w:rPr>
          <w:sz w:val="22"/>
          <w:szCs w:val="22"/>
        </w:rPr>
        <w:t>2011</w:t>
      </w:r>
      <w:r>
        <w:rPr>
          <w:rFonts w:hint="eastAsia"/>
          <w:sz w:val="22"/>
          <w:szCs w:val="22"/>
        </w:rPr>
        <w:t>〕</w:t>
      </w:r>
      <w:r>
        <w:rPr>
          <w:sz w:val="22"/>
          <w:szCs w:val="22"/>
        </w:rPr>
        <w:t>300</w:t>
      </w:r>
      <w:r>
        <w:rPr>
          <w:sz w:val="22"/>
          <w:szCs w:val="22"/>
          <w:u w:val="single"/>
        </w:rPr>
        <w:t>_</w:t>
      </w:r>
      <w:r>
        <w:rPr>
          <w:rFonts w:hint="eastAsia"/>
          <w:sz w:val="22"/>
          <w:szCs w:val="22"/>
        </w:rPr>
        <w:t>号）规定的划分标准，本联合体中：□</w:t>
      </w:r>
      <w:r>
        <w:rPr>
          <w:sz w:val="22"/>
          <w:szCs w:val="22"/>
          <w:u w:val="single"/>
        </w:rPr>
        <w:t>______</w:t>
      </w:r>
      <w:r>
        <w:rPr>
          <w:rFonts w:hint="eastAsia"/>
          <w:sz w:val="22"/>
          <w:szCs w:val="22"/>
        </w:rPr>
        <w:t>单位为</w:t>
      </w:r>
      <w:r>
        <w:rPr>
          <w:sz w:val="22"/>
          <w:szCs w:val="22"/>
          <w:u w:val="single"/>
        </w:rPr>
        <w:t>______</w:t>
      </w:r>
      <w:r>
        <w:rPr>
          <w:rFonts w:hint="eastAsia"/>
          <w:sz w:val="22"/>
          <w:szCs w:val="22"/>
        </w:rPr>
        <w:t>（请填写：中型、小型、微型）企业，</w:t>
      </w:r>
      <w:r>
        <w:rPr>
          <w:sz w:val="22"/>
          <w:szCs w:val="22"/>
          <w:u w:val="single"/>
        </w:rPr>
        <w:t>______</w:t>
      </w:r>
      <w:r>
        <w:rPr>
          <w:rFonts w:hint="eastAsia"/>
          <w:sz w:val="22"/>
          <w:szCs w:val="22"/>
        </w:rPr>
        <w:t>单位为</w:t>
      </w:r>
      <w:r>
        <w:rPr>
          <w:sz w:val="22"/>
          <w:szCs w:val="22"/>
          <w:u w:val="single"/>
        </w:rPr>
        <w:t>______</w:t>
      </w:r>
      <w:r>
        <w:rPr>
          <w:rFonts w:hint="eastAsia"/>
          <w:sz w:val="22"/>
          <w:szCs w:val="22"/>
        </w:rPr>
        <w:t>（请填写：中型、小型、微型）企业；□联合体各方均为小微企业（承诺人在□处打√）。</w:t>
      </w:r>
    </w:p>
    <w:p w14:paraId="2C535A3B">
      <w:pPr>
        <w:spacing w:line="360" w:lineRule="exact"/>
        <w:ind w:firstLine="440" w:firstLineChars="200"/>
        <w:rPr>
          <w:sz w:val="22"/>
          <w:szCs w:val="22"/>
        </w:rPr>
      </w:pPr>
      <w:r>
        <w:rPr>
          <w:sz w:val="22"/>
          <w:szCs w:val="22"/>
        </w:rPr>
        <w:t>2.</w:t>
      </w:r>
      <w:r>
        <w:rPr>
          <w:rFonts w:hint="eastAsia"/>
          <w:sz w:val="22"/>
          <w:szCs w:val="22"/>
        </w:rPr>
        <w:t>本联合体参加</w:t>
      </w:r>
      <w:r>
        <w:rPr>
          <w:sz w:val="22"/>
          <w:szCs w:val="22"/>
          <w:u w:val="single"/>
        </w:rPr>
        <w:t>_</w:t>
      </w:r>
      <w:r>
        <w:rPr>
          <w:rFonts w:hint="eastAsia"/>
          <w:sz w:val="22"/>
          <w:szCs w:val="22"/>
        </w:rPr>
        <w:t>（采购单位名称）</w:t>
      </w:r>
      <w:r>
        <w:rPr>
          <w:sz w:val="22"/>
          <w:szCs w:val="22"/>
          <w:u w:val="single"/>
        </w:rPr>
        <w:t>_</w:t>
      </w:r>
      <w:r>
        <w:rPr>
          <w:rFonts w:hint="eastAsia"/>
          <w:sz w:val="22"/>
          <w:szCs w:val="22"/>
        </w:rPr>
        <w:t>单位的</w:t>
      </w:r>
      <w:r>
        <w:rPr>
          <w:sz w:val="22"/>
          <w:szCs w:val="22"/>
          <w:u w:val="single"/>
        </w:rPr>
        <w:t>_</w:t>
      </w:r>
      <w:r>
        <w:rPr>
          <w:rFonts w:hint="eastAsia"/>
          <w:sz w:val="22"/>
          <w:szCs w:val="22"/>
        </w:rPr>
        <w:t>（采购项目名称）</w:t>
      </w:r>
      <w:r>
        <w:rPr>
          <w:sz w:val="22"/>
          <w:szCs w:val="22"/>
          <w:u w:val="single"/>
        </w:rPr>
        <w:t>_</w:t>
      </w:r>
      <w:r>
        <w:rPr>
          <w:rFonts w:hint="eastAsia"/>
          <w:sz w:val="22"/>
          <w:szCs w:val="22"/>
        </w:rPr>
        <w:t>项目采购活动，其中，小型、微型企业协议合同金额占到联合体协议总金额比例为</w:t>
      </w:r>
      <w:r>
        <w:rPr>
          <w:sz w:val="22"/>
          <w:szCs w:val="22"/>
          <w:u w:val="single"/>
        </w:rPr>
        <w:t>_____</w:t>
      </w:r>
      <w:r>
        <w:rPr>
          <w:sz w:val="22"/>
          <w:szCs w:val="22"/>
        </w:rPr>
        <w:t>%</w:t>
      </w:r>
      <w:r>
        <w:rPr>
          <w:rFonts w:hint="eastAsia"/>
          <w:sz w:val="22"/>
          <w:szCs w:val="22"/>
        </w:rPr>
        <w:t>（该合同金额为：□小微企业制造的货物，□小微企业承担的工程、提供服务，□提供其他小微企业制造的货物；不包括使用大型企业注册商标的货物；请承诺人在□处打√），符合《政府采购促进中小企业发展暂行办法》</w:t>
      </w:r>
      <w:r>
        <w:rPr>
          <w:sz w:val="22"/>
          <w:szCs w:val="22"/>
        </w:rPr>
        <w:t>(</w:t>
      </w:r>
      <w:r>
        <w:rPr>
          <w:rFonts w:hint="eastAsia"/>
          <w:sz w:val="22"/>
          <w:szCs w:val="22"/>
        </w:rPr>
        <w:t>财库〔</w:t>
      </w:r>
      <w:r>
        <w:rPr>
          <w:sz w:val="22"/>
          <w:szCs w:val="22"/>
        </w:rPr>
        <w:t>2011</w:t>
      </w:r>
      <w:r>
        <w:rPr>
          <w:rFonts w:hint="eastAsia"/>
          <w:sz w:val="22"/>
          <w:szCs w:val="22"/>
        </w:rPr>
        <w:t>〕</w:t>
      </w:r>
      <w:r>
        <w:rPr>
          <w:sz w:val="22"/>
          <w:szCs w:val="22"/>
        </w:rPr>
        <w:t>181</w:t>
      </w:r>
      <w:r>
        <w:rPr>
          <w:sz w:val="22"/>
          <w:szCs w:val="22"/>
          <w:u w:val="single"/>
        </w:rPr>
        <w:t>_</w:t>
      </w:r>
      <w:r>
        <w:rPr>
          <w:rFonts w:hint="eastAsia"/>
          <w:sz w:val="22"/>
          <w:szCs w:val="22"/>
        </w:rPr>
        <w:t>号</w:t>
      </w:r>
      <w:r>
        <w:rPr>
          <w:sz w:val="22"/>
          <w:szCs w:val="22"/>
        </w:rPr>
        <w:t>)</w:t>
      </w:r>
      <w:r>
        <w:rPr>
          <w:rFonts w:hint="eastAsia"/>
          <w:sz w:val="22"/>
          <w:szCs w:val="22"/>
        </w:rPr>
        <w:t>第六条规定的优惠政策。本联合体对上述声明的真实性负责。如有虚假，将依法承担相应责任。</w:t>
      </w:r>
    </w:p>
    <w:p w14:paraId="14B95BC8">
      <w:pPr>
        <w:spacing w:line="360" w:lineRule="exact"/>
        <w:ind w:firstLine="440" w:firstLineChars="200"/>
        <w:jc w:val="left"/>
        <w:rPr>
          <w:sz w:val="22"/>
          <w:szCs w:val="22"/>
        </w:rPr>
      </w:pPr>
      <w:r>
        <w:rPr>
          <w:rFonts w:hint="eastAsia"/>
          <w:sz w:val="22"/>
          <w:szCs w:val="22"/>
        </w:rPr>
        <w:t>企业</w:t>
      </w:r>
      <w:r>
        <w:rPr>
          <w:sz w:val="22"/>
          <w:szCs w:val="22"/>
        </w:rPr>
        <w:t>1</w:t>
      </w:r>
      <w:r>
        <w:rPr>
          <w:rFonts w:hint="eastAsia"/>
          <w:sz w:val="22"/>
          <w:szCs w:val="22"/>
        </w:rPr>
        <w:t>名称（盖章）：</w:t>
      </w:r>
      <w:r>
        <w:rPr>
          <w:sz w:val="22"/>
          <w:szCs w:val="22"/>
          <w:u w:val="single"/>
        </w:rPr>
        <w:t>_______________________</w:t>
      </w:r>
      <w:r>
        <w:rPr>
          <w:sz w:val="22"/>
          <w:szCs w:val="22"/>
        </w:rPr>
        <w:t xml:space="preserve"> </w:t>
      </w:r>
    </w:p>
    <w:p w14:paraId="2602D309">
      <w:pPr>
        <w:spacing w:line="360" w:lineRule="exact"/>
        <w:ind w:firstLine="440" w:firstLineChars="200"/>
        <w:jc w:val="left"/>
        <w:rPr>
          <w:sz w:val="22"/>
          <w:szCs w:val="22"/>
        </w:rPr>
      </w:pPr>
      <w:r>
        <w:rPr>
          <w:rFonts w:hint="eastAsia"/>
          <w:sz w:val="22"/>
          <w:szCs w:val="22"/>
        </w:rPr>
        <w:t>日期：</w:t>
      </w:r>
      <w:r>
        <w:rPr>
          <w:sz w:val="22"/>
          <w:szCs w:val="22"/>
          <w:u w:val="single"/>
        </w:rPr>
        <w:t>_____________________________________</w:t>
      </w:r>
      <w:r>
        <w:rPr>
          <w:sz w:val="22"/>
          <w:szCs w:val="22"/>
        </w:rPr>
        <w:t xml:space="preserve"> </w:t>
      </w:r>
    </w:p>
    <w:p w14:paraId="5566CFC4">
      <w:pPr>
        <w:spacing w:line="360" w:lineRule="exact"/>
        <w:ind w:firstLine="440" w:firstLineChars="200"/>
        <w:jc w:val="left"/>
        <w:rPr>
          <w:sz w:val="22"/>
          <w:szCs w:val="22"/>
        </w:rPr>
      </w:pPr>
      <w:r>
        <w:rPr>
          <w:rFonts w:hint="eastAsia"/>
          <w:sz w:val="22"/>
          <w:szCs w:val="22"/>
        </w:rPr>
        <w:t>企业</w:t>
      </w:r>
      <w:r>
        <w:rPr>
          <w:sz w:val="22"/>
          <w:szCs w:val="22"/>
        </w:rPr>
        <w:t>2</w:t>
      </w:r>
      <w:r>
        <w:rPr>
          <w:rFonts w:hint="eastAsia"/>
          <w:sz w:val="22"/>
          <w:szCs w:val="22"/>
        </w:rPr>
        <w:t>名称（盖章）：</w:t>
      </w:r>
      <w:r>
        <w:rPr>
          <w:sz w:val="22"/>
          <w:szCs w:val="22"/>
          <w:u w:val="single"/>
        </w:rPr>
        <w:t>_______________________</w:t>
      </w:r>
    </w:p>
    <w:p w14:paraId="643D87B0">
      <w:pPr>
        <w:spacing w:line="360" w:lineRule="exact"/>
        <w:ind w:firstLine="440" w:firstLineChars="200"/>
        <w:rPr>
          <w:sz w:val="22"/>
          <w:szCs w:val="22"/>
        </w:rPr>
      </w:pPr>
      <w:r>
        <w:rPr>
          <w:rFonts w:hint="eastAsia"/>
          <w:sz w:val="22"/>
          <w:szCs w:val="22"/>
        </w:rPr>
        <w:t>日期：</w:t>
      </w:r>
      <w:r>
        <w:rPr>
          <w:sz w:val="22"/>
          <w:szCs w:val="22"/>
          <w:u w:val="single"/>
        </w:rPr>
        <w:t>_____________________________________</w:t>
      </w:r>
    </w:p>
    <w:p w14:paraId="278B63F3">
      <w:pPr>
        <w:pStyle w:val="84"/>
        <w:ind w:left="420" w:firstLine="420"/>
        <w:rPr>
          <w:rFonts w:hint="eastAsia" w:ascii="宋体" w:hAnsi="宋体" w:cs="宋体"/>
        </w:rPr>
      </w:pPr>
    </w:p>
    <w:p w14:paraId="2986222B">
      <w:pPr>
        <w:spacing w:before="231" w:beforeLines="50"/>
        <w:ind w:firstLine="466" w:firstLineChars="200"/>
        <w:jc w:val="center"/>
        <w:rPr>
          <w:b/>
        </w:rPr>
      </w:pPr>
      <w:bookmarkStart w:id="148" w:name="_Toc26220"/>
      <w:bookmarkStart w:id="149" w:name="_Toc50736478"/>
      <w:bookmarkStart w:id="150" w:name="_Toc87417460"/>
      <w:bookmarkStart w:id="151" w:name="_Toc170699948"/>
      <w:bookmarkStart w:id="152" w:name="_Toc435515301"/>
      <w:bookmarkStart w:id="153" w:name="_Toc256000035"/>
      <w:bookmarkStart w:id="154" w:name="_Toc239051894"/>
      <w:bookmarkStart w:id="155" w:name="_Toc275865622"/>
      <w:bookmarkStart w:id="156" w:name="_Toc435514862"/>
      <w:bookmarkStart w:id="157" w:name="_Toc52165082"/>
      <w:bookmarkStart w:id="158" w:name="_Toc435514861"/>
      <w:bookmarkStart w:id="159" w:name="_Toc50691038"/>
      <w:bookmarkStart w:id="160" w:name="_Toc50737298"/>
      <w:bookmarkStart w:id="161" w:name="_Toc275865623"/>
      <w:bookmarkStart w:id="162" w:name="_Toc275865609"/>
      <w:bookmarkStart w:id="163" w:name="_Toc435515302"/>
      <w:bookmarkStart w:id="164" w:name="_Toc50737330"/>
      <w:r>
        <w:rPr>
          <w:rFonts w:hint="eastAsia" w:hAnsi="宋体"/>
          <w:b/>
          <w:spacing w:val="6"/>
          <w:sz w:val="22"/>
        </w:rPr>
        <w:t>（五）</w:t>
      </w:r>
      <w:r>
        <w:rPr>
          <w:rFonts w:hint="eastAsia"/>
          <w:b/>
        </w:rPr>
        <w:t>分包意向协议书</w:t>
      </w:r>
    </w:p>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14:paraId="19D98AA3">
      <w:pPr>
        <w:widowControl w:val="0"/>
        <w:shd w:val="clear" w:color="auto" w:fill="auto"/>
        <w:tabs>
          <w:tab w:val="left" w:pos="7740"/>
          <w:tab w:val="clear" w:pos="426"/>
        </w:tabs>
        <w:adjustRightInd/>
        <w:snapToGrid/>
        <w:spacing w:line="360" w:lineRule="exact"/>
        <w:ind w:firstLine="420" w:firstLineChars="200"/>
        <w:rPr>
          <w:rFonts w:hint="eastAsia" w:hAnsi="宋体"/>
          <w:kern w:val="10"/>
          <w:szCs w:val="21"/>
        </w:rPr>
      </w:pPr>
      <w:r>
        <w:rPr>
          <w:rFonts w:hint="eastAsia" w:hAnsi="宋体"/>
          <w:kern w:val="10"/>
          <w:szCs w:val="21"/>
        </w:rPr>
        <w:t>立约方：</w:t>
      </w:r>
    </w:p>
    <w:p w14:paraId="49A85FD6">
      <w:pPr>
        <w:widowControl w:val="0"/>
        <w:shd w:val="clear" w:color="auto" w:fill="auto"/>
        <w:tabs>
          <w:tab w:val="left" w:pos="7740"/>
          <w:tab w:val="clear" w:pos="426"/>
        </w:tabs>
        <w:adjustRightInd/>
        <w:snapToGrid/>
        <w:spacing w:line="360" w:lineRule="exact"/>
        <w:ind w:firstLine="420" w:firstLineChars="200"/>
        <w:rPr>
          <w:rFonts w:hint="eastAsia" w:hAnsi="宋体"/>
          <w:kern w:val="2"/>
          <w:szCs w:val="21"/>
          <w:u w:val="single"/>
        </w:rPr>
      </w:pPr>
      <w:r>
        <w:rPr>
          <w:rFonts w:hint="eastAsia" w:hAnsi="宋体"/>
          <w:kern w:val="2"/>
          <w:szCs w:val="21"/>
          <w:u w:val="single"/>
        </w:rPr>
        <w:t xml:space="preserve">（甲方全称）           </w:t>
      </w:r>
    </w:p>
    <w:p w14:paraId="5B717FAA">
      <w:pPr>
        <w:widowControl w:val="0"/>
        <w:shd w:val="clear" w:color="auto" w:fill="auto"/>
        <w:tabs>
          <w:tab w:val="left" w:pos="7740"/>
          <w:tab w:val="clear" w:pos="426"/>
        </w:tabs>
        <w:adjustRightInd/>
        <w:snapToGrid/>
        <w:spacing w:line="360" w:lineRule="exact"/>
        <w:ind w:firstLine="420" w:firstLineChars="200"/>
        <w:rPr>
          <w:rFonts w:hint="eastAsia" w:hAnsi="宋体"/>
          <w:kern w:val="2"/>
          <w:szCs w:val="21"/>
          <w:u w:val="single"/>
        </w:rPr>
      </w:pPr>
      <w:r>
        <w:rPr>
          <w:rFonts w:hint="eastAsia" w:hAnsi="宋体"/>
          <w:kern w:val="2"/>
          <w:szCs w:val="21"/>
          <w:u w:val="single"/>
        </w:rPr>
        <w:t xml:space="preserve">（乙方全称）           </w:t>
      </w:r>
    </w:p>
    <w:p w14:paraId="2C3B7E51">
      <w:pPr>
        <w:widowControl w:val="0"/>
        <w:shd w:val="clear" w:color="auto" w:fill="auto"/>
        <w:tabs>
          <w:tab w:val="left" w:pos="7740"/>
          <w:tab w:val="clear" w:pos="426"/>
        </w:tabs>
        <w:adjustRightInd/>
        <w:snapToGrid/>
        <w:spacing w:line="360" w:lineRule="exact"/>
        <w:ind w:firstLine="420" w:firstLineChars="200"/>
        <w:rPr>
          <w:rFonts w:hint="eastAsia" w:hAnsi="宋体"/>
          <w:kern w:val="2"/>
          <w:szCs w:val="21"/>
          <w:u w:val="single"/>
        </w:rPr>
      </w:pPr>
      <w:r>
        <w:rPr>
          <w:rFonts w:hint="eastAsia" w:hAnsi="宋体"/>
          <w:kern w:val="2"/>
          <w:szCs w:val="21"/>
          <w:u w:val="single"/>
        </w:rPr>
        <w:t xml:space="preserve">（丙方全称）           </w:t>
      </w:r>
    </w:p>
    <w:p w14:paraId="0169AFF0">
      <w:pPr>
        <w:widowControl w:val="0"/>
        <w:shd w:val="clear" w:color="auto" w:fill="auto"/>
        <w:tabs>
          <w:tab w:val="left" w:pos="7740"/>
          <w:tab w:val="clear" w:pos="426"/>
        </w:tabs>
        <w:adjustRightInd/>
        <w:snapToGrid/>
        <w:spacing w:line="360" w:lineRule="exact"/>
        <w:ind w:firstLine="420" w:firstLineChars="200"/>
        <w:rPr>
          <w:rFonts w:hint="eastAsia" w:hAnsi="宋体"/>
          <w:kern w:val="2"/>
          <w:szCs w:val="21"/>
          <w:u w:val="single"/>
        </w:rPr>
      </w:pPr>
      <w:r>
        <w:rPr>
          <w:rFonts w:hint="eastAsia" w:hAnsi="宋体"/>
          <w:kern w:val="2"/>
          <w:szCs w:val="21"/>
          <w:u w:val="single"/>
        </w:rPr>
        <w:t xml:space="preserve"> (……)                </w:t>
      </w:r>
    </w:p>
    <w:p w14:paraId="4E8F3ABE">
      <w:pPr>
        <w:widowControl w:val="0"/>
        <w:shd w:val="clear" w:color="auto" w:fill="auto"/>
        <w:tabs>
          <w:tab w:val="left" w:pos="7740"/>
          <w:tab w:val="clear" w:pos="426"/>
        </w:tabs>
        <w:adjustRightInd/>
        <w:spacing w:line="360" w:lineRule="exact"/>
        <w:ind w:firstLine="420" w:firstLineChars="200"/>
        <w:jc w:val="left"/>
        <w:rPr>
          <w:rFonts w:hint="eastAsia" w:hAnsi="宋体"/>
          <w:kern w:val="2"/>
          <w:szCs w:val="21"/>
        </w:rPr>
      </w:pPr>
    </w:p>
    <w:p w14:paraId="67CD5979">
      <w:pPr>
        <w:widowControl w:val="0"/>
        <w:shd w:val="clear" w:color="auto" w:fill="auto"/>
        <w:tabs>
          <w:tab w:val="left" w:pos="7740"/>
          <w:tab w:val="clear" w:pos="426"/>
        </w:tabs>
        <w:adjustRightInd/>
        <w:spacing w:line="360" w:lineRule="exact"/>
        <w:ind w:firstLine="420" w:firstLineChars="200"/>
        <w:jc w:val="left"/>
        <w:rPr>
          <w:rFonts w:hint="eastAsia" w:hAnsi="宋体"/>
          <w:kern w:val="2"/>
          <w:szCs w:val="21"/>
        </w:rPr>
      </w:pPr>
      <w:r>
        <w:rPr>
          <w:rFonts w:hint="eastAsia" w:hAnsi="宋体"/>
          <w:kern w:val="2"/>
          <w:szCs w:val="21"/>
          <w:u w:val="single"/>
        </w:rPr>
        <w:t xml:space="preserve">（甲方全称）    </w:t>
      </w:r>
      <w:r>
        <w:rPr>
          <w:rFonts w:hint="eastAsia" w:hAnsi="宋体"/>
          <w:kern w:val="2"/>
          <w:szCs w:val="21"/>
        </w:rPr>
        <w:t>为投标方（分包方），就项目编号为:</w:t>
      </w:r>
      <w:r>
        <w:rPr>
          <w:rFonts w:hint="eastAsia" w:hAnsi="宋体"/>
          <w:kern w:val="2"/>
          <w:szCs w:val="21"/>
          <w:u w:val="single"/>
        </w:rPr>
        <w:t xml:space="preserve">        </w:t>
      </w:r>
      <w:r>
        <w:rPr>
          <w:rFonts w:hint="eastAsia" w:hAnsi="宋体"/>
          <w:kern w:val="2"/>
          <w:szCs w:val="21"/>
        </w:rPr>
        <w:t>项目名称为:</w:t>
      </w:r>
      <w:r>
        <w:rPr>
          <w:rFonts w:hint="eastAsia" w:hAnsi="宋体"/>
          <w:kern w:val="2"/>
          <w:szCs w:val="21"/>
          <w:u w:val="single"/>
        </w:rPr>
        <w:t xml:space="preserve">           </w:t>
      </w:r>
      <w:r>
        <w:rPr>
          <w:rFonts w:hint="eastAsia" w:hAnsi="宋体"/>
          <w:kern w:val="2"/>
          <w:szCs w:val="21"/>
        </w:rPr>
        <w:t>的项目投标事宜，与</w:t>
      </w:r>
      <w:r>
        <w:rPr>
          <w:rFonts w:hint="eastAsia" w:hAnsi="宋体"/>
          <w:kern w:val="2"/>
          <w:szCs w:val="21"/>
          <w:u w:val="single"/>
        </w:rPr>
        <w:t xml:space="preserve">     （乙方全称）</w:t>
      </w:r>
      <w:r>
        <w:rPr>
          <w:rFonts w:hint="eastAsia" w:hAnsi="宋体"/>
          <w:kern w:val="2"/>
          <w:szCs w:val="21"/>
        </w:rPr>
        <w:t>、</w:t>
      </w:r>
      <w:r>
        <w:rPr>
          <w:rFonts w:hint="eastAsia" w:hAnsi="宋体"/>
          <w:kern w:val="2"/>
          <w:szCs w:val="21"/>
          <w:u w:val="single"/>
        </w:rPr>
        <w:t xml:space="preserve">   （丙方全称）</w:t>
      </w:r>
      <w:r>
        <w:rPr>
          <w:rFonts w:hint="eastAsia" w:hAnsi="宋体"/>
          <w:kern w:val="2"/>
          <w:szCs w:val="21"/>
        </w:rPr>
        <w:t>、</w:t>
      </w:r>
      <w:r>
        <w:rPr>
          <w:rFonts w:hint="eastAsia" w:hAnsi="宋体"/>
          <w:kern w:val="2"/>
          <w:szCs w:val="21"/>
          <w:u w:val="single"/>
        </w:rPr>
        <w:t xml:space="preserve">   （…）</w:t>
      </w:r>
      <w:r>
        <w:rPr>
          <w:rFonts w:hint="eastAsia" w:hAnsi="宋体"/>
          <w:kern w:val="2"/>
          <w:szCs w:val="21"/>
        </w:rPr>
        <w:t>通过友好协商达成以下协议：</w:t>
      </w:r>
    </w:p>
    <w:p w14:paraId="4BEE6314">
      <w:pPr>
        <w:widowControl w:val="0"/>
        <w:shd w:val="clear" w:color="auto" w:fill="auto"/>
        <w:tabs>
          <w:tab w:val="left" w:pos="7740"/>
          <w:tab w:val="clear" w:pos="426"/>
        </w:tabs>
        <w:adjustRightInd/>
        <w:spacing w:line="360" w:lineRule="exact"/>
        <w:ind w:firstLine="420" w:firstLineChars="200"/>
        <w:jc w:val="left"/>
        <w:rPr>
          <w:rFonts w:hint="eastAsia" w:hAnsi="宋体"/>
          <w:kern w:val="2"/>
          <w:szCs w:val="21"/>
        </w:rPr>
      </w:pPr>
      <w:r>
        <w:rPr>
          <w:rFonts w:hint="eastAsia" w:hAnsi="宋体"/>
          <w:bCs/>
          <w:kern w:val="2"/>
          <w:szCs w:val="21"/>
        </w:rPr>
        <w:t>一、在本次投标有效期内，</w:t>
      </w:r>
      <w:r>
        <w:rPr>
          <w:rFonts w:hint="eastAsia" w:hAnsi="宋体"/>
          <w:kern w:val="2"/>
          <w:szCs w:val="21"/>
          <w:u w:val="single"/>
        </w:rPr>
        <w:t xml:space="preserve">     （乙方全称）</w:t>
      </w:r>
      <w:r>
        <w:rPr>
          <w:rFonts w:hint="eastAsia" w:hAnsi="宋体"/>
          <w:kern w:val="2"/>
          <w:szCs w:val="21"/>
        </w:rPr>
        <w:t>、</w:t>
      </w:r>
      <w:r>
        <w:rPr>
          <w:rFonts w:hint="eastAsia" w:hAnsi="宋体"/>
          <w:kern w:val="2"/>
          <w:szCs w:val="21"/>
          <w:u w:val="single"/>
        </w:rPr>
        <w:t xml:space="preserve">   （丙方全称）</w:t>
      </w:r>
      <w:r>
        <w:rPr>
          <w:rFonts w:hint="eastAsia" w:hAnsi="宋体"/>
          <w:kern w:val="2"/>
          <w:szCs w:val="21"/>
        </w:rPr>
        <w:t>、</w:t>
      </w:r>
      <w:r>
        <w:rPr>
          <w:rFonts w:hint="eastAsia" w:hAnsi="宋体"/>
          <w:kern w:val="2"/>
          <w:szCs w:val="21"/>
          <w:u w:val="single"/>
        </w:rPr>
        <w:t xml:space="preserve">   （…）</w:t>
      </w:r>
      <w:r>
        <w:rPr>
          <w:rFonts w:hint="eastAsia" w:hAnsi="宋体"/>
          <w:kern w:val="2"/>
          <w:szCs w:val="21"/>
        </w:rPr>
        <w:t>同意</w:t>
      </w:r>
      <w:r>
        <w:rPr>
          <w:rFonts w:hint="eastAsia" w:hAnsi="宋体"/>
          <w:kern w:val="2"/>
          <w:szCs w:val="21"/>
          <w:u w:val="single"/>
        </w:rPr>
        <w:t xml:space="preserve">（甲方全称）     </w:t>
      </w:r>
      <w:r>
        <w:rPr>
          <w:rFonts w:hint="eastAsia" w:hAnsi="宋体"/>
          <w:kern w:val="2"/>
          <w:szCs w:val="21"/>
        </w:rPr>
        <w:t>参加上述项目投标事宜。若中标，各方按照本协议中约定的分工事项，完成各方对应的工作。</w:t>
      </w:r>
    </w:p>
    <w:p w14:paraId="135BD43B">
      <w:pPr>
        <w:widowControl w:val="0"/>
        <w:shd w:val="clear" w:color="auto" w:fill="auto"/>
        <w:tabs>
          <w:tab w:val="left" w:pos="7740"/>
          <w:tab w:val="clear" w:pos="426"/>
        </w:tabs>
        <w:adjustRightInd/>
        <w:spacing w:line="360" w:lineRule="exact"/>
        <w:ind w:firstLine="420" w:firstLineChars="200"/>
        <w:jc w:val="left"/>
        <w:rPr>
          <w:rFonts w:hint="eastAsia" w:hAnsi="宋体"/>
          <w:bCs/>
          <w:kern w:val="2"/>
          <w:szCs w:val="21"/>
        </w:rPr>
      </w:pPr>
      <w:r>
        <w:rPr>
          <w:rFonts w:hint="eastAsia" w:hAnsi="宋体"/>
          <w:bCs/>
          <w:kern w:val="2"/>
          <w:szCs w:val="21"/>
        </w:rPr>
        <w:t>二、各方分工：</w:t>
      </w:r>
    </w:p>
    <w:p w14:paraId="44E9865E">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1.本项目投标工作由</w:t>
      </w:r>
      <w:r>
        <w:rPr>
          <w:rFonts w:hint="eastAsia" w:hAnsi="宋体"/>
          <w:kern w:val="2"/>
          <w:szCs w:val="21"/>
          <w:u w:val="single"/>
        </w:rPr>
        <w:t xml:space="preserve">（甲方全称）          </w:t>
      </w:r>
      <w:r>
        <w:rPr>
          <w:rFonts w:hint="eastAsia" w:hAnsi="宋体"/>
          <w:kern w:val="2"/>
          <w:szCs w:val="21"/>
        </w:rPr>
        <w:t>负责。</w:t>
      </w:r>
    </w:p>
    <w:p w14:paraId="4DD4A10F">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2.本项目由</w:t>
      </w:r>
      <w:r>
        <w:rPr>
          <w:rFonts w:hint="eastAsia" w:hAnsi="宋体"/>
          <w:kern w:val="2"/>
          <w:szCs w:val="21"/>
          <w:u w:val="single"/>
        </w:rPr>
        <w:t xml:space="preserve">（甲方全称）      </w:t>
      </w:r>
      <w:r>
        <w:rPr>
          <w:rFonts w:hint="eastAsia" w:hAnsi="宋体"/>
          <w:kern w:val="2"/>
          <w:szCs w:val="21"/>
        </w:rPr>
        <w:t>授权人员负责与采购人联系。</w:t>
      </w:r>
    </w:p>
    <w:p w14:paraId="71339F47">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3.</w:t>
      </w:r>
      <w:r>
        <w:rPr>
          <w:rFonts w:hint="eastAsia" w:hAnsi="宋体"/>
          <w:kern w:val="2"/>
          <w:szCs w:val="21"/>
          <w:u w:val="single"/>
        </w:rPr>
        <w:t xml:space="preserve">（甲方全称）     </w:t>
      </w:r>
      <w:r>
        <w:rPr>
          <w:rFonts w:hint="eastAsia" w:hAnsi="宋体"/>
          <w:kern w:val="2"/>
          <w:szCs w:val="21"/>
        </w:rPr>
        <w:t>为分包方，属于</w:t>
      </w:r>
      <w:r>
        <w:rPr>
          <w:rFonts w:hint="eastAsia" w:hAnsi="宋体"/>
          <w:kern w:val="2"/>
          <w:szCs w:val="21"/>
          <w:u w:val="single"/>
        </w:rPr>
        <w:t xml:space="preserve">     （中型企业、小型企业、微型企业）</w:t>
      </w:r>
      <w:r>
        <w:rPr>
          <w:rFonts w:hint="eastAsia" w:hAnsi="宋体"/>
          <w:kern w:val="2"/>
          <w:szCs w:val="21"/>
        </w:rPr>
        <w:t xml:space="preserve">，拟承担的工作为: </w:t>
      </w:r>
      <w:r>
        <w:rPr>
          <w:rFonts w:hint="eastAsia" w:hAnsi="宋体"/>
          <w:kern w:val="2"/>
          <w:szCs w:val="21"/>
          <w:u w:val="single"/>
        </w:rPr>
        <w:t xml:space="preserve">              </w:t>
      </w:r>
      <w:r>
        <w:rPr>
          <w:rFonts w:hint="eastAsia" w:hAnsi="宋体"/>
          <w:kern w:val="2"/>
          <w:szCs w:val="21"/>
        </w:rPr>
        <w:t>。</w:t>
      </w:r>
    </w:p>
    <w:p w14:paraId="64725709">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4.</w:t>
      </w:r>
      <w:r>
        <w:rPr>
          <w:rFonts w:hint="eastAsia" w:hAnsi="宋体"/>
          <w:kern w:val="2"/>
          <w:szCs w:val="21"/>
          <w:u w:val="single"/>
        </w:rPr>
        <w:t xml:space="preserve">（乙方全称）     </w:t>
      </w:r>
      <w:r>
        <w:rPr>
          <w:rFonts w:hint="eastAsia" w:hAnsi="宋体"/>
          <w:kern w:val="2"/>
          <w:szCs w:val="21"/>
        </w:rPr>
        <w:t>为接受分包合同的分包承担方，属于</w:t>
      </w:r>
      <w:r>
        <w:rPr>
          <w:rFonts w:hint="eastAsia" w:hAnsi="宋体"/>
          <w:kern w:val="2"/>
          <w:szCs w:val="21"/>
          <w:u w:val="single"/>
        </w:rPr>
        <w:t xml:space="preserve">     （中型企业、小型企业、微型企业）</w:t>
      </w:r>
      <w:r>
        <w:rPr>
          <w:rFonts w:hint="eastAsia" w:hAnsi="宋体"/>
          <w:kern w:val="2"/>
          <w:szCs w:val="21"/>
        </w:rPr>
        <w:t xml:space="preserve">，拟承担的工作为: </w:t>
      </w:r>
      <w:r>
        <w:rPr>
          <w:rFonts w:hint="eastAsia" w:hAnsi="宋体"/>
          <w:kern w:val="2"/>
          <w:szCs w:val="21"/>
          <w:u w:val="single"/>
        </w:rPr>
        <w:t xml:space="preserve">              </w:t>
      </w:r>
      <w:r>
        <w:rPr>
          <w:rFonts w:hint="eastAsia" w:hAnsi="宋体"/>
          <w:kern w:val="2"/>
          <w:szCs w:val="21"/>
        </w:rPr>
        <w:t>，其分包合同金额所占合同总金额比例为</w:t>
      </w:r>
      <w:r>
        <w:rPr>
          <w:rFonts w:hint="eastAsia" w:hAnsi="宋体"/>
          <w:kern w:val="2"/>
          <w:szCs w:val="21"/>
          <w:u w:val="single"/>
        </w:rPr>
        <w:t xml:space="preserve">       </w:t>
      </w:r>
      <w:r>
        <w:rPr>
          <w:rFonts w:hint="eastAsia" w:hAnsi="宋体"/>
          <w:kern w:val="2"/>
          <w:szCs w:val="21"/>
        </w:rPr>
        <w:t>。</w:t>
      </w:r>
    </w:p>
    <w:p w14:paraId="1181D202">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5.</w:t>
      </w:r>
      <w:r>
        <w:rPr>
          <w:rFonts w:hint="eastAsia" w:hAnsi="宋体"/>
          <w:kern w:val="2"/>
          <w:szCs w:val="21"/>
          <w:u w:val="single"/>
        </w:rPr>
        <w:t xml:space="preserve">（丙方全称）     </w:t>
      </w:r>
      <w:r>
        <w:rPr>
          <w:rFonts w:hint="eastAsia" w:hAnsi="宋体"/>
          <w:kern w:val="2"/>
          <w:szCs w:val="21"/>
        </w:rPr>
        <w:t>为接受分包合同的分包承担方，属于</w:t>
      </w:r>
      <w:r>
        <w:rPr>
          <w:rFonts w:hint="eastAsia" w:hAnsi="宋体"/>
          <w:kern w:val="2"/>
          <w:szCs w:val="21"/>
          <w:u w:val="single"/>
        </w:rPr>
        <w:t xml:space="preserve">     （中型企业、小型企业、微型企业）</w:t>
      </w:r>
      <w:r>
        <w:rPr>
          <w:rFonts w:hint="eastAsia" w:hAnsi="宋体"/>
          <w:kern w:val="2"/>
          <w:szCs w:val="21"/>
        </w:rPr>
        <w:t xml:space="preserve">，拟承担的工作为: </w:t>
      </w:r>
      <w:r>
        <w:rPr>
          <w:rFonts w:hint="eastAsia" w:hAnsi="宋体"/>
          <w:kern w:val="2"/>
          <w:szCs w:val="21"/>
          <w:u w:val="single"/>
        </w:rPr>
        <w:t xml:space="preserve">              </w:t>
      </w:r>
      <w:r>
        <w:rPr>
          <w:rFonts w:hint="eastAsia" w:hAnsi="宋体"/>
          <w:kern w:val="2"/>
          <w:szCs w:val="21"/>
        </w:rPr>
        <w:t>，其分包合同金额所占合同总金额比例为</w:t>
      </w:r>
      <w:r>
        <w:rPr>
          <w:rFonts w:hint="eastAsia" w:hAnsi="宋体"/>
          <w:kern w:val="2"/>
          <w:szCs w:val="21"/>
          <w:u w:val="single"/>
        </w:rPr>
        <w:t xml:space="preserve">       </w:t>
      </w:r>
      <w:r>
        <w:rPr>
          <w:rFonts w:hint="eastAsia" w:hAnsi="宋体"/>
          <w:kern w:val="2"/>
          <w:szCs w:val="21"/>
        </w:rPr>
        <w:t>。</w:t>
      </w:r>
    </w:p>
    <w:p w14:paraId="3C62531F">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6.</w:t>
      </w:r>
      <w:r>
        <w:rPr>
          <w:rFonts w:hint="eastAsia" w:hAnsi="宋体"/>
          <w:bCs/>
          <w:kern w:val="2"/>
          <w:szCs w:val="21"/>
        </w:rPr>
        <w:t>接受分包合同的中小企业与分包企业之间不存在直接控股、管理关系。</w:t>
      </w:r>
    </w:p>
    <w:p w14:paraId="231B8F2D">
      <w:pPr>
        <w:widowControl w:val="0"/>
        <w:shd w:val="clear" w:color="auto" w:fill="auto"/>
        <w:adjustRightInd/>
        <w:snapToGrid/>
        <w:spacing w:line="360" w:lineRule="exact"/>
        <w:ind w:firstLine="420" w:firstLineChars="200"/>
        <w:jc w:val="left"/>
        <w:rPr>
          <w:rFonts w:hint="eastAsia" w:hAnsi="宋体"/>
          <w:kern w:val="2"/>
          <w:szCs w:val="21"/>
        </w:rPr>
      </w:pPr>
      <w:r>
        <w:rPr>
          <w:rFonts w:hint="eastAsia" w:hAnsi="宋体"/>
          <w:kern w:val="2"/>
          <w:szCs w:val="21"/>
        </w:rPr>
        <w:t>7.如中标，各方应按照招标文件的各项要求和内部职责的划分，承担自身所负的责任和风险。</w:t>
      </w:r>
    </w:p>
    <w:p w14:paraId="73506CB0">
      <w:pPr>
        <w:widowControl w:val="0"/>
        <w:shd w:val="clear" w:color="auto" w:fill="auto"/>
        <w:tabs>
          <w:tab w:val="left" w:pos="7740"/>
          <w:tab w:val="clear" w:pos="426"/>
        </w:tabs>
        <w:adjustRightInd/>
        <w:spacing w:line="360" w:lineRule="exact"/>
        <w:ind w:firstLine="420" w:firstLineChars="200"/>
        <w:jc w:val="left"/>
        <w:rPr>
          <w:rFonts w:hint="eastAsia" w:hAnsi="宋体"/>
          <w:bCs/>
          <w:kern w:val="2"/>
          <w:szCs w:val="21"/>
        </w:rPr>
      </w:pPr>
      <w:r>
        <w:rPr>
          <w:rFonts w:hint="eastAsia" w:hAnsi="宋体"/>
          <w:bCs/>
          <w:kern w:val="2"/>
          <w:szCs w:val="21"/>
        </w:rPr>
        <w:t>三、本协议在自签署之日起生效，投标有效期内有效，如获中标资格，合同有效期延续至合同履行完毕之日。</w:t>
      </w:r>
    </w:p>
    <w:p w14:paraId="6F6696BE">
      <w:pPr>
        <w:widowControl w:val="0"/>
        <w:shd w:val="clear" w:color="auto" w:fill="auto"/>
        <w:tabs>
          <w:tab w:val="left" w:pos="7740"/>
          <w:tab w:val="clear" w:pos="426"/>
        </w:tabs>
        <w:adjustRightInd/>
        <w:spacing w:line="360" w:lineRule="exact"/>
        <w:ind w:firstLine="420" w:firstLineChars="200"/>
        <w:jc w:val="left"/>
        <w:rPr>
          <w:rFonts w:hint="eastAsia" w:hAnsi="宋体"/>
          <w:bCs/>
          <w:kern w:val="2"/>
          <w:szCs w:val="21"/>
        </w:rPr>
      </w:pPr>
      <w:r>
        <w:rPr>
          <w:rFonts w:hint="eastAsia" w:hAnsi="宋体"/>
          <w:bCs/>
          <w:kern w:val="2"/>
          <w:szCs w:val="21"/>
        </w:rPr>
        <w:t>四、本协议书正本一式</w:t>
      </w:r>
      <w:r>
        <w:rPr>
          <w:rFonts w:hint="eastAsia" w:hAnsi="宋体"/>
          <w:bCs/>
          <w:kern w:val="2"/>
          <w:szCs w:val="21"/>
          <w:u w:val="single"/>
        </w:rPr>
        <w:t xml:space="preserve">   </w:t>
      </w:r>
      <w:r>
        <w:rPr>
          <w:rFonts w:hint="eastAsia" w:hAnsi="宋体"/>
          <w:bCs/>
          <w:kern w:val="2"/>
          <w:szCs w:val="21"/>
        </w:rPr>
        <w:t>份，随投标文件装订</w:t>
      </w:r>
      <w:r>
        <w:rPr>
          <w:rFonts w:hint="eastAsia" w:hAnsi="宋体"/>
          <w:bCs/>
          <w:kern w:val="2"/>
          <w:szCs w:val="21"/>
          <w:u w:val="single"/>
        </w:rPr>
        <w:t xml:space="preserve">   </w:t>
      </w:r>
      <w:r>
        <w:rPr>
          <w:rFonts w:hint="eastAsia" w:hAnsi="宋体"/>
          <w:bCs/>
          <w:kern w:val="2"/>
          <w:szCs w:val="21"/>
        </w:rPr>
        <w:t>份，送采购人</w:t>
      </w:r>
      <w:r>
        <w:rPr>
          <w:rFonts w:hint="eastAsia" w:hAnsi="宋体"/>
          <w:bCs/>
          <w:kern w:val="2"/>
          <w:szCs w:val="21"/>
          <w:u w:val="single"/>
        </w:rPr>
        <w:t xml:space="preserve">   </w:t>
      </w:r>
      <w:r>
        <w:rPr>
          <w:rFonts w:hint="eastAsia" w:hAnsi="宋体"/>
          <w:bCs/>
          <w:kern w:val="2"/>
          <w:szCs w:val="21"/>
        </w:rPr>
        <w:t>份，分包意向协议成员各一份；副本一式</w:t>
      </w:r>
      <w:r>
        <w:rPr>
          <w:rFonts w:hint="eastAsia" w:hAnsi="宋体"/>
          <w:bCs/>
          <w:kern w:val="2"/>
          <w:szCs w:val="21"/>
          <w:u w:val="single"/>
        </w:rPr>
        <w:t xml:space="preserve">   </w:t>
      </w:r>
      <w:r>
        <w:rPr>
          <w:rFonts w:hint="eastAsia" w:hAnsi="宋体"/>
          <w:bCs/>
          <w:kern w:val="2"/>
          <w:szCs w:val="21"/>
        </w:rPr>
        <w:t>份，分包意向协议成员各执</w:t>
      </w:r>
      <w:r>
        <w:rPr>
          <w:rFonts w:hint="eastAsia" w:hAnsi="宋体"/>
          <w:bCs/>
          <w:kern w:val="2"/>
          <w:szCs w:val="21"/>
          <w:u w:val="single"/>
        </w:rPr>
        <w:t xml:space="preserve">   </w:t>
      </w:r>
      <w:r>
        <w:rPr>
          <w:rFonts w:hint="eastAsia" w:hAnsi="宋体"/>
          <w:bCs/>
          <w:kern w:val="2"/>
          <w:szCs w:val="21"/>
        </w:rPr>
        <w:t>份。</w:t>
      </w:r>
    </w:p>
    <w:p w14:paraId="4DB1EC23">
      <w:pPr>
        <w:widowControl w:val="0"/>
        <w:shd w:val="clear" w:color="auto" w:fill="auto"/>
        <w:adjustRightInd/>
        <w:snapToGrid/>
        <w:spacing w:line="360" w:lineRule="exact"/>
        <w:ind w:firstLine="420" w:firstLineChars="200"/>
        <w:rPr>
          <w:rFonts w:hint="eastAsia" w:hAnsi="宋体"/>
          <w:kern w:val="2"/>
          <w:szCs w:val="21"/>
        </w:rPr>
      </w:pPr>
    </w:p>
    <w:p w14:paraId="3DBCD0F5">
      <w:pPr>
        <w:shd w:val="clear" w:color="auto" w:fill="auto"/>
        <w:tabs>
          <w:tab w:val="left" w:pos="7740"/>
          <w:tab w:val="clear" w:pos="426"/>
        </w:tabs>
        <w:adjustRightInd/>
        <w:snapToGrid/>
        <w:spacing w:line="360" w:lineRule="exact"/>
        <w:ind w:firstLine="420" w:firstLineChars="200"/>
        <w:jc w:val="left"/>
        <w:rPr>
          <w:rFonts w:hint="eastAsia" w:hAnsi="宋体"/>
          <w:kern w:val="2"/>
          <w:szCs w:val="21"/>
        </w:rPr>
      </w:pPr>
    </w:p>
    <w:p w14:paraId="0FA92378">
      <w:pPr>
        <w:shd w:val="clear" w:color="auto" w:fill="auto"/>
        <w:tabs>
          <w:tab w:val="left" w:pos="7740"/>
          <w:tab w:val="clear" w:pos="426"/>
        </w:tabs>
        <w:adjustRightInd/>
        <w:snapToGrid/>
        <w:spacing w:line="360" w:lineRule="exact"/>
        <w:ind w:firstLine="420" w:firstLineChars="200"/>
        <w:jc w:val="left"/>
        <w:rPr>
          <w:rFonts w:hint="eastAsia" w:hAnsi="宋体"/>
          <w:kern w:val="2"/>
          <w:szCs w:val="21"/>
        </w:rPr>
      </w:pPr>
      <w:r>
        <w:rPr>
          <w:rFonts w:hint="eastAsia" w:hAnsi="宋体"/>
          <w:kern w:val="2"/>
          <w:szCs w:val="21"/>
        </w:rPr>
        <w:t>甲方全称（盖章）：</w:t>
      </w:r>
      <w:r>
        <w:rPr>
          <w:rFonts w:hint="eastAsia" w:hAnsi="宋体"/>
          <w:kern w:val="2"/>
          <w:szCs w:val="21"/>
          <w:u w:val="single"/>
        </w:rPr>
        <w:t xml:space="preserve">        </w:t>
      </w:r>
    </w:p>
    <w:p w14:paraId="66C26B9D">
      <w:pPr>
        <w:shd w:val="clear" w:color="auto" w:fill="auto"/>
        <w:tabs>
          <w:tab w:val="left" w:pos="7740"/>
          <w:tab w:val="clear" w:pos="426"/>
        </w:tabs>
        <w:adjustRightInd/>
        <w:snapToGrid/>
        <w:spacing w:line="360" w:lineRule="exact"/>
        <w:ind w:firstLine="420" w:firstLineChars="200"/>
        <w:jc w:val="left"/>
        <w:rPr>
          <w:rFonts w:hint="eastAsia" w:hAnsi="宋体"/>
          <w:kern w:val="2"/>
          <w:szCs w:val="21"/>
          <w:u w:val="single"/>
        </w:rPr>
      </w:pPr>
      <w:r>
        <w:rPr>
          <w:rFonts w:hint="eastAsia" w:hAnsi="宋体"/>
          <w:kern w:val="2"/>
          <w:szCs w:val="21"/>
        </w:rPr>
        <w:t>法定代表人（签字）：</w:t>
      </w:r>
      <w:r>
        <w:rPr>
          <w:rFonts w:hint="eastAsia" w:hAnsi="宋体"/>
          <w:kern w:val="2"/>
          <w:szCs w:val="21"/>
          <w:u w:val="single"/>
        </w:rPr>
        <w:t xml:space="preserve">        </w:t>
      </w:r>
    </w:p>
    <w:p w14:paraId="4BA748A4">
      <w:pPr>
        <w:shd w:val="clear" w:color="auto" w:fill="auto"/>
        <w:tabs>
          <w:tab w:val="left" w:pos="7740"/>
          <w:tab w:val="clear" w:pos="426"/>
        </w:tabs>
        <w:adjustRightInd/>
        <w:snapToGrid/>
        <w:spacing w:line="360" w:lineRule="exact"/>
        <w:ind w:firstLine="420" w:firstLineChars="200"/>
        <w:jc w:val="left"/>
        <w:rPr>
          <w:rFonts w:hint="eastAsia" w:hAnsi="宋体"/>
          <w:kern w:val="2"/>
          <w:szCs w:val="21"/>
        </w:rPr>
      </w:pPr>
      <w:r>
        <w:rPr>
          <w:rFonts w:hint="eastAsia" w:hAnsi="宋体"/>
          <w:kern w:val="2"/>
          <w:szCs w:val="21"/>
          <w:u w:val="single"/>
        </w:rPr>
        <w:t xml:space="preserve">       </w:t>
      </w:r>
      <w:r>
        <w:rPr>
          <w:rFonts w:hint="eastAsia" w:hAnsi="宋体"/>
          <w:kern w:val="2"/>
          <w:szCs w:val="21"/>
        </w:rPr>
        <w:t>年</w:t>
      </w:r>
      <w:r>
        <w:rPr>
          <w:rFonts w:hint="eastAsia" w:hAnsi="宋体"/>
          <w:kern w:val="2"/>
          <w:szCs w:val="21"/>
          <w:u w:val="single"/>
        </w:rPr>
        <w:t xml:space="preserve">     </w:t>
      </w:r>
      <w:r>
        <w:rPr>
          <w:rFonts w:hint="eastAsia" w:hAnsi="宋体"/>
          <w:kern w:val="2"/>
          <w:szCs w:val="21"/>
        </w:rPr>
        <w:t>月</w:t>
      </w:r>
      <w:r>
        <w:rPr>
          <w:rFonts w:hint="eastAsia" w:hAnsi="宋体"/>
          <w:kern w:val="2"/>
          <w:szCs w:val="21"/>
          <w:u w:val="single"/>
        </w:rPr>
        <w:t xml:space="preserve">     </w:t>
      </w:r>
      <w:r>
        <w:rPr>
          <w:rFonts w:hint="eastAsia" w:hAnsi="宋体"/>
          <w:kern w:val="2"/>
          <w:szCs w:val="21"/>
        </w:rPr>
        <w:t>日</w:t>
      </w:r>
    </w:p>
    <w:p w14:paraId="6B9A96EA">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p>
    <w:p w14:paraId="249C78F5">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rPr>
        <w:t>乙方全称（盖章）：</w:t>
      </w:r>
      <w:r>
        <w:rPr>
          <w:rFonts w:hAnsi="宋体" w:cs="Times New Roman"/>
          <w:kern w:val="2"/>
          <w:szCs w:val="21"/>
          <w:u w:val="single"/>
        </w:rPr>
        <w:t xml:space="preserve">        </w:t>
      </w:r>
    </w:p>
    <w:p w14:paraId="21D922DA">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u w:val="single"/>
        </w:rPr>
      </w:pPr>
      <w:r>
        <w:rPr>
          <w:rFonts w:hint="eastAsia" w:hAnsi="宋体" w:cs="Times New Roman"/>
          <w:kern w:val="2"/>
          <w:szCs w:val="21"/>
        </w:rPr>
        <w:t>法定代表人（签字）：</w:t>
      </w:r>
      <w:r>
        <w:rPr>
          <w:rFonts w:hint="eastAsia" w:hAnsi="宋体" w:cs="Times New Roman"/>
          <w:kern w:val="2"/>
          <w:szCs w:val="21"/>
          <w:u w:val="single"/>
        </w:rPr>
        <w:t xml:space="preserve"> </w:t>
      </w:r>
      <w:r>
        <w:rPr>
          <w:rFonts w:hAnsi="宋体" w:cs="Times New Roman"/>
          <w:kern w:val="2"/>
          <w:szCs w:val="21"/>
          <w:u w:val="single"/>
        </w:rPr>
        <w:t xml:space="preserve">       </w:t>
      </w:r>
    </w:p>
    <w:p w14:paraId="221AC27D">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年</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月</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日</w:t>
      </w:r>
    </w:p>
    <w:p w14:paraId="77A3FF36">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p>
    <w:p w14:paraId="6982B798">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rPr>
        <w:t>丙方全称（盖章）：</w:t>
      </w:r>
      <w:r>
        <w:rPr>
          <w:rFonts w:hAnsi="宋体" w:cs="Times New Roman"/>
          <w:kern w:val="2"/>
          <w:szCs w:val="21"/>
          <w:u w:val="single"/>
        </w:rPr>
        <w:t xml:space="preserve">        </w:t>
      </w:r>
    </w:p>
    <w:p w14:paraId="56CA4185">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u w:val="single"/>
        </w:rPr>
      </w:pPr>
      <w:r>
        <w:rPr>
          <w:rFonts w:hint="eastAsia" w:hAnsi="宋体" w:cs="Times New Roman"/>
          <w:kern w:val="2"/>
          <w:szCs w:val="21"/>
        </w:rPr>
        <w:t>法定代表人（签字）：</w:t>
      </w:r>
      <w:r>
        <w:rPr>
          <w:rFonts w:hint="eastAsia" w:hAnsi="宋体" w:cs="Times New Roman"/>
          <w:kern w:val="2"/>
          <w:szCs w:val="21"/>
          <w:u w:val="single"/>
        </w:rPr>
        <w:t xml:space="preserve"> </w:t>
      </w:r>
      <w:r>
        <w:rPr>
          <w:rFonts w:hAnsi="宋体" w:cs="Times New Roman"/>
          <w:kern w:val="2"/>
          <w:szCs w:val="21"/>
          <w:u w:val="single"/>
        </w:rPr>
        <w:t xml:space="preserve">       </w:t>
      </w:r>
    </w:p>
    <w:p w14:paraId="28407C76">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年</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月</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日</w:t>
      </w:r>
    </w:p>
    <w:p w14:paraId="4CF378FB">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p>
    <w:p w14:paraId="33752547">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rPr>
        <w:t>……方全称（盖章）：</w:t>
      </w:r>
      <w:r>
        <w:rPr>
          <w:rFonts w:hAnsi="宋体" w:cs="Times New Roman"/>
          <w:kern w:val="2"/>
          <w:szCs w:val="21"/>
          <w:u w:val="single"/>
        </w:rPr>
        <w:t xml:space="preserve">        </w:t>
      </w:r>
    </w:p>
    <w:p w14:paraId="3023E471">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u w:val="single"/>
        </w:rPr>
      </w:pPr>
      <w:r>
        <w:rPr>
          <w:rFonts w:hint="eastAsia" w:hAnsi="宋体" w:cs="Times New Roman"/>
          <w:kern w:val="2"/>
          <w:szCs w:val="21"/>
        </w:rPr>
        <w:t>法定代表人（签字）：</w:t>
      </w:r>
      <w:r>
        <w:rPr>
          <w:rFonts w:hint="eastAsia" w:hAnsi="宋体" w:cs="Times New Roman"/>
          <w:kern w:val="2"/>
          <w:szCs w:val="21"/>
          <w:u w:val="single"/>
        </w:rPr>
        <w:t xml:space="preserve"> </w:t>
      </w:r>
      <w:r>
        <w:rPr>
          <w:rFonts w:hAnsi="宋体" w:cs="Times New Roman"/>
          <w:kern w:val="2"/>
          <w:szCs w:val="21"/>
          <w:u w:val="single"/>
        </w:rPr>
        <w:t xml:space="preserve">       </w:t>
      </w:r>
    </w:p>
    <w:p w14:paraId="6BFFA01C">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年</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月</w:t>
      </w:r>
      <w:r>
        <w:rPr>
          <w:rFonts w:hint="eastAsia" w:hAnsi="宋体" w:cs="Times New Roman"/>
          <w:kern w:val="2"/>
          <w:szCs w:val="21"/>
          <w:u w:val="single"/>
        </w:rPr>
        <w:t xml:space="preserve">  </w:t>
      </w:r>
      <w:r>
        <w:rPr>
          <w:rFonts w:hAnsi="宋体" w:cs="Times New Roman"/>
          <w:kern w:val="2"/>
          <w:szCs w:val="21"/>
          <w:u w:val="single"/>
        </w:rPr>
        <w:t xml:space="preserve">  </w:t>
      </w:r>
      <w:r>
        <w:rPr>
          <w:rFonts w:hint="eastAsia" w:hAnsi="宋体" w:cs="Times New Roman"/>
          <w:kern w:val="2"/>
          <w:szCs w:val="21"/>
          <w:u w:val="single"/>
        </w:rPr>
        <w:t xml:space="preserve"> </w:t>
      </w:r>
      <w:r>
        <w:rPr>
          <w:rFonts w:hint="eastAsia" w:hAnsi="宋体" w:cs="Times New Roman"/>
          <w:kern w:val="2"/>
          <w:szCs w:val="21"/>
        </w:rPr>
        <w:t>日</w:t>
      </w:r>
    </w:p>
    <w:p w14:paraId="48AE42F0">
      <w:pPr>
        <w:shd w:val="clear" w:color="auto" w:fill="auto"/>
        <w:tabs>
          <w:tab w:val="left" w:pos="7740"/>
          <w:tab w:val="clear" w:pos="426"/>
        </w:tabs>
        <w:adjustRightInd/>
        <w:snapToGrid/>
        <w:spacing w:line="360" w:lineRule="exact"/>
        <w:ind w:firstLine="420" w:firstLineChars="200"/>
        <w:jc w:val="left"/>
        <w:rPr>
          <w:rFonts w:hint="eastAsia" w:hAnsi="宋体" w:cs="Times New Roman"/>
          <w:kern w:val="2"/>
          <w:szCs w:val="21"/>
        </w:rPr>
      </w:pPr>
    </w:p>
    <w:p w14:paraId="604AD943">
      <w:pPr>
        <w:widowControl w:val="0"/>
        <w:shd w:val="clear" w:color="auto" w:fill="auto"/>
        <w:tabs>
          <w:tab w:val="left" w:pos="7740"/>
          <w:tab w:val="clear" w:pos="426"/>
        </w:tabs>
        <w:adjustRightInd/>
        <w:snapToGrid/>
        <w:spacing w:line="360" w:lineRule="exact"/>
        <w:ind w:firstLine="420" w:firstLineChars="200"/>
        <w:rPr>
          <w:rFonts w:hint="eastAsia" w:hAnsi="宋体" w:cs="Times New Roman"/>
          <w:kern w:val="2"/>
          <w:szCs w:val="21"/>
        </w:rPr>
      </w:pPr>
      <w:r>
        <w:rPr>
          <w:rFonts w:hint="eastAsia" w:hAnsi="宋体" w:cs="Times New Roman"/>
          <w:kern w:val="2"/>
          <w:szCs w:val="21"/>
        </w:rPr>
        <w:t>注：</w:t>
      </w:r>
    </w:p>
    <w:p w14:paraId="327DC4A5">
      <w:pPr>
        <w:widowControl w:val="0"/>
        <w:shd w:val="clear" w:color="auto" w:fill="auto"/>
        <w:tabs>
          <w:tab w:val="left" w:pos="7740"/>
          <w:tab w:val="clear" w:pos="426"/>
        </w:tabs>
        <w:adjustRightInd/>
        <w:snapToGrid/>
        <w:spacing w:line="360" w:lineRule="exact"/>
        <w:ind w:firstLine="420" w:firstLineChars="200"/>
        <w:rPr>
          <w:rFonts w:hint="eastAsia" w:hAnsi="宋体" w:cs="Times New Roman"/>
          <w:kern w:val="2"/>
          <w:szCs w:val="21"/>
        </w:rPr>
      </w:pPr>
      <w:r>
        <w:rPr>
          <w:rFonts w:hint="eastAsia" w:hAnsi="宋体" w:cs="Times New Roman"/>
          <w:kern w:val="2"/>
          <w:szCs w:val="21"/>
        </w:rPr>
        <w:t>1.投标人投标时应签订本协议，协议各方成员应在本协议上共同盖章确认。</w:t>
      </w:r>
    </w:p>
    <w:p w14:paraId="1DEDB799">
      <w:pPr>
        <w:widowControl w:val="0"/>
        <w:shd w:val="clear" w:color="auto" w:fill="auto"/>
        <w:adjustRightInd/>
        <w:snapToGrid/>
        <w:spacing w:line="360" w:lineRule="exact"/>
        <w:ind w:firstLine="420" w:firstLineChars="200"/>
        <w:rPr>
          <w:rFonts w:hint="eastAsia" w:hAnsi="宋体" w:cs="Times New Roman"/>
          <w:kern w:val="2"/>
          <w:szCs w:val="21"/>
        </w:rPr>
      </w:pPr>
      <w:r>
        <w:rPr>
          <w:rFonts w:hint="eastAsia" w:hAnsi="宋体" w:cs="Times New Roman"/>
          <w:kern w:val="2"/>
          <w:szCs w:val="21"/>
        </w:rPr>
        <w:t>2.本协议内容仅供参考，可依据项目实际情况进行修改。此协议将作为签订合同的附件之一。</w:t>
      </w:r>
    </w:p>
    <w:p w14:paraId="43A93143">
      <w:pPr>
        <w:spacing w:line="360" w:lineRule="exact"/>
        <w:ind w:firstLine="422" w:firstLineChars="200"/>
        <w:rPr>
          <w:b/>
        </w:rPr>
      </w:pPr>
    </w:p>
    <w:p w14:paraId="4CD3B885">
      <w:pPr>
        <w:rPr>
          <w:rFonts w:cs="Times New Roman"/>
          <w:b/>
          <w:kern w:val="2"/>
          <w:sz w:val="28"/>
          <w:szCs w:val="28"/>
        </w:rPr>
      </w:pPr>
      <w:r>
        <w:rPr>
          <w:rFonts w:hint="eastAsia" w:cs="Times New Roman"/>
          <w:b/>
          <w:kern w:val="2"/>
          <w:sz w:val="28"/>
          <w:szCs w:val="28"/>
        </w:rPr>
        <w:br w:type="page"/>
      </w:r>
    </w:p>
    <w:p w14:paraId="715AB6B5">
      <w:pPr>
        <w:pStyle w:val="5"/>
        <w:numPr>
          <w:ilvl w:val="0"/>
          <w:numId w:val="0"/>
        </w:numPr>
        <w:tabs>
          <w:tab w:val="clear" w:pos="1680"/>
        </w:tabs>
        <w:jc w:val="left"/>
      </w:pPr>
      <w:r>
        <w:rPr>
          <w:rFonts w:hint="eastAsia"/>
          <w:bCs w:val="0"/>
        </w:rPr>
        <w:t>十七</w:t>
      </w:r>
      <w:r>
        <w:rPr>
          <w:rFonts w:hint="eastAsia"/>
        </w:rPr>
        <w:t>、招标文件要求的其他内容及投标供应商认为需要加以说明的其他内容</w:t>
      </w:r>
      <w:bookmarkEnd w:id="144"/>
      <w:bookmarkEnd w:id="145"/>
      <w:bookmarkEnd w:id="146"/>
      <w:bookmarkEnd w:id="147"/>
    </w:p>
    <w:p w14:paraId="40202947">
      <w:pPr>
        <w:tabs>
          <w:tab w:val="clear" w:pos="426"/>
        </w:tabs>
        <w:ind w:firstLine="424" w:firstLineChars="202"/>
        <w:rPr>
          <w:rFonts w:cs="Arial"/>
          <w:bCs/>
          <w:szCs w:val="21"/>
        </w:rPr>
      </w:pPr>
      <w:r>
        <w:rPr>
          <w:rFonts w:hint="eastAsia" w:cs="Arial"/>
          <w:bCs/>
          <w:szCs w:val="21"/>
        </w:rPr>
        <w:t>提供招标公告和评标信息中关于投标供应商的其他相关证明文件（如评标信息中涉及的各种证件（身份证除外）、设备发票等，未涉及的可以不提供）</w:t>
      </w:r>
    </w:p>
    <w:p w14:paraId="2CDC5572">
      <w:pPr>
        <w:pStyle w:val="81"/>
        <w:tabs>
          <w:tab w:val="clear" w:pos="426"/>
        </w:tabs>
      </w:pPr>
      <w:r>
        <w:br w:type="page"/>
      </w:r>
      <w:bookmarkStart w:id="165" w:name="_Toc4584"/>
      <w:bookmarkStart w:id="166" w:name="_Toc530152521"/>
      <w:bookmarkStart w:id="167" w:name="_Toc14427253"/>
      <w:r>
        <w:rPr>
          <w:rFonts w:hint="eastAsia"/>
        </w:rPr>
        <w:t>第二册通用条款</w:t>
      </w:r>
      <w:bookmarkEnd w:id="165"/>
      <w:bookmarkEnd w:id="166"/>
      <w:bookmarkEnd w:id="167"/>
    </w:p>
    <w:p w14:paraId="1BC6C94A">
      <w:pPr>
        <w:jc w:val="center"/>
        <w:rPr>
          <w:b/>
        </w:rPr>
      </w:pPr>
      <w:r>
        <w:rPr>
          <w:rFonts w:hint="eastAsia"/>
          <w:b/>
        </w:rPr>
        <w:t>（投标供应商须知）</w:t>
      </w:r>
    </w:p>
    <w:p w14:paraId="3424CB50">
      <w:pPr>
        <w:pStyle w:val="3"/>
        <w:numPr>
          <w:ilvl w:val="3"/>
          <w:numId w:val="0"/>
        </w:numPr>
        <w:tabs>
          <w:tab w:val="clear" w:pos="1680"/>
        </w:tabs>
        <w:spacing w:line="360" w:lineRule="exact"/>
        <w:ind w:firstLine="440" w:firstLineChars="200"/>
        <w:rPr>
          <w:rFonts w:hint="eastAsia" w:hAnsi="宋体"/>
          <w:sz w:val="22"/>
          <w:szCs w:val="22"/>
        </w:rPr>
      </w:pPr>
      <w:bookmarkStart w:id="168" w:name="_Toc9983"/>
      <w:bookmarkStart w:id="169" w:name="_Toc529280581"/>
      <w:bookmarkStart w:id="170" w:name="_Toc530152522"/>
      <w:bookmarkStart w:id="171" w:name="_Toc14427254"/>
      <w:r>
        <w:rPr>
          <w:rFonts w:hint="eastAsia" w:hAnsi="宋体"/>
          <w:sz w:val="22"/>
          <w:szCs w:val="22"/>
        </w:rPr>
        <w:t>第一章总则</w:t>
      </w:r>
      <w:bookmarkEnd w:id="168"/>
      <w:bookmarkEnd w:id="169"/>
      <w:bookmarkEnd w:id="170"/>
      <w:bookmarkEnd w:id="171"/>
    </w:p>
    <w:p w14:paraId="02989515">
      <w:pPr>
        <w:tabs>
          <w:tab w:val="clear" w:pos="426"/>
        </w:tabs>
        <w:spacing w:line="360" w:lineRule="exact"/>
        <w:ind w:firstLine="440" w:firstLineChars="200"/>
        <w:rPr>
          <w:rFonts w:hint="eastAsia" w:hAnsi="宋体"/>
          <w:sz w:val="22"/>
          <w:szCs w:val="22"/>
        </w:rPr>
      </w:pPr>
      <w:r>
        <w:rPr>
          <w:rFonts w:hint="eastAsia" w:hAnsi="宋体"/>
          <w:sz w:val="22"/>
          <w:szCs w:val="22"/>
        </w:rPr>
        <w:t>1.通用条款说明</w:t>
      </w:r>
    </w:p>
    <w:p w14:paraId="329BF203">
      <w:pPr>
        <w:tabs>
          <w:tab w:val="clear" w:pos="426"/>
        </w:tabs>
        <w:spacing w:line="360" w:lineRule="exact"/>
        <w:ind w:firstLine="440" w:firstLineChars="200"/>
        <w:rPr>
          <w:rFonts w:hint="eastAsia" w:hAnsi="宋体"/>
          <w:sz w:val="22"/>
          <w:szCs w:val="22"/>
        </w:rPr>
      </w:pPr>
      <w:r>
        <w:rPr>
          <w:rFonts w:hint="eastAsia" w:hAnsi="宋体"/>
          <w:sz w:val="22"/>
          <w:szCs w:val="22"/>
        </w:rPr>
        <w:t>1.1采购代理机构发出招标文件通用条款版本，列出采购项目进行招标采购所适用的通用条款内容。如有需要，采购代理机构可以对这些条款增加附录或补充内容。</w:t>
      </w:r>
    </w:p>
    <w:p w14:paraId="23A03D74">
      <w:pPr>
        <w:tabs>
          <w:tab w:val="clear" w:pos="426"/>
        </w:tabs>
        <w:spacing w:line="360" w:lineRule="exact"/>
        <w:ind w:firstLine="440" w:firstLineChars="200"/>
        <w:rPr>
          <w:rFonts w:hint="eastAsia" w:hAnsi="宋体"/>
          <w:sz w:val="22"/>
          <w:szCs w:val="22"/>
        </w:rPr>
      </w:pPr>
      <w:r>
        <w:rPr>
          <w:rFonts w:hint="eastAsia" w:hAnsi="宋体"/>
          <w:sz w:val="22"/>
          <w:szCs w:val="22"/>
        </w:rPr>
        <w:t>2．招标说明</w:t>
      </w:r>
    </w:p>
    <w:p w14:paraId="556245E2">
      <w:pPr>
        <w:tabs>
          <w:tab w:val="clear" w:pos="426"/>
        </w:tabs>
        <w:spacing w:line="360" w:lineRule="exact"/>
        <w:ind w:firstLine="440" w:firstLineChars="200"/>
        <w:rPr>
          <w:rFonts w:hint="eastAsia" w:hAnsi="宋体"/>
          <w:sz w:val="22"/>
          <w:szCs w:val="22"/>
        </w:rPr>
      </w:pPr>
      <w:r>
        <w:rPr>
          <w:rFonts w:hint="eastAsia" w:hAnsi="宋体"/>
          <w:sz w:val="22"/>
          <w:szCs w:val="22"/>
        </w:rPr>
        <w:t>本项目按照《中华人民共和国政府采购法》《中华人民共和国政府采购法实施条例》的规定，并参考有关法规、政策、规章、规定通过招标择优选定供应商。本招标文件适用于招标公告中所述项目的政府采购。</w:t>
      </w:r>
    </w:p>
    <w:p w14:paraId="361FD887">
      <w:pPr>
        <w:tabs>
          <w:tab w:val="clear" w:pos="426"/>
        </w:tabs>
        <w:spacing w:line="360" w:lineRule="exact"/>
        <w:ind w:firstLine="440" w:firstLineChars="200"/>
        <w:rPr>
          <w:rFonts w:hint="eastAsia" w:hAnsi="宋体"/>
          <w:sz w:val="22"/>
          <w:szCs w:val="22"/>
        </w:rPr>
      </w:pPr>
      <w:r>
        <w:rPr>
          <w:rFonts w:hint="eastAsia" w:hAnsi="宋体"/>
          <w:sz w:val="22"/>
          <w:szCs w:val="22"/>
        </w:rPr>
        <w:t>本招标文件的解释权归属深圳市东海国际招标有限公司。</w:t>
      </w:r>
    </w:p>
    <w:p w14:paraId="7EC27C52">
      <w:pPr>
        <w:tabs>
          <w:tab w:val="clear" w:pos="426"/>
        </w:tabs>
        <w:spacing w:line="360" w:lineRule="exact"/>
        <w:ind w:firstLine="440" w:firstLineChars="200"/>
        <w:rPr>
          <w:rFonts w:hint="eastAsia" w:hAnsi="宋体"/>
          <w:sz w:val="22"/>
          <w:szCs w:val="22"/>
        </w:rPr>
      </w:pPr>
      <w:r>
        <w:rPr>
          <w:rFonts w:hint="eastAsia" w:hAnsi="宋体"/>
          <w:sz w:val="22"/>
          <w:szCs w:val="22"/>
        </w:rPr>
        <w:t>3．定义</w:t>
      </w:r>
    </w:p>
    <w:p w14:paraId="0628485C">
      <w:pPr>
        <w:tabs>
          <w:tab w:val="clear" w:pos="426"/>
        </w:tabs>
        <w:spacing w:line="360" w:lineRule="exact"/>
        <w:ind w:firstLine="440" w:firstLineChars="200"/>
        <w:rPr>
          <w:rFonts w:hint="eastAsia" w:hAnsi="宋体"/>
          <w:sz w:val="22"/>
          <w:szCs w:val="22"/>
        </w:rPr>
      </w:pPr>
      <w:r>
        <w:rPr>
          <w:rFonts w:hint="eastAsia" w:hAnsi="宋体"/>
          <w:sz w:val="22"/>
          <w:szCs w:val="22"/>
        </w:rPr>
        <w:t>招标文件中下列术语应解释为：</w:t>
      </w:r>
    </w:p>
    <w:p w14:paraId="526C9A8F">
      <w:pPr>
        <w:tabs>
          <w:tab w:val="clear" w:pos="426"/>
        </w:tabs>
        <w:spacing w:line="360" w:lineRule="exact"/>
        <w:ind w:firstLine="440" w:firstLineChars="200"/>
        <w:rPr>
          <w:rFonts w:hint="eastAsia" w:hAnsi="宋体"/>
          <w:sz w:val="22"/>
          <w:szCs w:val="22"/>
        </w:rPr>
      </w:pPr>
      <w:r>
        <w:rPr>
          <w:rFonts w:hint="eastAsia" w:hAnsi="宋体"/>
          <w:sz w:val="22"/>
          <w:szCs w:val="22"/>
        </w:rPr>
        <w:t>3.1“采购代理机构”系指政府设立的负责本级财政性资金的集中采购和招标组织工作的专门机构；本项目系指深圳市东海国际招标有限公司；</w:t>
      </w:r>
    </w:p>
    <w:p w14:paraId="2B722F13">
      <w:pPr>
        <w:tabs>
          <w:tab w:val="clear" w:pos="426"/>
        </w:tabs>
        <w:spacing w:line="360" w:lineRule="exact"/>
        <w:ind w:firstLine="440" w:firstLineChars="200"/>
        <w:rPr>
          <w:rFonts w:hint="eastAsia" w:hAnsi="宋体"/>
          <w:sz w:val="22"/>
          <w:szCs w:val="22"/>
        </w:rPr>
      </w:pPr>
      <w:r>
        <w:rPr>
          <w:rFonts w:hint="eastAsia" w:hAnsi="宋体"/>
          <w:sz w:val="22"/>
          <w:szCs w:val="22"/>
        </w:rPr>
        <w:t>3.2“采购人”或“采购人”：系指利用财政性资金依法进行采购的国家机关、事业单位、团体组织；</w:t>
      </w:r>
    </w:p>
    <w:p w14:paraId="5684BE8C">
      <w:pPr>
        <w:tabs>
          <w:tab w:val="clear" w:pos="426"/>
        </w:tabs>
        <w:spacing w:line="360" w:lineRule="exact"/>
        <w:ind w:firstLine="440" w:firstLineChars="200"/>
        <w:rPr>
          <w:rFonts w:hint="eastAsia" w:hAnsi="宋体"/>
          <w:sz w:val="22"/>
          <w:szCs w:val="22"/>
        </w:rPr>
      </w:pPr>
      <w:r>
        <w:rPr>
          <w:rFonts w:hint="eastAsia" w:hAnsi="宋体"/>
          <w:sz w:val="22"/>
          <w:szCs w:val="22"/>
        </w:rPr>
        <w:t>3.3“投标供应商”或“投标方”，即供应商，是指参加投标竞争并愿意按照招标文件要求向采购人提供货物、工程或者服务的依法成立的法人、其他组织或者自然人；</w:t>
      </w:r>
    </w:p>
    <w:p w14:paraId="3D8EE81C">
      <w:pPr>
        <w:tabs>
          <w:tab w:val="clear" w:pos="426"/>
        </w:tabs>
        <w:spacing w:line="360" w:lineRule="exact"/>
        <w:ind w:firstLine="440" w:firstLineChars="200"/>
        <w:rPr>
          <w:rFonts w:hint="eastAsia" w:hAnsi="宋体"/>
          <w:sz w:val="22"/>
          <w:szCs w:val="22"/>
        </w:rPr>
      </w:pPr>
      <w:r>
        <w:rPr>
          <w:rFonts w:hint="eastAsia" w:hAnsi="宋体"/>
          <w:sz w:val="22"/>
          <w:szCs w:val="22"/>
        </w:rPr>
        <w:t>3.4“评标委员会”和“谈判小组”是依据有关规定组建的专门负责本次招标其评标（谈判）工作的临时性机构；</w:t>
      </w:r>
    </w:p>
    <w:p w14:paraId="2E6B5F8D">
      <w:pPr>
        <w:tabs>
          <w:tab w:val="clear" w:pos="426"/>
        </w:tabs>
        <w:spacing w:line="360" w:lineRule="exact"/>
        <w:ind w:firstLine="440" w:firstLineChars="200"/>
        <w:rPr>
          <w:rFonts w:hint="eastAsia" w:hAnsi="宋体"/>
          <w:sz w:val="22"/>
          <w:szCs w:val="22"/>
        </w:rPr>
      </w:pPr>
      <w:r>
        <w:rPr>
          <w:rFonts w:hint="eastAsia" w:hAnsi="宋体"/>
          <w:sz w:val="22"/>
          <w:szCs w:val="22"/>
        </w:rPr>
        <w:t>3.5“日期”指公历日；</w:t>
      </w:r>
    </w:p>
    <w:p w14:paraId="683D74D8">
      <w:pPr>
        <w:tabs>
          <w:tab w:val="clear" w:pos="426"/>
        </w:tabs>
        <w:spacing w:line="360" w:lineRule="exact"/>
        <w:ind w:firstLine="440" w:firstLineChars="200"/>
        <w:rPr>
          <w:rFonts w:hint="eastAsia" w:hAnsi="宋体"/>
          <w:sz w:val="22"/>
          <w:szCs w:val="22"/>
        </w:rPr>
      </w:pPr>
      <w:r>
        <w:rPr>
          <w:rFonts w:hint="eastAsia" w:hAnsi="宋体"/>
          <w:sz w:val="22"/>
          <w:szCs w:val="22"/>
        </w:rPr>
        <w:t>3.6“合同”指由本次招标所产生的合同或合约文件；</w:t>
      </w:r>
    </w:p>
    <w:p w14:paraId="18B86D65">
      <w:pPr>
        <w:tabs>
          <w:tab w:val="clear" w:pos="426"/>
        </w:tabs>
        <w:spacing w:line="360" w:lineRule="exact"/>
        <w:ind w:firstLine="440" w:firstLineChars="200"/>
        <w:rPr>
          <w:rFonts w:hint="eastAsia" w:hAnsi="宋体"/>
          <w:sz w:val="22"/>
          <w:szCs w:val="22"/>
        </w:rPr>
      </w:pPr>
      <w:r>
        <w:rPr>
          <w:rFonts w:hint="eastAsia" w:hAnsi="宋体"/>
          <w:sz w:val="22"/>
          <w:szCs w:val="22"/>
        </w:rPr>
        <w:t>3.7招标文件中的标题或题名仅起引导作用，而不应视为对招标文件内容的理解和解释。</w:t>
      </w:r>
    </w:p>
    <w:p w14:paraId="764976E2">
      <w:pPr>
        <w:tabs>
          <w:tab w:val="clear" w:pos="426"/>
        </w:tabs>
        <w:spacing w:line="360" w:lineRule="exact"/>
        <w:ind w:firstLine="440" w:firstLineChars="200"/>
        <w:rPr>
          <w:rFonts w:hint="eastAsia" w:hAnsi="宋体"/>
          <w:sz w:val="22"/>
          <w:szCs w:val="22"/>
        </w:rPr>
      </w:pPr>
      <w:r>
        <w:rPr>
          <w:rFonts w:hint="eastAsia" w:hAnsi="宋体"/>
          <w:sz w:val="22"/>
          <w:szCs w:val="22"/>
        </w:rPr>
        <w:t>4.供应商责任</w:t>
      </w:r>
    </w:p>
    <w:p w14:paraId="7B62A8F8">
      <w:pPr>
        <w:tabs>
          <w:tab w:val="clear" w:pos="426"/>
        </w:tabs>
        <w:spacing w:line="360" w:lineRule="exact"/>
        <w:ind w:firstLine="440" w:firstLineChars="200"/>
        <w:rPr>
          <w:rFonts w:hint="eastAsia" w:hAnsi="宋体"/>
          <w:sz w:val="22"/>
          <w:szCs w:val="22"/>
        </w:rPr>
      </w:pPr>
      <w:r>
        <w:rPr>
          <w:rFonts w:hint="eastAsia" w:hAnsi="宋体"/>
          <w:sz w:val="22"/>
          <w:szCs w:val="22"/>
        </w:rPr>
        <w:t>4.1欢迎诚信、有实力和有社会责任心的供应商参与采购事业。</w:t>
      </w:r>
    </w:p>
    <w:p w14:paraId="12F92F74">
      <w:pPr>
        <w:tabs>
          <w:tab w:val="clear" w:pos="426"/>
        </w:tabs>
        <w:spacing w:line="360" w:lineRule="exact"/>
        <w:ind w:firstLine="440" w:firstLineChars="200"/>
        <w:rPr>
          <w:rFonts w:hint="eastAsia" w:hAnsi="宋体"/>
          <w:sz w:val="22"/>
          <w:szCs w:val="22"/>
        </w:rPr>
      </w:pPr>
      <w:r>
        <w:rPr>
          <w:rFonts w:hint="eastAsia" w:hAnsi="宋体"/>
          <w:sz w:val="22"/>
          <w:szCs w:val="22"/>
        </w:rPr>
        <w:t>4.2供应商在采购项目投标过程中应诚实守信，不弄虚作假，不隐瞒真实情况，不围标串标，不恶意质疑投诉。如违反上述要求，经核实后，供应商的投标将作废，没收投标保证金，将该供应商列入不良记录名单并在网上曝光，同时提请相关监督管理部门给予一定年限内禁止参加采购活动的处罚或其他处罚。</w:t>
      </w:r>
    </w:p>
    <w:p w14:paraId="7C9E2444">
      <w:pPr>
        <w:tabs>
          <w:tab w:val="clear" w:pos="426"/>
        </w:tabs>
        <w:spacing w:line="360" w:lineRule="exact"/>
        <w:ind w:firstLine="440" w:firstLineChars="200"/>
        <w:rPr>
          <w:rFonts w:hint="eastAsia" w:hAnsi="宋体"/>
          <w:sz w:val="22"/>
          <w:szCs w:val="22"/>
        </w:rPr>
      </w:pPr>
      <w:r>
        <w:rPr>
          <w:rFonts w:hint="eastAsia" w:hAnsi="宋体"/>
          <w:sz w:val="22"/>
          <w:szCs w:val="22"/>
        </w:rPr>
        <w:t>5．合格的投标供应商</w:t>
      </w:r>
    </w:p>
    <w:p w14:paraId="59E24E92">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5.1 投标供应商是响应招标并且符合招标文件规定资格条件和参加投标竞争的法人、其他组织或者自然人。</w:t>
      </w:r>
    </w:p>
    <w:p w14:paraId="59ED1945">
      <w:pPr>
        <w:widowControl w:val="0"/>
        <w:shd w:val="clear" w:color="auto" w:fill="auto"/>
        <w:tabs>
          <w:tab w:val="clear" w:pos="426"/>
        </w:tabs>
        <w:autoSpaceDE w:val="0"/>
        <w:autoSpaceDN w:val="0"/>
        <w:spacing w:line="360" w:lineRule="exact"/>
        <w:ind w:firstLine="440" w:firstLineChars="200"/>
        <w:rPr>
          <w:rFonts w:hint="eastAsia" w:hAnsi="宋体"/>
          <w:sz w:val="22"/>
          <w:szCs w:val="22"/>
          <w:lang w:eastAsia="zh-TW"/>
        </w:rPr>
      </w:pPr>
      <w:r>
        <w:rPr>
          <w:rFonts w:hint="eastAsia" w:hAnsi="宋体"/>
          <w:sz w:val="22"/>
          <w:szCs w:val="22"/>
        </w:rPr>
        <w:t xml:space="preserve">5.2 </w:t>
      </w:r>
      <w:r>
        <w:rPr>
          <w:rFonts w:hint="eastAsia" w:hAnsi="宋体"/>
          <w:sz w:val="22"/>
          <w:szCs w:val="22"/>
          <w:lang w:eastAsia="zh-TW"/>
        </w:rPr>
        <w:t>合格的投标供应商</w:t>
      </w:r>
    </w:p>
    <w:p w14:paraId="77EF4AEC">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5.2.1 具有独立承担民事责任的能力。</w:t>
      </w:r>
    </w:p>
    <w:p w14:paraId="321A3E4A">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5.2.2 具有良好的商业信誉和健全的财务会计制度。</w:t>
      </w:r>
    </w:p>
    <w:p w14:paraId="33D46EC8">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5.2.3 具有履行合同所必需的设备和专业技术能力。</w:t>
      </w:r>
    </w:p>
    <w:p w14:paraId="77AAB696">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5.2.4 有依法缴纳税收和社会保障资金的良好记录。</w:t>
      </w:r>
    </w:p>
    <w:p w14:paraId="6B2B80B7">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5.2.5 参加采购活动前三年内，在经营活动中没有重大违法记录。</w:t>
      </w:r>
    </w:p>
    <w:p w14:paraId="7EF5DFCB">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5.2.6 法律、行政法规规定的其他条件。</w:t>
      </w:r>
    </w:p>
    <w:p w14:paraId="39975D91">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5.2.7 只有在法律上和财务上独立、合法运作并独立于采购人和代理机构的供货商才能参加投标。</w:t>
      </w:r>
    </w:p>
    <w:p w14:paraId="7EED5006">
      <w:pPr>
        <w:widowControl w:val="0"/>
        <w:shd w:val="clear" w:color="auto" w:fill="auto"/>
        <w:tabs>
          <w:tab w:val="clear" w:pos="426"/>
        </w:tabs>
        <w:autoSpaceDE w:val="0"/>
        <w:autoSpaceDN w:val="0"/>
        <w:spacing w:line="360" w:lineRule="exact"/>
        <w:ind w:firstLine="440" w:firstLineChars="200"/>
        <w:rPr>
          <w:rFonts w:hint="eastAsia" w:hAnsi="宋体"/>
          <w:b/>
          <w:sz w:val="22"/>
          <w:szCs w:val="22"/>
        </w:rPr>
      </w:pPr>
      <w:r>
        <w:rPr>
          <w:rFonts w:hint="eastAsia" w:hAnsi="宋体"/>
          <w:sz w:val="22"/>
          <w:szCs w:val="22"/>
        </w:rPr>
        <w:t>5.2.8 法定代表人或单位负责人为同一人或者存在直接控股、管理关系的不同单位不得同时参与同一个项目（包组）的竞争。</w:t>
      </w:r>
    </w:p>
    <w:p w14:paraId="7123F9E7">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5.2.9 符合第一章招标公告“投标供应商资格要求”的条款。</w:t>
      </w:r>
    </w:p>
    <w:p w14:paraId="0C36F959">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5.3 中标供应商是指经法定程序确定并授予合同的投标供应商。</w:t>
      </w:r>
    </w:p>
    <w:p w14:paraId="34088A7F">
      <w:pPr>
        <w:tabs>
          <w:tab w:val="clear" w:pos="426"/>
        </w:tabs>
        <w:spacing w:line="360" w:lineRule="exact"/>
        <w:ind w:firstLine="440" w:firstLineChars="200"/>
        <w:rPr>
          <w:rFonts w:hint="eastAsia" w:hAnsi="宋体"/>
          <w:sz w:val="22"/>
          <w:szCs w:val="22"/>
        </w:rPr>
      </w:pPr>
      <w:r>
        <w:rPr>
          <w:rFonts w:hint="eastAsia" w:hAnsi="宋体"/>
          <w:sz w:val="22"/>
          <w:szCs w:val="22"/>
        </w:rPr>
        <w:t>6．联合体投标</w:t>
      </w:r>
    </w:p>
    <w:p w14:paraId="46B608B2">
      <w:pPr>
        <w:tabs>
          <w:tab w:val="clear" w:pos="426"/>
        </w:tabs>
        <w:spacing w:line="360" w:lineRule="exact"/>
        <w:ind w:firstLine="440" w:firstLineChars="200"/>
        <w:rPr>
          <w:rFonts w:hint="eastAsia" w:hAnsi="宋体"/>
          <w:sz w:val="22"/>
          <w:szCs w:val="22"/>
        </w:rPr>
      </w:pPr>
      <w:r>
        <w:rPr>
          <w:rFonts w:hint="eastAsia" w:hAnsi="宋体"/>
          <w:sz w:val="22"/>
          <w:szCs w:val="22"/>
        </w:rPr>
        <w:t>6.1　以下有关联合体投标的条款仅适用于允许投标供应商组成联合体投标的项目。</w:t>
      </w:r>
    </w:p>
    <w:p w14:paraId="50787758">
      <w:pPr>
        <w:tabs>
          <w:tab w:val="clear" w:pos="426"/>
        </w:tabs>
        <w:spacing w:line="360" w:lineRule="exact"/>
        <w:ind w:firstLine="440" w:firstLineChars="200"/>
        <w:rPr>
          <w:rFonts w:hint="eastAsia" w:hAnsi="宋体"/>
          <w:sz w:val="22"/>
          <w:szCs w:val="22"/>
        </w:rPr>
      </w:pPr>
      <w:r>
        <w:rPr>
          <w:rFonts w:hint="eastAsia" w:hAnsi="宋体"/>
          <w:sz w:val="22"/>
          <w:szCs w:val="22"/>
        </w:rPr>
        <w:t>6.2　由两个或两个以上的自然人、法人或者其他组织可以组成一个联合体，以一个供应商的身份共同投标时，应符合以下原则：</w:t>
      </w:r>
    </w:p>
    <w:p w14:paraId="38874D47">
      <w:pPr>
        <w:tabs>
          <w:tab w:val="clear" w:pos="426"/>
        </w:tabs>
        <w:spacing w:line="360" w:lineRule="exact"/>
        <w:ind w:firstLine="440" w:firstLineChars="200"/>
        <w:rPr>
          <w:rFonts w:hint="eastAsia" w:hAnsi="宋体"/>
          <w:sz w:val="22"/>
          <w:szCs w:val="22"/>
        </w:rPr>
      </w:pPr>
      <w:r>
        <w:rPr>
          <w:rFonts w:hint="eastAsia" w:hAnsi="宋体"/>
          <w:sz w:val="22"/>
          <w:szCs w:val="22"/>
        </w:rPr>
        <w:t>6.2.</w:t>
      </w:r>
      <w:r>
        <w:rPr>
          <w:rFonts w:hint="eastAsia" w:hAnsi="宋体"/>
          <w:bCs/>
          <w:sz w:val="22"/>
          <w:szCs w:val="22"/>
        </w:rPr>
        <w:t>1投标联合体应满足招标公告有关投标供应商资格要求中对联合体的要求；</w:t>
      </w:r>
    </w:p>
    <w:p w14:paraId="39AC5C42">
      <w:pPr>
        <w:tabs>
          <w:tab w:val="clear" w:pos="426"/>
        </w:tabs>
        <w:spacing w:line="360" w:lineRule="exact"/>
        <w:ind w:firstLine="440" w:firstLineChars="200"/>
        <w:rPr>
          <w:rFonts w:hint="eastAsia" w:hAnsi="宋体"/>
          <w:sz w:val="22"/>
          <w:szCs w:val="22"/>
        </w:rPr>
      </w:pPr>
      <w:r>
        <w:rPr>
          <w:rFonts w:hint="eastAsia" w:hAnsi="宋体"/>
          <w:sz w:val="22"/>
          <w:szCs w:val="22"/>
        </w:rPr>
        <w:t>6.2.2对于招标公告中所要求投标供应商应具有的某一资质，若联合体各方均具有，则将以联合体各方中最低的资质等级作为联合体在这一资质条件上的资质等级；联合体各方的不同资质可优势互补。</w:t>
      </w:r>
    </w:p>
    <w:p w14:paraId="245C240C">
      <w:pPr>
        <w:tabs>
          <w:tab w:val="clear" w:pos="426"/>
        </w:tabs>
        <w:spacing w:line="360" w:lineRule="exact"/>
        <w:ind w:firstLine="440" w:firstLineChars="200"/>
        <w:rPr>
          <w:rFonts w:hint="eastAsia" w:hAnsi="宋体"/>
          <w:sz w:val="22"/>
          <w:szCs w:val="22"/>
        </w:rPr>
      </w:pPr>
      <w:r>
        <w:rPr>
          <w:rFonts w:hint="eastAsia" w:hAnsi="宋体"/>
          <w:sz w:val="22"/>
          <w:szCs w:val="22"/>
        </w:rPr>
        <w:t>6.2.3投标供应商的投标文件及中标后签署的合同协议对联合体各方均具法律约束力；</w:t>
      </w:r>
    </w:p>
    <w:p w14:paraId="7DDFB28D">
      <w:pPr>
        <w:tabs>
          <w:tab w:val="clear" w:pos="426"/>
        </w:tabs>
        <w:spacing w:line="360" w:lineRule="exact"/>
        <w:ind w:firstLine="440" w:firstLineChars="200"/>
        <w:rPr>
          <w:rFonts w:hint="eastAsia" w:hAnsi="宋体"/>
          <w:sz w:val="22"/>
          <w:szCs w:val="22"/>
        </w:rPr>
      </w:pPr>
      <w:r>
        <w:rPr>
          <w:rFonts w:hint="eastAsia" w:hAnsi="宋体"/>
          <w:sz w:val="22"/>
          <w:szCs w:val="22"/>
        </w:rPr>
        <w:t>6.2.4联合体各方应当签订共同投标协议，明确约定各方拟承担的工作和责任，并将该共同投标协议随投标文件一并递交给代理机构；</w:t>
      </w:r>
    </w:p>
    <w:p w14:paraId="09D1D565">
      <w:pPr>
        <w:tabs>
          <w:tab w:val="clear" w:pos="426"/>
        </w:tabs>
        <w:spacing w:line="360" w:lineRule="exact"/>
        <w:ind w:firstLine="440" w:firstLineChars="200"/>
        <w:rPr>
          <w:rFonts w:hint="eastAsia" w:hAnsi="宋体"/>
          <w:sz w:val="22"/>
          <w:szCs w:val="22"/>
        </w:rPr>
      </w:pPr>
      <w:r>
        <w:rPr>
          <w:rFonts w:hint="eastAsia" w:hAnsi="宋体"/>
          <w:sz w:val="22"/>
          <w:szCs w:val="22"/>
        </w:rPr>
        <w:t>6.2.5联合体的各方应当共同推荐一联合体投标授权代表人，由联合体各方提交一份授权书，证明其有资格代表联合体各方签署投标文件，该授权书作为投标文件的组成部分一并提交给代理机构；</w:t>
      </w:r>
    </w:p>
    <w:p w14:paraId="51F43512">
      <w:pPr>
        <w:tabs>
          <w:tab w:val="clear" w:pos="426"/>
        </w:tabs>
        <w:spacing w:line="360" w:lineRule="exact"/>
        <w:ind w:firstLine="440" w:firstLineChars="200"/>
        <w:rPr>
          <w:rFonts w:hint="eastAsia" w:hAnsi="宋体"/>
          <w:sz w:val="22"/>
          <w:szCs w:val="22"/>
        </w:rPr>
      </w:pPr>
      <w:r>
        <w:rPr>
          <w:rFonts w:hint="eastAsia" w:hAnsi="宋体"/>
          <w:sz w:val="22"/>
          <w:szCs w:val="22"/>
        </w:rPr>
        <w:t>6.2.6参加联合体的各方不得再以自己的名义单独投标，不得同时参加两个或两个以上的联合体投标、不得以分包商或其它形式参与投标，出现上述情况者，其投标和与此有关联合体、总包单位的投标将被拒绝；</w:t>
      </w:r>
    </w:p>
    <w:p w14:paraId="20A4C1EB">
      <w:pPr>
        <w:tabs>
          <w:tab w:val="clear" w:pos="426"/>
        </w:tabs>
        <w:spacing w:line="360" w:lineRule="exact"/>
        <w:ind w:firstLine="440" w:firstLineChars="200"/>
        <w:rPr>
          <w:rFonts w:hint="eastAsia" w:hAnsi="宋体"/>
          <w:sz w:val="22"/>
          <w:szCs w:val="22"/>
        </w:rPr>
      </w:pPr>
      <w:r>
        <w:rPr>
          <w:rFonts w:hint="eastAsia" w:hAnsi="宋体"/>
          <w:sz w:val="22"/>
          <w:szCs w:val="22"/>
        </w:rPr>
        <w:t>6.2.7除非另有规定或说明，本须知中“投标供应商”一词亦指联合体各方。</w:t>
      </w:r>
    </w:p>
    <w:p w14:paraId="6BB007B2">
      <w:pPr>
        <w:tabs>
          <w:tab w:val="clear" w:pos="426"/>
        </w:tabs>
        <w:spacing w:line="360" w:lineRule="exact"/>
        <w:ind w:firstLine="440" w:firstLineChars="200"/>
        <w:rPr>
          <w:rFonts w:hint="eastAsia" w:hAnsi="宋体"/>
          <w:sz w:val="22"/>
          <w:szCs w:val="22"/>
        </w:rPr>
      </w:pPr>
      <w:r>
        <w:rPr>
          <w:rFonts w:hint="eastAsia" w:hAnsi="宋体"/>
          <w:sz w:val="22"/>
          <w:szCs w:val="22"/>
        </w:rPr>
        <w:t>7. 合格的服务和货物</w:t>
      </w:r>
    </w:p>
    <w:p w14:paraId="5B2421C3">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7.1 “服务”是指投标供应商按招标文件规定完成的全部服务内容，其中包括完成服务所需的货物，及须承担的技术支持、培训和其它伴随服务。</w:t>
      </w:r>
    </w:p>
    <w:p w14:paraId="14301779">
      <w:pPr>
        <w:widowControl w:val="0"/>
        <w:shd w:val="clear" w:color="auto" w:fill="auto"/>
        <w:tabs>
          <w:tab w:val="clear" w:pos="426"/>
        </w:tabs>
        <w:autoSpaceDE w:val="0"/>
        <w:autoSpaceDN w:val="0"/>
        <w:spacing w:line="360" w:lineRule="exact"/>
        <w:ind w:firstLine="440" w:firstLineChars="200"/>
        <w:rPr>
          <w:rFonts w:hint="eastAsia" w:hAnsi="宋体"/>
          <w:b/>
          <w:bCs/>
          <w:sz w:val="22"/>
          <w:szCs w:val="22"/>
        </w:rPr>
      </w:pPr>
      <w:r>
        <w:rPr>
          <w:rFonts w:hint="eastAsia" w:hAnsi="宋体"/>
          <w:sz w:val="22"/>
          <w:szCs w:val="22"/>
        </w:rPr>
        <w:t>7.2 “货物”是指投标供应商制造或组织符合招标文件要求的货物等。投标的货物必须是其合法生产、合法来源的符合国家有关标准要求的货物，并满足招标文件规定的规格、参数、质量、价格、有效期、售后服务等要求。</w:t>
      </w:r>
    </w:p>
    <w:p w14:paraId="14014A70">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7.3 投标供应商提供的所有服务，其质量、技术等特征必须符合国家、行业现行法律、法规的相关标准和《中华人民共和国政府采购法》的有关规定及用户需求。</w:t>
      </w:r>
    </w:p>
    <w:p w14:paraId="10915720">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7.4 采购人有权拒绝接受任何不合格的服务，由此产生的费用及相关后果均由供应商自行承担。</w:t>
      </w:r>
    </w:p>
    <w:p w14:paraId="32C80F16">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7.5 投标供应商应保证本项目的投标技术、服务或其任何一部分不会产生因第三方提出侵犯其专利权、商标权或其他知识产权而引起的法律和经济纠纷；如果投标供应商不拥有相应的知识产权，则须在报价中包括合法获取该知识产权的相关费用，并在投标文件中附有相关证明文件。如因第三方提出其专利权、商标权或其他知识产权的侵权之诉，则一切法律责任由投标供应商承担。</w:t>
      </w:r>
    </w:p>
    <w:p w14:paraId="3FF79C21">
      <w:pPr>
        <w:tabs>
          <w:tab w:val="clear" w:pos="426"/>
        </w:tabs>
        <w:spacing w:line="360" w:lineRule="exact"/>
        <w:ind w:firstLine="440" w:firstLineChars="200"/>
        <w:rPr>
          <w:rFonts w:hint="eastAsia" w:hAnsi="宋体"/>
          <w:sz w:val="22"/>
          <w:szCs w:val="22"/>
        </w:rPr>
      </w:pPr>
      <w:r>
        <w:rPr>
          <w:rFonts w:hint="eastAsia" w:hAnsi="宋体"/>
          <w:sz w:val="22"/>
          <w:szCs w:val="22"/>
        </w:rPr>
        <w:t>8．投标费用</w:t>
      </w:r>
    </w:p>
    <w:p w14:paraId="192D6F5D">
      <w:pPr>
        <w:tabs>
          <w:tab w:val="clear" w:pos="426"/>
        </w:tabs>
        <w:spacing w:line="360" w:lineRule="exact"/>
        <w:ind w:firstLine="440" w:firstLineChars="200"/>
        <w:rPr>
          <w:rFonts w:hint="eastAsia" w:hAnsi="宋体"/>
          <w:sz w:val="22"/>
          <w:szCs w:val="22"/>
        </w:rPr>
      </w:pPr>
      <w:r>
        <w:rPr>
          <w:rFonts w:hint="eastAsia" w:hAnsi="宋体"/>
          <w:sz w:val="22"/>
          <w:szCs w:val="22"/>
        </w:rPr>
        <w:t>不论投标结果如何，投标供应商应承担其编制投标文件与递交投标文件所涉及的一切费用。</w:t>
      </w:r>
      <w:r>
        <w:rPr>
          <w:rFonts w:hint="eastAsia" w:hAnsi="宋体"/>
          <w:sz w:val="22"/>
          <w:szCs w:val="22"/>
          <w:lang w:eastAsia="zh-TW"/>
        </w:rPr>
        <w:t>不论投标的结果如何</w:t>
      </w:r>
      <w:r>
        <w:rPr>
          <w:rFonts w:hint="eastAsia" w:hAnsi="宋体"/>
          <w:sz w:val="22"/>
          <w:szCs w:val="22"/>
        </w:rPr>
        <w:t>，</w:t>
      </w:r>
      <w:r>
        <w:rPr>
          <w:rFonts w:hint="eastAsia" w:hAnsi="宋体"/>
          <w:sz w:val="22"/>
          <w:szCs w:val="22"/>
          <w:lang w:eastAsia="zh-TW"/>
        </w:rPr>
        <w:t>招标采购人均无义务和责任承担这些费用</w:t>
      </w:r>
      <w:r>
        <w:rPr>
          <w:rFonts w:hint="eastAsia" w:hAnsi="宋体"/>
          <w:sz w:val="22"/>
          <w:szCs w:val="22"/>
        </w:rPr>
        <w:t>。</w:t>
      </w:r>
    </w:p>
    <w:p w14:paraId="7F16004C">
      <w:pPr>
        <w:tabs>
          <w:tab w:val="clear" w:pos="426"/>
        </w:tabs>
        <w:spacing w:line="360" w:lineRule="exact"/>
        <w:ind w:firstLine="440" w:firstLineChars="200"/>
        <w:rPr>
          <w:rFonts w:hint="eastAsia" w:hAnsi="宋体"/>
          <w:sz w:val="22"/>
          <w:szCs w:val="22"/>
        </w:rPr>
      </w:pPr>
      <w:r>
        <w:rPr>
          <w:rFonts w:hint="eastAsia" w:hAnsi="宋体"/>
          <w:sz w:val="22"/>
          <w:szCs w:val="22"/>
        </w:rPr>
        <w:t>9．踏勘现场</w:t>
      </w:r>
    </w:p>
    <w:p w14:paraId="0A1668B0">
      <w:pPr>
        <w:tabs>
          <w:tab w:val="clear" w:pos="426"/>
        </w:tabs>
        <w:spacing w:line="360" w:lineRule="exact"/>
        <w:ind w:firstLine="440" w:firstLineChars="200"/>
        <w:rPr>
          <w:rFonts w:hint="eastAsia" w:hAnsi="宋体"/>
          <w:sz w:val="22"/>
          <w:szCs w:val="22"/>
        </w:rPr>
      </w:pPr>
      <w:r>
        <w:rPr>
          <w:rFonts w:hint="eastAsia" w:hAnsi="宋体"/>
          <w:sz w:val="22"/>
          <w:szCs w:val="22"/>
        </w:rPr>
        <w:t>9.1如有需要，采购代理机构或采购人将组织投标供应商对项目现场及周围环境进行踏勘，以便投标供应商获取有关编制投标文件和签署合同所需的所有资料。踏勘现场所发生的费用和风险由投标供应商自己承担，投标供应商应按招标公告所约定的时间、地点统一踏勘现场。</w:t>
      </w:r>
    </w:p>
    <w:p w14:paraId="18BACBD5">
      <w:pPr>
        <w:tabs>
          <w:tab w:val="clear" w:pos="426"/>
        </w:tabs>
        <w:spacing w:line="360" w:lineRule="exact"/>
        <w:ind w:firstLine="440" w:firstLineChars="200"/>
        <w:rPr>
          <w:rFonts w:hint="eastAsia" w:hAnsi="宋体"/>
          <w:sz w:val="22"/>
          <w:szCs w:val="22"/>
        </w:rPr>
      </w:pPr>
      <w:r>
        <w:rPr>
          <w:rFonts w:hint="eastAsia" w:hAnsi="宋体"/>
          <w:sz w:val="22"/>
          <w:szCs w:val="22"/>
        </w:rPr>
        <w:t>9.2投标供应商及其人员经过采购人的允许，可以踏勘目的进入采购人的项目现场。若本项目招标文件要求投标供应商于统一时间地点踏勘现场的，投标供应商按时前往。</w:t>
      </w:r>
    </w:p>
    <w:p w14:paraId="512A5E14">
      <w:pPr>
        <w:tabs>
          <w:tab w:val="clear" w:pos="426"/>
        </w:tabs>
        <w:spacing w:line="360" w:lineRule="exact"/>
        <w:ind w:firstLine="440" w:firstLineChars="200"/>
        <w:rPr>
          <w:rFonts w:hint="eastAsia" w:hAnsi="宋体"/>
          <w:sz w:val="22"/>
          <w:szCs w:val="22"/>
        </w:rPr>
      </w:pPr>
      <w:r>
        <w:rPr>
          <w:rFonts w:hint="eastAsia" w:hAnsi="宋体"/>
          <w:sz w:val="22"/>
          <w:szCs w:val="22"/>
        </w:rPr>
        <w:t>9.3采购人必须通过采购代理机构向投标供应商提供有关现场的资料和数据。</w:t>
      </w:r>
    </w:p>
    <w:p w14:paraId="61680BD7">
      <w:pPr>
        <w:tabs>
          <w:tab w:val="clear" w:pos="426"/>
        </w:tabs>
        <w:spacing w:line="360" w:lineRule="exact"/>
        <w:ind w:firstLine="440" w:firstLineChars="200"/>
        <w:rPr>
          <w:rFonts w:hint="eastAsia" w:hAnsi="宋体"/>
          <w:sz w:val="22"/>
          <w:szCs w:val="22"/>
        </w:rPr>
      </w:pPr>
      <w:r>
        <w:rPr>
          <w:rFonts w:hint="eastAsia" w:hAnsi="宋体"/>
          <w:sz w:val="22"/>
          <w:szCs w:val="22"/>
        </w:rPr>
        <w:t>9.4任何人或任何组织在踏勘现场时向投标供应商提交的任何书面或口头上的资料，未经采购代理机构在网上发布或书面通知，均作无效处理。采购代理机构对投标供应商由此而做出的推论、理解和结论概不负责。</w:t>
      </w:r>
    </w:p>
    <w:p w14:paraId="6F9B2A7E">
      <w:pPr>
        <w:tabs>
          <w:tab w:val="clear" w:pos="426"/>
        </w:tabs>
        <w:spacing w:line="360" w:lineRule="exact"/>
        <w:ind w:firstLine="440" w:firstLineChars="200"/>
        <w:rPr>
          <w:rFonts w:hint="eastAsia" w:hAnsi="宋体"/>
          <w:sz w:val="22"/>
          <w:szCs w:val="22"/>
        </w:rPr>
      </w:pPr>
      <w:r>
        <w:rPr>
          <w:rFonts w:hint="eastAsia" w:hAnsi="宋体"/>
          <w:sz w:val="22"/>
          <w:szCs w:val="22"/>
        </w:rPr>
        <w:t>9.5 未参与现场踏勘不作为否定投标供应商资格的理由。</w:t>
      </w:r>
    </w:p>
    <w:p w14:paraId="2EBA197D">
      <w:pPr>
        <w:tabs>
          <w:tab w:val="clear" w:pos="426"/>
        </w:tabs>
        <w:spacing w:line="360" w:lineRule="exact"/>
        <w:ind w:firstLine="440" w:firstLineChars="200"/>
        <w:rPr>
          <w:rFonts w:hint="eastAsia" w:hAnsi="宋体"/>
          <w:sz w:val="22"/>
          <w:szCs w:val="22"/>
        </w:rPr>
      </w:pPr>
      <w:r>
        <w:rPr>
          <w:rFonts w:hint="eastAsia" w:hAnsi="宋体"/>
          <w:sz w:val="22"/>
          <w:szCs w:val="22"/>
        </w:rPr>
        <w:t>10．招标答疑</w:t>
      </w:r>
    </w:p>
    <w:p w14:paraId="347091AC">
      <w:pPr>
        <w:tabs>
          <w:tab w:val="clear" w:pos="426"/>
        </w:tabs>
        <w:spacing w:line="360" w:lineRule="exact"/>
        <w:ind w:firstLine="440" w:firstLineChars="200"/>
        <w:rPr>
          <w:rFonts w:hint="eastAsia" w:hAnsi="宋体"/>
          <w:sz w:val="22"/>
          <w:szCs w:val="22"/>
        </w:rPr>
      </w:pPr>
      <w:r>
        <w:rPr>
          <w:rFonts w:hint="eastAsia" w:hAnsi="宋体"/>
          <w:sz w:val="22"/>
          <w:szCs w:val="22"/>
        </w:rPr>
        <w:t>10.1招标答疑的目的是澄清、解答投标供应商在查阅招标文件后或现场踏勘中可能提出的与投标有关的疑问或询问。</w:t>
      </w:r>
    </w:p>
    <w:p w14:paraId="5D915557">
      <w:pPr>
        <w:tabs>
          <w:tab w:val="clear" w:pos="426"/>
        </w:tabs>
        <w:spacing w:line="360" w:lineRule="exact"/>
        <w:ind w:firstLine="440" w:firstLineChars="200"/>
        <w:rPr>
          <w:rFonts w:hint="eastAsia" w:hAnsi="宋体"/>
          <w:sz w:val="22"/>
          <w:szCs w:val="22"/>
        </w:rPr>
      </w:pPr>
      <w:r>
        <w:rPr>
          <w:rFonts w:hint="eastAsia" w:hAnsi="宋体"/>
          <w:sz w:val="22"/>
          <w:szCs w:val="22"/>
        </w:rPr>
        <w:t>10.2投标供应商提出的与投标有关的问题须在招标文件规定的答疑截止时间前以“质疑函”的形式提交给采购代理机构，质疑函应该加盖质疑单位公章。</w:t>
      </w:r>
    </w:p>
    <w:p w14:paraId="2B83CCFD">
      <w:pPr>
        <w:tabs>
          <w:tab w:val="clear" w:pos="426"/>
        </w:tabs>
        <w:spacing w:line="360" w:lineRule="exact"/>
        <w:ind w:firstLine="440" w:firstLineChars="200"/>
        <w:rPr>
          <w:rFonts w:hint="eastAsia" w:hAnsi="宋体"/>
          <w:sz w:val="22"/>
          <w:szCs w:val="22"/>
        </w:rPr>
      </w:pPr>
      <w:r>
        <w:rPr>
          <w:rFonts w:hint="eastAsia" w:hAnsi="宋体"/>
          <w:sz w:val="22"/>
          <w:szCs w:val="22"/>
        </w:rPr>
        <w:t>10.3采购代理机构对疑问所做出的澄清和解答，以书面答复（包括网站发布信息）为准。答疑纪要的有效性规定按照本通用条款第13.3.13.4款规定执行。</w:t>
      </w:r>
    </w:p>
    <w:p w14:paraId="7A5BCC57">
      <w:pPr>
        <w:tabs>
          <w:tab w:val="clear" w:pos="426"/>
        </w:tabs>
        <w:spacing w:line="360" w:lineRule="exact"/>
        <w:ind w:firstLine="440" w:firstLineChars="200"/>
        <w:rPr>
          <w:rFonts w:hint="eastAsia" w:hAnsi="宋体"/>
          <w:sz w:val="22"/>
          <w:szCs w:val="22"/>
        </w:rPr>
      </w:pPr>
      <w:r>
        <w:rPr>
          <w:rFonts w:hint="eastAsia" w:hAnsi="宋体"/>
          <w:sz w:val="22"/>
          <w:szCs w:val="22"/>
        </w:rPr>
        <w:t>10.4如采购代理机构认为有必要组织现场答疑会，投标供应商应按照招标文件规定的时间或采购代理机构另行书面通知（包括网站发布的通知）的时间和地点，参与现场答疑会。</w:t>
      </w:r>
    </w:p>
    <w:p w14:paraId="2EBB1BEB">
      <w:pPr>
        <w:tabs>
          <w:tab w:val="clear" w:pos="426"/>
        </w:tabs>
        <w:spacing w:line="360" w:lineRule="exact"/>
        <w:ind w:firstLine="440" w:firstLineChars="200"/>
        <w:rPr>
          <w:rFonts w:hint="eastAsia" w:hAnsi="宋体"/>
          <w:sz w:val="22"/>
          <w:szCs w:val="22"/>
        </w:rPr>
      </w:pPr>
      <w:r>
        <w:rPr>
          <w:rFonts w:hint="eastAsia" w:hAnsi="宋体"/>
          <w:sz w:val="22"/>
          <w:szCs w:val="22"/>
        </w:rPr>
        <w:t>10.5未参与招标答疑不作为否定投标供应商资格的理由。</w:t>
      </w:r>
    </w:p>
    <w:p w14:paraId="5B2AD904">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72" w:name="_Toc529280582"/>
      <w:bookmarkStart w:id="173" w:name="_Toc13481"/>
      <w:bookmarkStart w:id="174" w:name="_Toc530152523"/>
      <w:bookmarkStart w:id="175" w:name="_Toc14427255"/>
      <w:r>
        <w:rPr>
          <w:rFonts w:hint="eastAsia" w:hAnsi="宋体"/>
          <w:sz w:val="22"/>
          <w:szCs w:val="22"/>
        </w:rPr>
        <w:t>第二章招标文件</w:t>
      </w:r>
      <w:bookmarkEnd w:id="172"/>
      <w:bookmarkEnd w:id="173"/>
      <w:bookmarkEnd w:id="174"/>
      <w:bookmarkEnd w:id="175"/>
    </w:p>
    <w:p w14:paraId="15D455B5">
      <w:pPr>
        <w:tabs>
          <w:tab w:val="clear" w:pos="426"/>
        </w:tabs>
        <w:spacing w:line="360" w:lineRule="exact"/>
        <w:ind w:firstLine="440" w:firstLineChars="200"/>
        <w:rPr>
          <w:rFonts w:hint="eastAsia" w:hAnsi="宋体"/>
          <w:sz w:val="22"/>
          <w:szCs w:val="22"/>
        </w:rPr>
      </w:pPr>
      <w:r>
        <w:rPr>
          <w:rFonts w:hint="eastAsia" w:hAnsi="宋体"/>
          <w:sz w:val="22"/>
          <w:szCs w:val="22"/>
        </w:rPr>
        <w:t>11．招标文件的编制与组成</w:t>
      </w:r>
    </w:p>
    <w:p w14:paraId="0DE8BFC6">
      <w:pPr>
        <w:tabs>
          <w:tab w:val="clear" w:pos="426"/>
        </w:tabs>
        <w:spacing w:line="360" w:lineRule="exact"/>
        <w:ind w:firstLine="440" w:firstLineChars="200"/>
        <w:rPr>
          <w:rFonts w:hint="eastAsia" w:hAnsi="宋体"/>
          <w:sz w:val="22"/>
          <w:szCs w:val="22"/>
        </w:rPr>
      </w:pPr>
      <w:r>
        <w:rPr>
          <w:rFonts w:hint="eastAsia" w:hAnsi="宋体"/>
          <w:sz w:val="22"/>
          <w:szCs w:val="22"/>
        </w:rPr>
        <w:t>11.1招标文件除以下内容外，采购代理机构在招标（或谈判）期间发出的答疑纪要和其他补充修改函件，均是招标文件的组成部分，对投标供应商起约束作用；</w:t>
      </w:r>
    </w:p>
    <w:p w14:paraId="3511B931">
      <w:pPr>
        <w:tabs>
          <w:tab w:val="clear" w:pos="426"/>
        </w:tabs>
        <w:spacing w:line="360" w:lineRule="exact"/>
        <w:ind w:firstLine="440" w:firstLineChars="200"/>
        <w:rPr>
          <w:rFonts w:hint="eastAsia" w:hAnsi="宋体"/>
          <w:sz w:val="22"/>
          <w:szCs w:val="22"/>
        </w:rPr>
      </w:pPr>
      <w:r>
        <w:rPr>
          <w:rFonts w:hint="eastAsia" w:hAnsi="宋体"/>
          <w:sz w:val="22"/>
          <w:szCs w:val="22"/>
        </w:rPr>
        <w:t>招标文件包括下列内容：</w:t>
      </w:r>
    </w:p>
    <w:p w14:paraId="03FA515D">
      <w:pPr>
        <w:tabs>
          <w:tab w:val="clear" w:pos="426"/>
        </w:tabs>
        <w:spacing w:line="360" w:lineRule="exact"/>
        <w:ind w:firstLine="440" w:firstLineChars="200"/>
        <w:rPr>
          <w:rFonts w:hint="eastAsia" w:hAnsi="宋体"/>
          <w:sz w:val="22"/>
          <w:szCs w:val="22"/>
        </w:rPr>
      </w:pPr>
      <w:r>
        <w:rPr>
          <w:rFonts w:hint="eastAsia" w:hAnsi="宋体"/>
          <w:sz w:val="22"/>
          <w:szCs w:val="22"/>
        </w:rPr>
        <w:t>项目关键信息</w:t>
      </w:r>
    </w:p>
    <w:p w14:paraId="351017FB">
      <w:pPr>
        <w:tabs>
          <w:tab w:val="clear" w:pos="426"/>
        </w:tabs>
        <w:spacing w:line="360" w:lineRule="exact"/>
        <w:ind w:firstLine="440" w:firstLineChars="200"/>
        <w:rPr>
          <w:rFonts w:hint="eastAsia" w:hAnsi="宋体"/>
          <w:sz w:val="22"/>
          <w:szCs w:val="22"/>
        </w:rPr>
      </w:pPr>
      <w:r>
        <w:rPr>
          <w:rFonts w:hint="eastAsia" w:hAnsi="宋体"/>
          <w:sz w:val="22"/>
          <w:szCs w:val="22"/>
        </w:rPr>
        <w:t>评标信息</w:t>
      </w:r>
    </w:p>
    <w:p w14:paraId="4574BEB1">
      <w:pPr>
        <w:tabs>
          <w:tab w:val="clear" w:pos="426"/>
        </w:tabs>
        <w:spacing w:line="360" w:lineRule="exact"/>
        <w:ind w:firstLine="440" w:firstLineChars="200"/>
        <w:rPr>
          <w:rFonts w:hint="eastAsia" w:hAnsi="宋体"/>
          <w:sz w:val="22"/>
          <w:szCs w:val="22"/>
        </w:rPr>
      </w:pPr>
      <w:r>
        <w:rPr>
          <w:rFonts w:hint="eastAsia" w:hAnsi="宋体"/>
          <w:sz w:val="22"/>
          <w:szCs w:val="22"/>
        </w:rPr>
        <w:t>第一册专用条款</w:t>
      </w:r>
    </w:p>
    <w:p w14:paraId="2AC46338">
      <w:pPr>
        <w:tabs>
          <w:tab w:val="clear" w:pos="426"/>
        </w:tabs>
        <w:spacing w:line="360" w:lineRule="exact"/>
        <w:ind w:firstLine="440" w:firstLineChars="200"/>
        <w:rPr>
          <w:rFonts w:hint="eastAsia" w:hAnsi="宋体"/>
          <w:sz w:val="22"/>
          <w:szCs w:val="22"/>
        </w:rPr>
      </w:pPr>
      <w:r>
        <w:rPr>
          <w:rFonts w:hint="eastAsia" w:hAnsi="宋体"/>
          <w:sz w:val="22"/>
          <w:szCs w:val="22"/>
        </w:rPr>
        <w:t>第一章招标公告</w:t>
      </w:r>
    </w:p>
    <w:p w14:paraId="4B1F29CB">
      <w:pPr>
        <w:tabs>
          <w:tab w:val="clear" w:pos="426"/>
        </w:tabs>
        <w:spacing w:line="360" w:lineRule="exact"/>
        <w:ind w:firstLine="440" w:firstLineChars="200"/>
        <w:rPr>
          <w:rFonts w:hint="eastAsia" w:hAnsi="宋体"/>
          <w:sz w:val="22"/>
          <w:szCs w:val="22"/>
        </w:rPr>
      </w:pPr>
      <w:r>
        <w:rPr>
          <w:rFonts w:hint="eastAsia" w:hAnsi="宋体"/>
          <w:sz w:val="22"/>
          <w:szCs w:val="22"/>
        </w:rPr>
        <w:t>第二章招标项目需求</w:t>
      </w:r>
    </w:p>
    <w:p w14:paraId="05933168">
      <w:pPr>
        <w:tabs>
          <w:tab w:val="clear" w:pos="426"/>
        </w:tabs>
        <w:spacing w:line="360" w:lineRule="exact"/>
        <w:ind w:firstLine="440" w:firstLineChars="200"/>
        <w:rPr>
          <w:rFonts w:hint="eastAsia" w:hAnsi="宋体"/>
          <w:sz w:val="22"/>
          <w:szCs w:val="22"/>
        </w:rPr>
      </w:pPr>
      <w:r>
        <w:rPr>
          <w:rFonts w:hint="eastAsia" w:hAnsi="宋体"/>
          <w:sz w:val="22"/>
          <w:szCs w:val="22"/>
        </w:rPr>
        <w:t>第三章合同条款及格式</w:t>
      </w:r>
    </w:p>
    <w:p w14:paraId="7ADB2264">
      <w:pPr>
        <w:tabs>
          <w:tab w:val="clear" w:pos="426"/>
        </w:tabs>
        <w:spacing w:line="360" w:lineRule="exact"/>
        <w:ind w:firstLine="440" w:firstLineChars="200"/>
        <w:rPr>
          <w:rFonts w:hint="eastAsia" w:hAnsi="宋体"/>
          <w:sz w:val="22"/>
          <w:szCs w:val="22"/>
        </w:rPr>
      </w:pPr>
      <w:r>
        <w:rPr>
          <w:rFonts w:hint="eastAsia" w:hAnsi="宋体"/>
          <w:sz w:val="22"/>
          <w:szCs w:val="22"/>
        </w:rPr>
        <w:t>第四章投标文件格式、附件</w:t>
      </w:r>
    </w:p>
    <w:p w14:paraId="43C35EB3">
      <w:pPr>
        <w:tabs>
          <w:tab w:val="clear" w:pos="426"/>
        </w:tabs>
        <w:spacing w:line="360" w:lineRule="exact"/>
        <w:ind w:firstLine="440" w:firstLineChars="200"/>
        <w:rPr>
          <w:rFonts w:hint="eastAsia" w:hAnsi="宋体"/>
          <w:sz w:val="22"/>
          <w:szCs w:val="22"/>
        </w:rPr>
      </w:pPr>
      <w:r>
        <w:rPr>
          <w:rFonts w:hint="eastAsia" w:hAnsi="宋体"/>
          <w:sz w:val="22"/>
          <w:szCs w:val="22"/>
        </w:rPr>
        <w:t>第二册通用条款</w:t>
      </w:r>
    </w:p>
    <w:p w14:paraId="3914C2FB">
      <w:pPr>
        <w:tabs>
          <w:tab w:val="clear" w:pos="426"/>
        </w:tabs>
        <w:spacing w:line="360" w:lineRule="exact"/>
        <w:ind w:firstLine="440" w:firstLineChars="200"/>
        <w:rPr>
          <w:rFonts w:hint="eastAsia" w:hAnsi="宋体"/>
          <w:sz w:val="22"/>
          <w:szCs w:val="22"/>
        </w:rPr>
      </w:pPr>
      <w:r>
        <w:rPr>
          <w:rFonts w:hint="eastAsia" w:hAnsi="宋体"/>
          <w:sz w:val="22"/>
          <w:szCs w:val="22"/>
        </w:rPr>
        <w:t>第一章总则</w:t>
      </w:r>
    </w:p>
    <w:p w14:paraId="6C88FBBC">
      <w:pPr>
        <w:tabs>
          <w:tab w:val="clear" w:pos="426"/>
        </w:tabs>
        <w:spacing w:line="360" w:lineRule="exact"/>
        <w:ind w:firstLine="440" w:firstLineChars="200"/>
        <w:rPr>
          <w:rFonts w:hint="eastAsia" w:hAnsi="宋体"/>
          <w:sz w:val="22"/>
          <w:szCs w:val="22"/>
        </w:rPr>
      </w:pPr>
      <w:r>
        <w:rPr>
          <w:rFonts w:hint="eastAsia" w:hAnsi="宋体"/>
          <w:sz w:val="22"/>
          <w:szCs w:val="22"/>
        </w:rPr>
        <w:t>第二章招标文件</w:t>
      </w:r>
    </w:p>
    <w:p w14:paraId="5E2E525B">
      <w:pPr>
        <w:tabs>
          <w:tab w:val="clear" w:pos="426"/>
        </w:tabs>
        <w:spacing w:line="360" w:lineRule="exact"/>
        <w:ind w:firstLine="440" w:firstLineChars="200"/>
        <w:rPr>
          <w:rFonts w:hint="eastAsia" w:hAnsi="宋体"/>
          <w:sz w:val="22"/>
          <w:szCs w:val="22"/>
        </w:rPr>
      </w:pPr>
      <w:r>
        <w:rPr>
          <w:rFonts w:hint="eastAsia" w:hAnsi="宋体"/>
          <w:sz w:val="22"/>
          <w:szCs w:val="22"/>
        </w:rPr>
        <w:t>第三章投标文件的编制与递交</w:t>
      </w:r>
    </w:p>
    <w:p w14:paraId="321A5F07">
      <w:pPr>
        <w:tabs>
          <w:tab w:val="clear" w:pos="426"/>
        </w:tabs>
        <w:spacing w:line="360" w:lineRule="exact"/>
        <w:ind w:firstLine="440" w:firstLineChars="200"/>
        <w:rPr>
          <w:rFonts w:hint="eastAsia" w:hAnsi="宋体"/>
          <w:sz w:val="22"/>
          <w:szCs w:val="22"/>
        </w:rPr>
      </w:pPr>
      <w:r>
        <w:rPr>
          <w:rFonts w:hint="eastAsia" w:hAnsi="宋体"/>
          <w:sz w:val="22"/>
          <w:szCs w:val="22"/>
        </w:rPr>
        <w:t>第四章开标</w:t>
      </w:r>
    </w:p>
    <w:p w14:paraId="38BC4D96">
      <w:pPr>
        <w:tabs>
          <w:tab w:val="clear" w:pos="426"/>
        </w:tabs>
        <w:spacing w:line="360" w:lineRule="exact"/>
        <w:ind w:firstLine="440" w:firstLineChars="200"/>
        <w:rPr>
          <w:rFonts w:hint="eastAsia" w:hAnsi="宋体"/>
          <w:sz w:val="22"/>
          <w:szCs w:val="22"/>
        </w:rPr>
      </w:pPr>
      <w:r>
        <w:rPr>
          <w:rFonts w:hint="eastAsia" w:hAnsi="宋体"/>
          <w:sz w:val="22"/>
          <w:szCs w:val="22"/>
        </w:rPr>
        <w:t>第五章评标要求</w:t>
      </w:r>
    </w:p>
    <w:p w14:paraId="2AF93641">
      <w:pPr>
        <w:tabs>
          <w:tab w:val="clear" w:pos="426"/>
        </w:tabs>
        <w:spacing w:line="360" w:lineRule="exact"/>
        <w:ind w:firstLine="440" w:firstLineChars="200"/>
        <w:rPr>
          <w:rFonts w:hint="eastAsia" w:hAnsi="宋体"/>
          <w:sz w:val="22"/>
          <w:szCs w:val="22"/>
        </w:rPr>
      </w:pPr>
      <w:r>
        <w:rPr>
          <w:rFonts w:hint="eastAsia" w:hAnsi="宋体"/>
          <w:sz w:val="22"/>
          <w:szCs w:val="22"/>
        </w:rPr>
        <w:t>第六章评标程序及评标方法</w:t>
      </w:r>
    </w:p>
    <w:p w14:paraId="35A32F62">
      <w:pPr>
        <w:tabs>
          <w:tab w:val="clear" w:pos="426"/>
        </w:tabs>
        <w:spacing w:line="360" w:lineRule="exact"/>
        <w:ind w:firstLine="440" w:firstLineChars="200"/>
        <w:rPr>
          <w:rFonts w:hint="eastAsia" w:hAnsi="宋体"/>
          <w:sz w:val="22"/>
          <w:szCs w:val="22"/>
        </w:rPr>
      </w:pPr>
      <w:r>
        <w:rPr>
          <w:rFonts w:hint="eastAsia" w:hAnsi="宋体"/>
          <w:sz w:val="22"/>
          <w:szCs w:val="22"/>
        </w:rPr>
        <w:t>第七章定标及公示</w:t>
      </w:r>
    </w:p>
    <w:p w14:paraId="505D9F4A">
      <w:pPr>
        <w:tabs>
          <w:tab w:val="clear" w:pos="426"/>
        </w:tabs>
        <w:spacing w:line="360" w:lineRule="exact"/>
        <w:ind w:firstLine="440" w:firstLineChars="200"/>
        <w:rPr>
          <w:rFonts w:hint="eastAsia" w:hAnsi="宋体"/>
          <w:sz w:val="22"/>
          <w:szCs w:val="22"/>
        </w:rPr>
      </w:pPr>
      <w:r>
        <w:rPr>
          <w:rFonts w:hint="eastAsia" w:hAnsi="宋体"/>
          <w:sz w:val="22"/>
          <w:szCs w:val="22"/>
        </w:rPr>
        <w:t>第八章公开招标失败的后续处理</w:t>
      </w:r>
    </w:p>
    <w:p w14:paraId="32B4A7CF">
      <w:pPr>
        <w:tabs>
          <w:tab w:val="clear" w:pos="426"/>
        </w:tabs>
        <w:spacing w:line="360" w:lineRule="exact"/>
        <w:ind w:firstLine="440" w:firstLineChars="200"/>
        <w:rPr>
          <w:rFonts w:hint="eastAsia" w:hAnsi="宋体"/>
          <w:sz w:val="22"/>
          <w:szCs w:val="22"/>
        </w:rPr>
      </w:pPr>
      <w:r>
        <w:rPr>
          <w:rFonts w:hint="eastAsia" w:hAnsi="宋体"/>
          <w:sz w:val="22"/>
          <w:szCs w:val="22"/>
        </w:rPr>
        <w:t>第九章合同的授予与备案</w:t>
      </w:r>
    </w:p>
    <w:p w14:paraId="57968671">
      <w:pPr>
        <w:tabs>
          <w:tab w:val="clear" w:pos="426"/>
        </w:tabs>
        <w:spacing w:line="360" w:lineRule="exact"/>
        <w:ind w:firstLine="440" w:firstLineChars="200"/>
        <w:rPr>
          <w:rFonts w:hint="eastAsia" w:hAnsi="宋体"/>
          <w:sz w:val="22"/>
          <w:szCs w:val="22"/>
        </w:rPr>
      </w:pPr>
      <w:r>
        <w:rPr>
          <w:rFonts w:hint="eastAsia" w:hAnsi="宋体"/>
          <w:sz w:val="22"/>
          <w:szCs w:val="22"/>
        </w:rPr>
        <w:t>第十章质疑处理</w:t>
      </w:r>
    </w:p>
    <w:p w14:paraId="44B07983">
      <w:pPr>
        <w:tabs>
          <w:tab w:val="clear" w:pos="426"/>
        </w:tabs>
        <w:spacing w:line="360" w:lineRule="exact"/>
        <w:ind w:firstLine="440" w:firstLineChars="200"/>
        <w:rPr>
          <w:rFonts w:hint="eastAsia" w:hAnsi="宋体"/>
          <w:sz w:val="22"/>
          <w:szCs w:val="22"/>
        </w:rPr>
      </w:pPr>
      <w:r>
        <w:rPr>
          <w:rFonts w:hint="eastAsia" w:hAnsi="宋体"/>
          <w:sz w:val="22"/>
          <w:szCs w:val="22"/>
        </w:rPr>
        <w:t>11.2 投标供应商购买招标文件后，应仔细检查招标文件的所有内容，如有残缺应在答疑截止时间之前向采购代理机构提出，否则，由此引起的投标损失自负；投标供应商同时应认真审阅招标文件所有的事项、格式、条款和规范要求等，如果投标供应商的投标文件没有按招标文件要求提交全部资料或者投标文件没有对招标文件做出实质性响应，其风险应由投标供应商自行承担，并根据有关条款规定，其投标有可能被拒绝。</w:t>
      </w:r>
    </w:p>
    <w:p w14:paraId="413275F9">
      <w:pPr>
        <w:tabs>
          <w:tab w:val="clear" w:pos="426"/>
        </w:tabs>
        <w:spacing w:line="360" w:lineRule="exact"/>
        <w:ind w:firstLine="440" w:firstLineChars="200"/>
        <w:rPr>
          <w:rFonts w:hint="eastAsia" w:hAnsi="宋体"/>
          <w:sz w:val="22"/>
          <w:szCs w:val="22"/>
        </w:rPr>
      </w:pPr>
      <w:r>
        <w:rPr>
          <w:rFonts w:hint="eastAsia" w:hAnsi="宋体"/>
          <w:sz w:val="22"/>
          <w:szCs w:val="22"/>
        </w:rPr>
        <w:t>11.3任何人或任何组织向投标供应商提交的任何书面或口头资料，未经采购代理机构在网上发布或书面通知，均作无效处理，不得作为招标文件的组成部分。采购代理机构对投标供应商由此而做出的推论、理解和结论概不负责。</w:t>
      </w:r>
    </w:p>
    <w:p w14:paraId="47E4B410">
      <w:pPr>
        <w:tabs>
          <w:tab w:val="clear" w:pos="426"/>
        </w:tabs>
        <w:spacing w:line="360" w:lineRule="exact"/>
        <w:ind w:firstLine="440" w:firstLineChars="200"/>
        <w:rPr>
          <w:rFonts w:hint="eastAsia" w:hAnsi="宋体"/>
          <w:sz w:val="22"/>
          <w:szCs w:val="22"/>
        </w:rPr>
      </w:pPr>
      <w:r>
        <w:rPr>
          <w:rFonts w:hint="eastAsia" w:hAnsi="宋体"/>
          <w:sz w:val="22"/>
          <w:szCs w:val="22"/>
        </w:rPr>
        <w:t>12．招标文件的澄清</w:t>
      </w:r>
    </w:p>
    <w:p w14:paraId="2BDCA527">
      <w:pPr>
        <w:tabs>
          <w:tab w:val="clear" w:pos="426"/>
        </w:tabs>
        <w:spacing w:line="360" w:lineRule="exact"/>
        <w:ind w:firstLine="440" w:firstLineChars="200"/>
        <w:rPr>
          <w:rFonts w:hint="eastAsia" w:hAnsi="宋体"/>
          <w:sz w:val="22"/>
          <w:szCs w:val="22"/>
        </w:rPr>
      </w:pPr>
      <w:r>
        <w:rPr>
          <w:rFonts w:hint="eastAsia" w:hAnsi="宋体"/>
          <w:sz w:val="22"/>
          <w:szCs w:val="22"/>
        </w:rPr>
        <w:t>12.1投标供应商在收到招标文件后，对招标文件任何部分若有任何疑问，或要求澄清招标文件的，均应在招标公告规定的答疑截止时间内，按“质疑函”的形式向采购代理机构提交。不论是采购代理机构根据需要主动对招标文件进行必要的澄清或是根据投标供应商的要求对招标文件做出澄清，采购代理机构都将在投标截止日期前以书面形式答复或发送给所有投标供应商。澄清纪要作为招标文件的组成部分，对投标供应商起约束作用；</w:t>
      </w:r>
    </w:p>
    <w:p w14:paraId="4AB88CC1">
      <w:pPr>
        <w:tabs>
          <w:tab w:val="clear" w:pos="426"/>
        </w:tabs>
        <w:spacing w:line="360" w:lineRule="exact"/>
        <w:ind w:firstLine="440" w:firstLineChars="200"/>
        <w:rPr>
          <w:rFonts w:hint="eastAsia" w:hAnsi="宋体"/>
          <w:sz w:val="22"/>
          <w:szCs w:val="22"/>
        </w:rPr>
      </w:pPr>
      <w:r>
        <w:rPr>
          <w:rFonts w:hint="eastAsia" w:hAnsi="宋体"/>
          <w:sz w:val="22"/>
          <w:szCs w:val="22"/>
        </w:rPr>
        <w:t>12.2对于没有提出澄清又参与了该项目投标的供应商将被视为完全认同该招标文件（含澄清纪要），投标截止期后不再受理针对招标文件的相关质疑或投诉。</w:t>
      </w:r>
    </w:p>
    <w:p w14:paraId="24FC9BCF">
      <w:pPr>
        <w:tabs>
          <w:tab w:val="clear" w:pos="426"/>
        </w:tabs>
        <w:spacing w:line="360" w:lineRule="exact"/>
        <w:ind w:firstLine="440" w:firstLineChars="200"/>
        <w:rPr>
          <w:rFonts w:hint="eastAsia" w:hAnsi="宋体"/>
          <w:sz w:val="22"/>
          <w:szCs w:val="22"/>
        </w:rPr>
      </w:pPr>
      <w:r>
        <w:rPr>
          <w:rFonts w:hint="eastAsia" w:hAnsi="宋体"/>
          <w:sz w:val="22"/>
          <w:szCs w:val="22"/>
        </w:rPr>
        <w:t>12.3 对招标文件中描述有歧意或前后不一致的地方，评标委员会有权进行评判，但对同一条款的评判应适用于每个投标供应商。</w:t>
      </w:r>
    </w:p>
    <w:p w14:paraId="09F229EC">
      <w:pPr>
        <w:tabs>
          <w:tab w:val="clear" w:pos="426"/>
        </w:tabs>
        <w:spacing w:line="360" w:lineRule="exact"/>
        <w:ind w:firstLine="440" w:firstLineChars="200"/>
        <w:rPr>
          <w:rFonts w:hint="eastAsia" w:hAnsi="宋体"/>
          <w:sz w:val="22"/>
          <w:szCs w:val="22"/>
        </w:rPr>
      </w:pPr>
      <w:r>
        <w:rPr>
          <w:rFonts w:hint="eastAsia" w:hAnsi="宋体"/>
          <w:sz w:val="22"/>
          <w:szCs w:val="22"/>
        </w:rPr>
        <w:t>13．招标文件的修改</w:t>
      </w:r>
    </w:p>
    <w:p w14:paraId="2A3EEE6B">
      <w:pPr>
        <w:tabs>
          <w:tab w:val="clear" w:pos="426"/>
        </w:tabs>
        <w:spacing w:line="360" w:lineRule="exact"/>
        <w:ind w:firstLine="440" w:firstLineChars="200"/>
        <w:rPr>
          <w:rFonts w:hint="eastAsia" w:hAnsi="宋体"/>
          <w:sz w:val="22"/>
          <w:szCs w:val="22"/>
        </w:rPr>
      </w:pPr>
      <w:r>
        <w:rPr>
          <w:rFonts w:hint="eastAsia" w:hAnsi="宋体"/>
          <w:sz w:val="22"/>
          <w:szCs w:val="22"/>
        </w:rPr>
        <w:t>13.1招标文件发出后，在投标截止日期前任何时候，确需要变更招标内容的，采购代理机构可主动地或在解答投标供应商提出的澄清问题时对招标文件进行修改；</w:t>
      </w:r>
    </w:p>
    <w:p w14:paraId="4B4D54BD">
      <w:pPr>
        <w:tabs>
          <w:tab w:val="clear" w:pos="426"/>
        </w:tabs>
        <w:spacing w:line="360" w:lineRule="exact"/>
        <w:ind w:firstLine="440" w:firstLineChars="200"/>
        <w:rPr>
          <w:rFonts w:hint="eastAsia" w:hAnsi="宋体"/>
          <w:sz w:val="22"/>
          <w:szCs w:val="22"/>
        </w:rPr>
      </w:pPr>
      <w:r>
        <w:rPr>
          <w:rFonts w:hint="eastAsia" w:hAnsi="宋体"/>
          <w:sz w:val="22"/>
          <w:szCs w:val="22"/>
        </w:rPr>
        <w:t>13.2招标文件的修改以书面形式（包括网站公开发布方式）发送给所有投标供应商，招标文件的修改内容作为招标文件的组成部分，并具有约束力。</w:t>
      </w:r>
    </w:p>
    <w:p w14:paraId="70B8B6A4">
      <w:pPr>
        <w:tabs>
          <w:tab w:val="clear" w:pos="426"/>
        </w:tabs>
        <w:spacing w:line="360" w:lineRule="exact"/>
        <w:ind w:firstLine="440" w:firstLineChars="200"/>
        <w:rPr>
          <w:rFonts w:hint="eastAsia" w:hAnsi="宋体"/>
          <w:sz w:val="22"/>
          <w:szCs w:val="22"/>
        </w:rPr>
      </w:pPr>
      <w:r>
        <w:rPr>
          <w:rFonts w:hint="eastAsia" w:hAnsi="宋体"/>
          <w:sz w:val="22"/>
          <w:szCs w:val="22"/>
        </w:rPr>
        <w:t>13.3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14:paraId="7943A590">
      <w:pPr>
        <w:tabs>
          <w:tab w:val="clear" w:pos="426"/>
        </w:tabs>
        <w:spacing w:line="360" w:lineRule="exact"/>
        <w:ind w:firstLine="440" w:firstLineChars="200"/>
        <w:rPr>
          <w:rFonts w:hint="eastAsia" w:hAnsi="宋体"/>
          <w:sz w:val="22"/>
          <w:szCs w:val="22"/>
        </w:rPr>
      </w:pPr>
      <w:r>
        <w:rPr>
          <w:rFonts w:hint="eastAsia" w:hAnsi="宋体"/>
          <w:sz w:val="22"/>
          <w:szCs w:val="22"/>
        </w:rPr>
        <w:t>13.4采购代理机构保证招标文件澄清（答疑）纪要和招标文件修改补充通知在投标截止时间前以网站公开发布形式或书面形式发送给所有投标供应商。为使投标供应商在编写投标文件时有充分时间对招标文件的修改部分进行研究，采购代理机构可以酌情延长递交投标文件的截止日期，具体时间将在修改补充通知中明确。</w:t>
      </w:r>
    </w:p>
    <w:p w14:paraId="33338C69">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76" w:name="_Toc529280583"/>
      <w:bookmarkStart w:id="177" w:name="_Toc530152524"/>
      <w:bookmarkStart w:id="178" w:name="_Toc14427256"/>
      <w:bookmarkStart w:id="179" w:name="_Toc3084"/>
      <w:r>
        <w:rPr>
          <w:rFonts w:hint="eastAsia" w:hAnsi="宋体"/>
          <w:sz w:val="22"/>
          <w:szCs w:val="22"/>
        </w:rPr>
        <w:t>第三章投标文件的编制与递交</w:t>
      </w:r>
      <w:bookmarkEnd w:id="176"/>
      <w:bookmarkEnd w:id="177"/>
      <w:bookmarkEnd w:id="178"/>
      <w:bookmarkEnd w:id="179"/>
    </w:p>
    <w:p w14:paraId="5B9E5ECD">
      <w:pPr>
        <w:tabs>
          <w:tab w:val="clear" w:pos="426"/>
        </w:tabs>
        <w:spacing w:line="360" w:lineRule="exact"/>
        <w:ind w:firstLine="440" w:firstLineChars="200"/>
        <w:rPr>
          <w:rFonts w:hint="eastAsia" w:hAnsi="宋体"/>
          <w:sz w:val="22"/>
          <w:szCs w:val="22"/>
        </w:rPr>
      </w:pPr>
      <w:r>
        <w:rPr>
          <w:rFonts w:hint="eastAsia" w:hAnsi="宋体"/>
          <w:sz w:val="22"/>
          <w:szCs w:val="22"/>
        </w:rPr>
        <w:t>14．投标文件的语言及度量单位</w:t>
      </w:r>
    </w:p>
    <w:p w14:paraId="65A7C353">
      <w:pPr>
        <w:tabs>
          <w:tab w:val="clear" w:pos="426"/>
        </w:tabs>
        <w:spacing w:line="360" w:lineRule="exact"/>
        <w:ind w:firstLine="440" w:firstLineChars="200"/>
        <w:rPr>
          <w:rFonts w:hint="eastAsia" w:hAnsi="宋体"/>
          <w:sz w:val="22"/>
          <w:szCs w:val="22"/>
        </w:rPr>
      </w:pPr>
      <w:r>
        <w:rPr>
          <w:rFonts w:hint="eastAsia" w:hAnsi="宋体"/>
          <w:sz w:val="22"/>
          <w:szCs w:val="22"/>
        </w:rPr>
        <w:t>14.1 投标供应商与采购代理机构之间与投标有关的所有往来通知、函件和投标文件均用中文表述。投标供应商随投标文件提供的证明文件和资料可以为其它语言，但必须附中文译文。翻译的中文资料与外文资料如果出现差异时，以中文为准，但翻译错误的除外。</w:t>
      </w:r>
    </w:p>
    <w:p w14:paraId="6FFD33B9">
      <w:pPr>
        <w:tabs>
          <w:tab w:val="clear" w:pos="426"/>
        </w:tabs>
        <w:spacing w:line="360" w:lineRule="exact"/>
        <w:ind w:firstLine="440" w:firstLineChars="200"/>
        <w:rPr>
          <w:rFonts w:hint="eastAsia" w:hAnsi="宋体"/>
          <w:sz w:val="22"/>
          <w:szCs w:val="22"/>
        </w:rPr>
      </w:pPr>
      <w:r>
        <w:rPr>
          <w:rFonts w:hint="eastAsia" w:hAnsi="宋体"/>
          <w:sz w:val="22"/>
          <w:szCs w:val="22"/>
        </w:rPr>
        <w:t>14.2 除技术规范另有规定外，投标文件使用的度量单位，均采用中华人民共和国法定计量单位。</w:t>
      </w:r>
    </w:p>
    <w:p w14:paraId="5FB6219D">
      <w:pPr>
        <w:tabs>
          <w:tab w:val="clear" w:pos="426"/>
        </w:tabs>
        <w:spacing w:line="360" w:lineRule="exact"/>
        <w:ind w:firstLine="440" w:firstLineChars="200"/>
        <w:rPr>
          <w:rFonts w:hint="eastAsia" w:hAnsi="宋体"/>
          <w:sz w:val="22"/>
          <w:szCs w:val="22"/>
        </w:rPr>
      </w:pPr>
      <w:r>
        <w:rPr>
          <w:rFonts w:hint="eastAsia" w:hAnsi="宋体"/>
          <w:sz w:val="22"/>
          <w:szCs w:val="22"/>
        </w:rPr>
        <w:t>15．投标文件的组成</w:t>
      </w:r>
    </w:p>
    <w:p w14:paraId="693462F8">
      <w:pPr>
        <w:tabs>
          <w:tab w:val="clear" w:pos="426"/>
        </w:tabs>
        <w:spacing w:line="360" w:lineRule="exact"/>
        <w:ind w:firstLine="440" w:firstLineChars="200"/>
        <w:rPr>
          <w:rFonts w:hint="eastAsia" w:hAnsi="宋体"/>
          <w:sz w:val="22"/>
          <w:szCs w:val="22"/>
        </w:rPr>
      </w:pPr>
      <w:r>
        <w:rPr>
          <w:rFonts w:hint="eastAsia" w:hAnsi="宋体"/>
          <w:sz w:val="22"/>
          <w:szCs w:val="22"/>
        </w:rPr>
        <w:t>具体内容请详见本项目专用条款的相关内容。</w:t>
      </w:r>
    </w:p>
    <w:p w14:paraId="19C5A341">
      <w:pPr>
        <w:tabs>
          <w:tab w:val="clear" w:pos="426"/>
        </w:tabs>
        <w:spacing w:line="360" w:lineRule="exact"/>
        <w:ind w:firstLine="440" w:firstLineChars="200"/>
        <w:rPr>
          <w:rFonts w:hint="eastAsia" w:hAnsi="宋体"/>
          <w:sz w:val="22"/>
          <w:szCs w:val="22"/>
        </w:rPr>
      </w:pPr>
      <w:r>
        <w:rPr>
          <w:rFonts w:hint="eastAsia" w:hAnsi="宋体"/>
          <w:sz w:val="22"/>
          <w:szCs w:val="22"/>
        </w:rPr>
        <w:t>16. 投标文件格式</w:t>
      </w:r>
    </w:p>
    <w:p w14:paraId="4E14C250">
      <w:pPr>
        <w:tabs>
          <w:tab w:val="clear" w:pos="426"/>
        </w:tabs>
        <w:spacing w:line="360" w:lineRule="exact"/>
        <w:ind w:firstLine="440" w:firstLineChars="200"/>
        <w:rPr>
          <w:rFonts w:hint="eastAsia" w:hAnsi="宋体"/>
          <w:sz w:val="22"/>
          <w:szCs w:val="22"/>
        </w:rPr>
      </w:pPr>
      <w:r>
        <w:rPr>
          <w:rFonts w:hint="eastAsia" w:hAnsi="宋体"/>
          <w:sz w:val="22"/>
          <w:szCs w:val="22"/>
        </w:rPr>
        <w:t>16.1投标文件包括本通用条款第15条中规定的内容。如招标文件提供了投标文件格式，则投标供应商提交的投标文件必须毫无例外地使用招标文件所提供的相应格式并统一使用A4篇幅（表格可以按同样格式扩展）。</w:t>
      </w:r>
    </w:p>
    <w:p w14:paraId="0D6F5EC4">
      <w:pPr>
        <w:tabs>
          <w:tab w:val="clear" w:pos="426"/>
        </w:tabs>
        <w:spacing w:line="360" w:lineRule="exact"/>
        <w:ind w:firstLine="440" w:firstLineChars="200"/>
        <w:rPr>
          <w:rFonts w:hint="eastAsia" w:hAnsi="宋体"/>
          <w:sz w:val="22"/>
          <w:szCs w:val="22"/>
        </w:rPr>
      </w:pPr>
      <w:r>
        <w:rPr>
          <w:rFonts w:hint="eastAsia" w:hAnsi="宋体"/>
          <w:sz w:val="22"/>
          <w:szCs w:val="22"/>
        </w:rPr>
        <w:t>17．投标货币</w:t>
      </w:r>
    </w:p>
    <w:p w14:paraId="049347AB">
      <w:pPr>
        <w:tabs>
          <w:tab w:val="clear" w:pos="426"/>
        </w:tabs>
        <w:spacing w:line="360" w:lineRule="exact"/>
        <w:ind w:firstLine="440" w:firstLineChars="200"/>
        <w:rPr>
          <w:rFonts w:hint="eastAsia" w:hAnsi="宋体"/>
          <w:sz w:val="22"/>
          <w:szCs w:val="22"/>
        </w:rPr>
      </w:pPr>
      <w:r>
        <w:rPr>
          <w:rFonts w:hint="eastAsia" w:hAnsi="宋体"/>
          <w:sz w:val="22"/>
          <w:szCs w:val="22"/>
        </w:rPr>
        <w:t>本项目的投标应以人民币计。</w:t>
      </w:r>
    </w:p>
    <w:p w14:paraId="21312305">
      <w:pPr>
        <w:widowControl w:val="0"/>
        <w:shd w:val="clear" w:color="auto" w:fill="auto"/>
        <w:tabs>
          <w:tab w:val="clear" w:pos="426"/>
        </w:tabs>
        <w:autoSpaceDE w:val="0"/>
        <w:autoSpaceDN w:val="0"/>
        <w:spacing w:line="360" w:lineRule="exact"/>
        <w:ind w:firstLine="440" w:firstLineChars="200"/>
        <w:rPr>
          <w:rFonts w:hint="eastAsia" w:hAnsi="宋体"/>
          <w:sz w:val="22"/>
          <w:szCs w:val="22"/>
        </w:rPr>
      </w:pPr>
      <w:r>
        <w:rPr>
          <w:rFonts w:hint="eastAsia" w:hAnsi="宋体"/>
          <w:sz w:val="22"/>
          <w:szCs w:val="22"/>
        </w:rPr>
        <w:t>18. 证明投标供应商合格和资格的文件</w:t>
      </w:r>
    </w:p>
    <w:p w14:paraId="75193D9F">
      <w:pPr>
        <w:widowControl w:val="0"/>
        <w:shd w:val="clear" w:color="auto" w:fill="auto"/>
        <w:tabs>
          <w:tab w:val="clear" w:pos="426"/>
        </w:tabs>
        <w:autoSpaceDE w:val="0"/>
        <w:autoSpaceDN w:val="0"/>
        <w:spacing w:line="360" w:lineRule="exact"/>
        <w:ind w:firstLine="440" w:firstLineChars="200"/>
        <w:rPr>
          <w:rFonts w:hint="eastAsia" w:hAnsi="宋体"/>
          <w:b/>
          <w:bCs/>
          <w:sz w:val="22"/>
          <w:szCs w:val="22"/>
        </w:rPr>
      </w:pPr>
      <w:r>
        <w:rPr>
          <w:rFonts w:hint="eastAsia" w:hAnsi="宋体"/>
          <w:sz w:val="22"/>
          <w:szCs w:val="22"/>
        </w:rPr>
        <w:t xml:space="preserve">18.1 </w:t>
      </w:r>
      <w:r>
        <w:rPr>
          <w:rFonts w:hint="eastAsia" w:hAnsi="宋体"/>
          <w:sz w:val="22"/>
          <w:szCs w:val="22"/>
          <w:lang w:eastAsia="zh-TW"/>
        </w:rPr>
        <w:t>投标供应商应提交证明其有资格参加投标和中标后有能力履行合同的文件</w:t>
      </w:r>
      <w:r>
        <w:rPr>
          <w:rFonts w:hint="eastAsia" w:hAnsi="宋体"/>
          <w:sz w:val="22"/>
          <w:szCs w:val="22"/>
        </w:rPr>
        <w:t>，</w:t>
      </w:r>
      <w:r>
        <w:rPr>
          <w:rFonts w:hint="eastAsia" w:hAnsi="宋体"/>
          <w:sz w:val="22"/>
          <w:szCs w:val="22"/>
          <w:lang w:eastAsia="zh-TW"/>
        </w:rPr>
        <w:t>并作为其投标文件的一部分。如果投标供应商为联合体</w:t>
      </w:r>
      <w:r>
        <w:rPr>
          <w:rFonts w:hint="eastAsia" w:hAnsi="宋体"/>
          <w:sz w:val="22"/>
          <w:szCs w:val="22"/>
        </w:rPr>
        <w:t>，</w:t>
      </w:r>
      <w:r>
        <w:rPr>
          <w:rFonts w:hint="eastAsia" w:hAnsi="宋体"/>
          <w:sz w:val="22"/>
          <w:szCs w:val="22"/>
          <w:lang w:eastAsia="zh-TW"/>
        </w:rPr>
        <w:t>应提交联合体各方的资格证明文件、</w:t>
      </w:r>
      <w:r>
        <w:rPr>
          <w:rFonts w:hint="eastAsia" w:hAnsi="宋体"/>
          <w:sz w:val="22"/>
          <w:szCs w:val="22"/>
        </w:rPr>
        <w:t>共同投标协议</w:t>
      </w:r>
      <w:r>
        <w:rPr>
          <w:rFonts w:hint="eastAsia" w:hAnsi="宋体"/>
          <w:sz w:val="22"/>
          <w:szCs w:val="22"/>
          <w:lang w:eastAsia="zh-TW"/>
        </w:rPr>
        <w:t>并注明</w:t>
      </w:r>
      <w:r>
        <w:rPr>
          <w:rFonts w:hint="eastAsia" w:hAnsi="宋体"/>
          <w:sz w:val="22"/>
          <w:szCs w:val="22"/>
        </w:rPr>
        <w:t>主体方及各方拟承担的工作和责任。</w:t>
      </w:r>
      <w:r>
        <w:rPr>
          <w:rFonts w:hint="eastAsia" w:hAnsi="宋体"/>
          <w:sz w:val="22"/>
          <w:szCs w:val="22"/>
          <w:lang w:eastAsia="zh-TW"/>
        </w:rPr>
        <w:t>否则</w:t>
      </w:r>
      <w:r>
        <w:rPr>
          <w:rFonts w:hint="eastAsia" w:hAnsi="宋体"/>
          <w:sz w:val="22"/>
          <w:szCs w:val="22"/>
        </w:rPr>
        <w:t>，</w:t>
      </w:r>
      <w:r>
        <w:rPr>
          <w:rFonts w:hint="eastAsia" w:hAnsi="宋体"/>
          <w:sz w:val="22"/>
          <w:szCs w:val="22"/>
          <w:lang w:eastAsia="zh-TW"/>
        </w:rPr>
        <w:t>将导致其投标</w:t>
      </w:r>
      <w:r>
        <w:rPr>
          <w:rFonts w:hint="eastAsia" w:hAnsi="宋体"/>
          <w:sz w:val="22"/>
          <w:szCs w:val="22"/>
        </w:rPr>
        <w:t>无效。</w:t>
      </w:r>
    </w:p>
    <w:p w14:paraId="645DEF8D">
      <w:pPr>
        <w:widowControl w:val="0"/>
        <w:shd w:val="clear" w:color="auto" w:fill="auto"/>
        <w:tabs>
          <w:tab w:val="clear" w:pos="426"/>
        </w:tabs>
        <w:autoSpaceDE w:val="0"/>
        <w:autoSpaceDN w:val="0"/>
        <w:spacing w:line="360" w:lineRule="exact"/>
        <w:ind w:firstLine="440" w:firstLineChars="200"/>
        <w:rPr>
          <w:rFonts w:hint="eastAsia" w:hAnsi="宋体"/>
          <w:sz w:val="22"/>
          <w:szCs w:val="22"/>
          <w:lang w:eastAsia="zh-TW"/>
        </w:rPr>
      </w:pPr>
      <w:r>
        <w:rPr>
          <w:rFonts w:hint="eastAsia" w:hAnsi="宋体"/>
          <w:sz w:val="22"/>
          <w:szCs w:val="22"/>
        </w:rPr>
        <w:t xml:space="preserve">18.2 </w:t>
      </w:r>
      <w:r>
        <w:rPr>
          <w:rFonts w:hint="eastAsia" w:hAnsi="宋体"/>
          <w:sz w:val="22"/>
          <w:szCs w:val="22"/>
          <w:lang w:eastAsia="zh-TW"/>
        </w:rPr>
        <w:t>投标供应商提交的资格证明文件应证明其</w:t>
      </w:r>
      <w:r>
        <w:rPr>
          <w:rFonts w:hint="eastAsia" w:hAnsi="宋体"/>
          <w:sz w:val="22"/>
          <w:szCs w:val="22"/>
        </w:rPr>
        <w:t>满足</w:t>
      </w:r>
      <w:r>
        <w:rPr>
          <w:rFonts w:hint="eastAsia" w:hAnsi="宋体"/>
          <w:sz w:val="22"/>
          <w:szCs w:val="22"/>
          <w:lang w:eastAsia="zh-TW"/>
        </w:rPr>
        <w:t>本须知定义的合格投标供应商。</w:t>
      </w:r>
    </w:p>
    <w:p w14:paraId="02BBD88E">
      <w:pPr>
        <w:tabs>
          <w:tab w:val="clear" w:pos="426"/>
        </w:tabs>
        <w:spacing w:line="360" w:lineRule="exact"/>
        <w:ind w:firstLine="440" w:firstLineChars="200"/>
        <w:rPr>
          <w:rFonts w:hint="eastAsia" w:hAnsi="宋体"/>
          <w:sz w:val="22"/>
          <w:szCs w:val="22"/>
        </w:rPr>
      </w:pPr>
      <w:r>
        <w:rPr>
          <w:rFonts w:hint="eastAsia" w:hAnsi="宋体"/>
          <w:sz w:val="22"/>
          <w:szCs w:val="22"/>
        </w:rPr>
        <w:t>19．证明投标文件投标技术方案的合格性和符合招标文件规定的文件要求</w:t>
      </w:r>
    </w:p>
    <w:p w14:paraId="7B6F7B60">
      <w:pPr>
        <w:tabs>
          <w:tab w:val="clear" w:pos="426"/>
        </w:tabs>
        <w:spacing w:line="360" w:lineRule="exact"/>
        <w:ind w:firstLine="440" w:firstLineChars="200"/>
        <w:rPr>
          <w:rFonts w:hint="eastAsia" w:hAnsi="宋体"/>
          <w:sz w:val="22"/>
          <w:szCs w:val="22"/>
        </w:rPr>
      </w:pPr>
      <w:r>
        <w:rPr>
          <w:rFonts w:hint="eastAsia" w:hAnsi="宋体"/>
          <w:sz w:val="22"/>
          <w:szCs w:val="22"/>
        </w:rPr>
        <w:t>19.1 投标供应商应提交证明文件证明其投标技术方案项下的货物、工程和服务的合格性符合招标文件规定。该投标技术方案及其证明文件作为投标文件的一部分。</w:t>
      </w:r>
    </w:p>
    <w:p w14:paraId="7EDD1021">
      <w:pPr>
        <w:tabs>
          <w:tab w:val="clear" w:pos="426"/>
        </w:tabs>
        <w:spacing w:line="360" w:lineRule="exact"/>
        <w:ind w:firstLine="440" w:firstLineChars="200"/>
        <w:rPr>
          <w:rFonts w:hint="eastAsia" w:hAnsi="宋体"/>
          <w:sz w:val="22"/>
          <w:szCs w:val="22"/>
        </w:rPr>
      </w:pPr>
      <w:r>
        <w:rPr>
          <w:rFonts w:hint="eastAsia" w:hAnsi="宋体"/>
          <w:sz w:val="22"/>
          <w:szCs w:val="22"/>
        </w:rPr>
        <w:t>19.2 投标供应商提供证明投标技术方案与招标文件的要求相一致的文件，可以是文字资料、图纸、数据或数码照片、制造商公布的产品说明书、产品彩页和我国政府机构出具的产品检验和核准证件等，以证明投标供应商响应的真实性。它包括并应符合以下要求：</w:t>
      </w:r>
    </w:p>
    <w:p w14:paraId="01C0B54F">
      <w:pPr>
        <w:tabs>
          <w:tab w:val="clear" w:pos="426"/>
        </w:tabs>
        <w:spacing w:line="360" w:lineRule="exact"/>
        <w:ind w:firstLine="440" w:firstLineChars="200"/>
        <w:rPr>
          <w:rFonts w:hint="eastAsia" w:hAnsi="宋体"/>
          <w:sz w:val="22"/>
          <w:szCs w:val="22"/>
        </w:rPr>
      </w:pPr>
      <w:r>
        <w:rPr>
          <w:rFonts w:hint="eastAsia" w:hAnsi="宋体"/>
          <w:sz w:val="22"/>
          <w:szCs w:val="22"/>
        </w:rPr>
        <w:t>19.2.1主要技术指标和性能的详细说明。</w:t>
      </w:r>
    </w:p>
    <w:p w14:paraId="58F839CA">
      <w:pPr>
        <w:tabs>
          <w:tab w:val="clear" w:pos="426"/>
        </w:tabs>
        <w:spacing w:line="360" w:lineRule="exact"/>
        <w:ind w:firstLine="440" w:firstLineChars="200"/>
        <w:rPr>
          <w:rFonts w:hint="eastAsia" w:hAnsi="宋体"/>
          <w:sz w:val="22"/>
          <w:szCs w:val="22"/>
        </w:rPr>
      </w:pPr>
      <w:r>
        <w:rPr>
          <w:rFonts w:hint="eastAsia" w:hAnsi="宋体"/>
          <w:sz w:val="22"/>
          <w:szCs w:val="22"/>
        </w:rPr>
        <w:t>19.2.2投标产品从采购人开始使用至招标文件中规定的周期内正常、连续地使用所必须的备件和专用工具清单，包括备件和专用工具的货源及现行价格。</w:t>
      </w:r>
    </w:p>
    <w:p w14:paraId="45CDED07">
      <w:pPr>
        <w:tabs>
          <w:tab w:val="clear" w:pos="426"/>
        </w:tabs>
        <w:spacing w:line="360" w:lineRule="exact"/>
        <w:ind w:firstLine="440" w:firstLineChars="200"/>
        <w:rPr>
          <w:rFonts w:hint="eastAsia" w:hAnsi="宋体"/>
          <w:sz w:val="22"/>
          <w:szCs w:val="22"/>
        </w:rPr>
      </w:pPr>
      <w:r>
        <w:rPr>
          <w:rFonts w:hint="eastAsia" w:hAnsi="宋体"/>
          <w:sz w:val="22"/>
          <w:szCs w:val="22"/>
        </w:rPr>
        <w:t>19.2.3对照招标文件技术规格，逐条说明投标技术方案已对采购人的技术规格做出了实质性的响应，或申明与技术规格条文的偏差和例外。投标供应商应详细说明投标技术方案中产品的具体参数，不得照搬照抄招标文件的技术要求。</w:t>
      </w:r>
    </w:p>
    <w:p w14:paraId="080AEC94">
      <w:pPr>
        <w:tabs>
          <w:tab w:val="clear" w:pos="426"/>
        </w:tabs>
        <w:spacing w:line="360" w:lineRule="exact"/>
        <w:ind w:firstLine="440" w:firstLineChars="200"/>
        <w:rPr>
          <w:rFonts w:hint="eastAsia" w:hAnsi="宋体"/>
          <w:sz w:val="22"/>
          <w:szCs w:val="22"/>
        </w:rPr>
      </w:pPr>
      <w:r>
        <w:rPr>
          <w:rFonts w:hint="eastAsia" w:hAnsi="宋体"/>
          <w:sz w:val="22"/>
          <w:szCs w:val="22"/>
        </w:rPr>
        <w:t>19.2.4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应能清晰的阅读、识别和判断；</w:t>
      </w:r>
    </w:p>
    <w:p w14:paraId="2622A4BC">
      <w:pPr>
        <w:tabs>
          <w:tab w:val="clear" w:pos="426"/>
        </w:tabs>
        <w:spacing w:line="360" w:lineRule="exact"/>
        <w:ind w:firstLine="440" w:firstLineChars="200"/>
        <w:rPr>
          <w:rFonts w:hint="eastAsia" w:hAnsi="宋体"/>
          <w:sz w:val="22"/>
          <w:szCs w:val="22"/>
        </w:rPr>
      </w:pPr>
      <w:r>
        <w:rPr>
          <w:rFonts w:hint="eastAsia" w:hAnsi="宋体"/>
          <w:sz w:val="22"/>
          <w:szCs w:val="22"/>
        </w:rPr>
        <w:t>19.2.5我国政府机构出具的产品检验和核准证件应为证件正面、背面和附件标注的全部具体内容；产品检验和核准证件应能清晰的阅读、识别和判断，提供原件复印件。</w:t>
      </w:r>
    </w:p>
    <w:p w14:paraId="1A169844">
      <w:pPr>
        <w:tabs>
          <w:tab w:val="clear" w:pos="426"/>
        </w:tabs>
        <w:spacing w:line="360" w:lineRule="exact"/>
        <w:ind w:firstLine="440" w:firstLineChars="200"/>
        <w:rPr>
          <w:rFonts w:hint="eastAsia" w:hAnsi="宋体"/>
          <w:sz w:val="22"/>
          <w:szCs w:val="22"/>
        </w:rPr>
      </w:pPr>
      <w:r>
        <w:rPr>
          <w:rFonts w:hint="eastAsia" w:hAnsi="宋体"/>
          <w:sz w:val="22"/>
          <w:szCs w:val="22"/>
        </w:rPr>
        <w:t>19.3相关资料不符合19.2款要求的，评标委员会有权认定为投标技术方案不合格响应，其相关分数予以扣减或作废标处理。</w:t>
      </w:r>
    </w:p>
    <w:p w14:paraId="6FDC259E">
      <w:pPr>
        <w:tabs>
          <w:tab w:val="clear" w:pos="426"/>
        </w:tabs>
        <w:spacing w:line="360" w:lineRule="exact"/>
        <w:ind w:firstLine="440" w:firstLineChars="200"/>
        <w:rPr>
          <w:rFonts w:hint="eastAsia" w:hAnsi="宋体"/>
          <w:sz w:val="22"/>
          <w:szCs w:val="22"/>
        </w:rPr>
      </w:pPr>
      <w:r>
        <w:rPr>
          <w:rFonts w:hint="eastAsia" w:hAnsi="宋体"/>
          <w:sz w:val="22"/>
          <w:szCs w:val="22"/>
        </w:rPr>
        <w:t>19.4评标委员会有权对以谋取中标为目的的技术规格模糊响应（如有意照搬照抄招标文件的技术要求）或虚假响应予以认定。供应商上述行为一经发现或查实，除扣分或废标外，采购代理机构可视情况报相关监督管理部门做进一步处理。</w:t>
      </w:r>
    </w:p>
    <w:p w14:paraId="6B9C1216">
      <w:pPr>
        <w:tabs>
          <w:tab w:val="clear" w:pos="426"/>
        </w:tabs>
        <w:spacing w:line="360" w:lineRule="exact"/>
        <w:ind w:firstLine="440" w:firstLineChars="200"/>
        <w:rPr>
          <w:rFonts w:hint="eastAsia" w:hAnsi="宋体"/>
          <w:sz w:val="22"/>
          <w:szCs w:val="22"/>
        </w:rPr>
      </w:pPr>
      <w:r>
        <w:rPr>
          <w:rFonts w:hint="eastAsia" w:hAnsi="宋体"/>
          <w:sz w:val="22"/>
          <w:szCs w:val="22"/>
        </w:rPr>
        <w:t>19.5投标供应商在阐述上述第18.2时应注意采购人在技术规格中指出的工艺、材料和设备的标准以及参照的牌号或分类号仅起说明作用，并没有任何限制性。投标供应商在投标中可以选用替代标准、牌号或分类号，但这些替代要实质上满足招标文件中技术规格的要求，是否满足要求，由评标委员会来评判。</w:t>
      </w:r>
    </w:p>
    <w:p w14:paraId="5D6EC137">
      <w:pPr>
        <w:tabs>
          <w:tab w:val="clear" w:pos="426"/>
        </w:tabs>
        <w:spacing w:line="360" w:lineRule="exact"/>
        <w:ind w:firstLine="440" w:firstLineChars="200"/>
        <w:rPr>
          <w:rFonts w:hint="eastAsia" w:hAnsi="宋体"/>
          <w:sz w:val="22"/>
          <w:szCs w:val="22"/>
        </w:rPr>
      </w:pPr>
      <w:r>
        <w:rPr>
          <w:rFonts w:hint="eastAsia" w:hAnsi="宋体"/>
          <w:sz w:val="22"/>
          <w:szCs w:val="22"/>
        </w:rPr>
        <w:t>19.6为保证公平公正，除非另有规定或说明，投标供应商对同一货物或服务投标时，不得同时提供两套或两套以上的投标方案。</w:t>
      </w:r>
    </w:p>
    <w:p w14:paraId="7CF7321E">
      <w:pPr>
        <w:tabs>
          <w:tab w:val="clear" w:pos="426"/>
        </w:tabs>
        <w:spacing w:line="360" w:lineRule="exact"/>
        <w:ind w:firstLine="440" w:firstLineChars="200"/>
        <w:rPr>
          <w:rFonts w:hint="eastAsia" w:hAnsi="宋体"/>
          <w:sz w:val="22"/>
          <w:szCs w:val="22"/>
        </w:rPr>
      </w:pPr>
      <w:r>
        <w:rPr>
          <w:rFonts w:hint="eastAsia" w:hAnsi="宋体"/>
          <w:sz w:val="22"/>
          <w:szCs w:val="22"/>
        </w:rPr>
        <w:t>20．投标文件其他证明文件的要求</w:t>
      </w:r>
    </w:p>
    <w:p w14:paraId="324AB29E">
      <w:pPr>
        <w:tabs>
          <w:tab w:val="clear" w:pos="426"/>
        </w:tabs>
        <w:spacing w:line="360" w:lineRule="exact"/>
        <w:ind w:firstLine="440" w:firstLineChars="200"/>
        <w:rPr>
          <w:rFonts w:hint="eastAsia" w:hAnsi="宋体"/>
          <w:sz w:val="22"/>
          <w:szCs w:val="22"/>
        </w:rPr>
      </w:pPr>
      <w:r>
        <w:rPr>
          <w:rFonts w:hint="eastAsia" w:hAnsi="宋体"/>
          <w:sz w:val="22"/>
          <w:szCs w:val="22"/>
        </w:rPr>
        <w:t>20.1对项目招标文件《评标信息》评分项中涉及的相关业绩、社保情况、纳税情况、银行资信等级和资金流状况等内容以及《投标文件初审表》中涉及的资格证书，投标供应商应提供相关部门出具的证明材料原件复印件，原件中标备查。上述证明材料应为证件正面、背面和附件标注的全部具体内容；有关原件复印件应能清晰的阅读、识别和判断。若投标供应商未按要求提供证明材料或提供的是部分证明材料或提供不清晰的，评标委员会有权认定其投标文件未对招标文件有关需求进行响应，涉及资格性检查或符合性检查的予以无效标处理，涉及《评标信息》打分项的则该项评分予以0分处理。</w:t>
      </w:r>
    </w:p>
    <w:p w14:paraId="76B32BD7">
      <w:pPr>
        <w:tabs>
          <w:tab w:val="clear" w:pos="426"/>
        </w:tabs>
        <w:spacing w:line="360" w:lineRule="exact"/>
        <w:ind w:firstLine="440" w:firstLineChars="200"/>
        <w:rPr>
          <w:rFonts w:hint="eastAsia" w:hAnsi="宋体"/>
          <w:sz w:val="22"/>
          <w:szCs w:val="22"/>
        </w:rPr>
      </w:pPr>
      <w:r>
        <w:rPr>
          <w:rFonts w:hint="eastAsia" w:hAnsi="宋体"/>
          <w:sz w:val="22"/>
          <w:szCs w:val="22"/>
        </w:rPr>
        <w:t>20.2本项目涉及提供的有关资质证书，若原有资质证书处于年审期间，投标供应商提供年审证明的可按原资质投标；若投标供应商正在申报上一级别资质，在未获批准之前，仍按原级别资质投标。</w:t>
      </w:r>
    </w:p>
    <w:p w14:paraId="52A5CC25">
      <w:pPr>
        <w:tabs>
          <w:tab w:val="clear" w:pos="426"/>
        </w:tabs>
        <w:spacing w:line="360" w:lineRule="exact"/>
        <w:ind w:firstLine="440" w:firstLineChars="200"/>
        <w:rPr>
          <w:rFonts w:hint="eastAsia" w:hAnsi="宋体"/>
          <w:sz w:val="22"/>
          <w:szCs w:val="22"/>
        </w:rPr>
      </w:pPr>
      <w:r>
        <w:rPr>
          <w:rFonts w:hint="eastAsia" w:hAnsi="宋体"/>
          <w:sz w:val="22"/>
          <w:szCs w:val="22"/>
        </w:rPr>
        <w:t>21．投标有效期</w:t>
      </w:r>
    </w:p>
    <w:p w14:paraId="3D9576CA">
      <w:pPr>
        <w:tabs>
          <w:tab w:val="clear" w:pos="426"/>
        </w:tabs>
        <w:spacing w:line="360" w:lineRule="exact"/>
        <w:ind w:firstLine="440" w:firstLineChars="200"/>
        <w:rPr>
          <w:rFonts w:hint="eastAsia" w:hAnsi="宋体"/>
          <w:sz w:val="22"/>
          <w:szCs w:val="22"/>
        </w:rPr>
      </w:pPr>
      <w:r>
        <w:rPr>
          <w:rFonts w:hint="eastAsia" w:hAnsi="宋体"/>
          <w:sz w:val="22"/>
          <w:szCs w:val="22"/>
        </w:rPr>
        <w:t>21.1 投标有效期为从投标截止之日算起的日历天数，具体见专用条款中投标有效期的天数要求。在此期限内，所有投标文件均保持有效；</w:t>
      </w:r>
    </w:p>
    <w:p w14:paraId="29FB0AEF">
      <w:pPr>
        <w:tabs>
          <w:tab w:val="clear" w:pos="426"/>
        </w:tabs>
        <w:spacing w:line="360" w:lineRule="exact"/>
        <w:ind w:firstLine="440" w:firstLineChars="200"/>
        <w:rPr>
          <w:rFonts w:hint="eastAsia" w:hAnsi="宋体"/>
          <w:sz w:val="22"/>
          <w:szCs w:val="22"/>
        </w:rPr>
      </w:pPr>
      <w:r>
        <w:rPr>
          <w:rFonts w:hint="eastAsia" w:hAnsi="宋体"/>
          <w:sz w:val="22"/>
          <w:szCs w:val="22"/>
        </w:rPr>
        <w:t>21.2 在特殊的情况下，采购代理机构在原定的投标有效期满之前，采购代理机构可以根据需要以书面形式（包括网站公开发布方式）向投标供应商提出延长投标有效期的要求，对此要求投标供应商须以书面形式予以答复，投标供应商可以拒绝采购代理机构此项要求，而不被没收投标保证金，其投标在原投标有效期满后不再有效。同意延长投标有效期的投标供应商不能要求也不允许修改其投标文件，但应当相应的延长投标担保的有效期，在延长的投标有效期内本通用条款第22条关于投标保证金的退还与没收的规定仍然适用；</w:t>
      </w:r>
    </w:p>
    <w:p w14:paraId="1EDF4DB7">
      <w:pPr>
        <w:tabs>
          <w:tab w:val="clear" w:pos="426"/>
        </w:tabs>
        <w:spacing w:line="360" w:lineRule="exact"/>
        <w:ind w:firstLine="440" w:firstLineChars="200"/>
        <w:rPr>
          <w:rFonts w:hint="eastAsia" w:hAnsi="宋体"/>
          <w:sz w:val="22"/>
          <w:szCs w:val="22"/>
        </w:rPr>
      </w:pPr>
      <w:r>
        <w:rPr>
          <w:rFonts w:hint="eastAsia" w:hAnsi="宋体"/>
          <w:sz w:val="22"/>
          <w:szCs w:val="22"/>
        </w:rPr>
        <w:t>21.3 中标单位的投标书有效期，截止于完成本招标文件规定的全部项目内容，并通过竣工验收及保修结束。</w:t>
      </w:r>
    </w:p>
    <w:p w14:paraId="77B5259E">
      <w:pPr>
        <w:tabs>
          <w:tab w:val="clear" w:pos="426"/>
        </w:tabs>
        <w:spacing w:line="360" w:lineRule="exact"/>
        <w:ind w:firstLine="440" w:firstLineChars="200"/>
        <w:rPr>
          <w:rFonts w:hint="eastAsia" w:hAnsi="宋体"/>
          <w:sz w:val="22"/>
          <w:szCs w:val="22"/>
        </w:rPr>
      </w:pPr>
      <w:r>
        <w:rPr>
          <w:rFonts w:hint="eastAsia" w:hAnsi="宋体"/>
          <w:sz w:val="22"/>
          <w:szCs w:val="22"/>
        </w:rPr>
        <w:t>22．投标保证金</w:t>
      </w:r>
    </w:p>
    <w:p w14:paraId="7B710AD1">
      <w:pPr>
        <w:tabs>
          <w:tab w:val="clear" w:pos="426"/>
        </w:tabs>
        <w:spacing w:line="360" w:lineRule="exact"/>
        <w:ind w:firstLine="440" w:firstLineChars="200"/>
        <w:rPr>
          <w:rFonts w:hint="eastAsia" w:hAnsi="宋体"/>
          <w:sz w:val="22"/>
          <w:szCs w:val="22"/>
        </w:rPr>
      </w:pPr>
      <w:r>
        <w:rPr>
          <w:rFonts w:hint="eastAsia" w:hAnsi="宋体"/>
          <w:sz w:val="22"/>
          <w:szCs w:val="22"/>
        </w:rPr>
        <w:t>22.1投标保证金的缴纳：</w:t>
      </w:r>
      <w:r>
        <w:rPr>
          <w:rFonts w:hint="eastAsia" w:hAnsi="宋体"/>
          <w:b/>
          <w:sz w:val="22"/>
          <w:szCs w:val="22"/>
        </w:rPr>
        <w:t>（本项目不适用）</w:t>
      </w:r>
    </w:p>
    <w:p w14:paraId="3AB8EDD6">
      <w:pPr>
        <w:tabs>
          <w:tab w:val="clear" w:pos="426"/>
        </w:tabs>
        <w:spacing w:line="360" w:lineRule="exact"/>
        <w:ind w:firstLine="440" w:firstLineChars="200"/>
        <w:rPr>
          <w:rFonts w:hint="eastAsia" w:hAnsi="宋体"/>
          <w:sz w:val="22"/>
          <w:szCs w:val="22"/>
        </w:rPr>
      </w:pPr>
      <w:r>
        <w:rPr>
          <w:rFonts w:hint="eastAsia" w:hAnsi="宋体"/>
          <w:sz w:val="22"/>
          <w:szCs w:val="22"/>
        </w:rPr>
        <w:t>22.1.1缴纳投标保证金的方式：参与投标前须缴纳壹万元保证金，落标或中标项目完成后返还，参与投标前未缴纳的，其投标将不予受理。</w:t>
      </w:r>
    </w:p>
    <w:p w14:paraId="6388F299">
      <w:pPr>
        <w:tabs>
          <w:tab w:val="clear" w:pos="426"/>
        </w:tabs>
        <w:spacing w:line="360" w:lineRule="exact"/>
        <w:ind w:firstLine="440" w:firstLineChars="200"/>
        <w:rPr>
          <w:rFonts w:hint="eastAsia" w:hAnsi="宋体"/>
          <w:sz w:val="22"/>
          <w:szCs w:val="22"/>
        </w:rPr>
      </w:pPr>
      <w:r>
        <w:rPr>
          <w:rFonts w:hint="eastAsia" w:hAnsi="宋体"/>
          <w:sz w:val="22"/>
          <w:szCs w:val="22"/>
        </w:rPr>
        <w:t>22.1.2 若为重大项目，采购代理机构可自行决定另外收取投标保证金，不受22.1.1款限制。是否另外收取投标保证金，请见本招标文件专用条款《对通用条款的补充内容》中的相关要求。</w:t>
      </w:r>
    </w:p>
    <w:p w14:paraId="17CFB8D7">
      <w:pPr>
        <w:tabs>
          <w:tab w:val="clear" w:pos="426"/>
        </w:tabs>
        <w:spacing w:line="360" w:lineRule="exact"/>
        <w:ind w:firstLine="440" w:firstLineChars="200"/>
        <w:rPr>
          <w:rFonts w:hint="eastAsia" w:hAnsi="宋体"/>
          <w:sz w:val="22"/>
          <w:szCs w:val="22"/>
        </w:rPr>
      </w:pPr>
      <w:r>
        <w:rPr>
          <w:rFonts w:hint="eastAsia" w:hAnsi="宋体"/>
          <w:sz w:val="22"/>
          <w:szCs w:val="22"/>
        </w:rPr>
        <w:t>22.2投标保证金是为了保护采购代理机构和采购人免因投标供应商的行为而蒙受损失。采购代理机构和采购人因投标供应商的行为受到损害时可根据本通用条款第22.3款的规定没收投标供应商的投标保证金。</w:t>
      </w:r>
    </w:p>
    <w:p w14:paraId="16F2E11B">
      <w:pPr>
        <w:tabs>
          <w:tab w:val="clear" w:pos="426"/>
        </w:tabs>
        <w:spacing w:line="360" w:lineRule="exact"/>
        <w:ind w:firstLine="440" w:firstLineChars="200"/>
        <w:rPr>
          <w:rFonts w:hint="eastAsia" w:hAnsi="宋体"/>
          <w:sz w:val="22"/>
          <w:szCs w:val="22"/>
        </w:rPr>
      </w:pPr>
      <w:r>
        <w:rPr>
          <w:rFonts w:hint="eastAsia" w:hAnsi="宋体"/>
          <w:sz w:val="22"/>
          <w:szCs w:val="22"/>
        </w:rPr>
        <w:t>22.3如下列任何情况发生时，投标保证金将被没收。</w:t>
      </w:r>
    </w:p>
    <w:p w14:paraId="7EB289D8">
      <w:pPr>
        <w:tabs>
          <w:tab w:val="clear" w:pos="426"/>
        </w:tabs>
        <w:spacing w:line="360" w:lineRule="exact"/>
        <w:ind w:firstLine="440" w:firstLineChars="200"/>
        <w:rPr>
          <w:rFonts w:hint="eastAsia" w:hAnsi="宋体"/>
          <w:sz w:val="22"/>
          <w:szCs w:val="22"/>
        </w:rPr>
      </w:pPr>
      <w:r>
        <w:rPr>
          <w:rFonts w:hint="eastAsia" w:hAnsi="宋体"/>
          <w:sz w:val="22"/>
          <w:szCs w:val="22"/>
        </w:rPr>
        <w:t>1）投标供应商在招标文件中规定的投标有效期内撤回其投标；</w:t>
      </w:r>
    </w:p>
    <w:p w14:paraId="225F16C9">
      <w:pPr>
        <w:tabs>
          <w:tab w:val="clear" w:pos="426"/>
        </w:tabs>
        <w:spacing w:line="360" w:lineRule="exact"/>
        <w:ind w:firstLine="440" w:firstLineChars="200"/>
        <w:rPr>
          <w:rFonts w:hint="eastAsia" w:hAnsi="宋体"/>
          <w:sz w:val="22"/>
          <w:szCs w:val="22"/>
        </w:rPr>
      </w:pPr>
      <w:r>
        <w:rPr>
          <w:rFonts w:hint="eastAsia" w:hAnsi="宋体"/>
          <w:sz w:val="22"/>
          <w:szCs w:val="22"/>
        </w:rPr>
        <w:t>2）中标供应商在规定期限内未能根据本项通用条款第47条规定签订合同；</w:t>
      </w:r>
    </w:p>
    <w:p w14:paraId="34F9E57A">
      <w:pPr>
        <w:tabs>
          <w:tab w:val="clear" w:pos="426"/>
        </w:tabs>
        <w:spacing w:line="360" w:lineRule="exact"/>
        <w:ind w:firstLine="440" w:firstLineChars="200"/>
        <w:rPr>
          <w:rFonts w:hint="eastAsia" w:hAnsi="宋体"/>
          <w:sz w:val="22"/>
          <w:szCs w:val="22"/>
        </w:rPr>
      </w:pPr>
      <w:r>
        <w:rPr>
          <w:rFonts w:hint="eastAsia" w:hAnsi="宋体"/>
          <w:sz w:val="22"/>
          <w:szCs w:val="22"/>
        </w:rPr>
        <w:t>3）投标供应商提供虚假投标文件或虚假补充文件：</w:t>
      </w:r>
    </w:p>
    <w:p w14:paraId="71E54598">
      <w:pPr>
        <w:tabs>
          <w:tab w:val="clear" w:pos="426"/>
        </w:tabs>
        <w:spacing w:line="360" w:lineRule="exact"/>
        <w:ind w:firstLine="440" w:firstLineChars="200"/>
        <w:rPr>
          <w:rFonts w:hint="eastAsia" w:hAnsi="宋体"/>
          <w:sz w:val="22"/>
          <w:szCs w:val="22"/>
        </w:rPr>
      </w:pPr>
      <w:r>
        <w:rPr>
          <w:rFonts w:hint="eastAsia" w:hAnsi="宋体"/>
          <w:sz w:val="22"/>
          <w:szCs w:val="22"/>
        </w:rPr>
        <w:t>4）投标供应商以谋取中标为目的的技术规格模糊响应（如有意照搬照抄招标文件的技术要求）或虚假响应的；</w:t>
      </w:r>
    </w:p>
    <w:p w14:paraId="03ABD4FA">
      <w:pPr>
        <w:tabs>
          <w:tab w:val="clear" w:pos="426"/>
        </w:tabs>
        <w:spacing w:line="360" w:lineRule="exact"/>
        <w:ind w:firstLine="440" w:firstLineChars="200"/>
        <w:rPr>
          <w:rFonts w:hint="eastAsia" w:hAnsi="宋体"/>
          <w:sz w:val="22"/>
          <w:szCs w:val="22"/>
        </w:rPr>
      </w:pPr>
      <w:r>
        <w:rPr>
          <w:rFonts w:hint="eastAsia" w:hAnsi="宋体"/>
          <w:sz w:val="22"/>
          <w:szCs w:val="22"/>
        </w:rPr>
        <w:t>5）投标供应商质疑投诉提供虚假情况。</w:t>
      </w:r>
    </w:p>
    <w:p w14:paraId="72163EED">
      <w:pPr>
        <w:tabs>
          <w:tab w:val="clear" w:pos="426"/>
        </w:tabs>
        <w:spacing w:line="360" w:lineRule="exact"/>
        <w:ind w:firstLine="440" w:firstLineChars="200"/>
        <w:rPr>
          <w:rFonts w:hint="eastAsia" w:hAnsi="宋体"/>
          <w:sz w:val="22"/>
          <w:szCs w:val="22"/>
        </w:rPr>
      </w:pPr>
      <w:r>
        <w:rPr>
          <w:rFonts w:hint="eastAsia" w:hAnsi="宋体"/>
          <w:sz w:val="22"/>
          <w:szCs w:val="22"/>
        </w:rPr>
        <w:t>22.4不再收取投标保证金。</w:t>
      </w:r>
    </w:p>
    <w:p w14:paraId="5A790E92">
      <w:pPr>
        <w:tabs>
          <w:tab w:val="clear" w:pos="426"/>
        </w:tabs>
        <w:spacing w:line="360" w:lineRule="exact"/>
        <w:ind w:firstLine="440" w:firstLineChars="200"/>
        <w:rPr>
          <w:rFonts w:hint="eastAsia" w:hAnsi="宋体"/>
          <w:sz w:val="22"/>
          <w:szCs w:val="22"/>
        </w:rPr>
      </w:pPr>
      <w:r>
        <w:rPr>
          <w:rFonts w:hint="eastAsia" w:hAnsi="宋体"/>
          <w:sz w:val="22"/>
          <w:szCs w:val="22"/>
        </w:rPr>
        <w:t>23．投标供应商的替代方案</w:t>
      </w:r>
    </w:p>
    <w:p w14:paraId="7130D645">
      <w:pPr>
        <w:tabs>
          <w:tab w:val="clear" w:pos="426"/>
        </w:tabs>
        <w:spacing w:line="360" w:lineRule="exact"/>
        <w:ind w:firstLine="440" w:firstLineChars="200"/>
        <w:rPr>
          <w:rFonts w:hint="eastAsia" w:hAnsi="宋体"/>
          <w:sz w:val="22"/>
          <w:szCs w:val="22"/>
        </w:rPr>
      </w:pPr>
      <w:r>
        <w:rPr>
          <w:rFonts w:hint="eastAsia" w:hAnsi="宋体"/>
          <w:sz w:val="22"/>
          <w:szCs w:val="22"/>
        </w:rPr>
        <w:t>23.1投标供应商所提交的投标文件应完全满足招标文件（包括图纸和技术规范所示的基本技术设计）的要求。除非招标的项目明确允许投标供应商提交替代方案，否则投标供应商有关替代方案的条款将不予考虑。</w:t>
      </w:r>
    </w:p>
    <w:p w14:paraId="79991018">
      <w:pPr>
        <w:tabs>
          <w:tab w:val="clear" w:pos="426"/>
        </w:tabs>
        <w:spacing w:line="360" w:lineRule="exact"/>
        <w:ind w:firstLine="440" w:firstLineChars="200"/>
        <w:rPr>
          <w:rFonts w:hint="eastAsia" w:hAnsi="宋体"/>
          <w:bCs/>
          <w:sz w:val="22"/>
          <w:szCs w:val="22"/>
        </w:rPr>
      </w:pPr>
      <w:r>
        <w:rPr>
          <w:rFonts w:hint="eastAsia" w:hAnsi="宋体"/>
          <w:sz w:val="22"/>
          <w:szCs w:val="22"/>
        </w:rPr>
        <w:t>23.2 如果允许投标供应商提交替代方案，则准备提交替代方案的投标供应商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p w14:paraId="000B72D1">
      <w:pPr>
        <w:tabs>
          <w:tab w:val="clear" w:pos="426"/>
        </w:tabs>
        <w:spacing w:line="360" w:lineRule="exact"/>
        <w:ind w:firstLine="440" w:firstLineChars="200"/>
        <w:rPr>
          <w:rFonts w:hint="eastAsia" w:hAnsi="宋体"/>
          <w:sz w:val="22"/>
          <w:szCs w:val="22"/>
        </w:rPr>
      </w:pPr>
      <w:r>
        <w:rPr>
          <w:rFonts w:hint="eastAsia" w:hAnsi="宋体"/>
          <w:sz w:val="22"/>
          <w:szCs w:val="22"/>
        </w:rPr>
        <w:t>24．投标文件的密封、标记和装订</w:t>
      </w:r>
    </w:p>
    <w:p w14:paraId="52406669">
      <w:pPr>
        <w:widowControl w:val="0"/>
        <w:shd w:val="clear" w:color="auto" w:fill="auto"/>
        <w:tabs>
          <w:tab w:val="clear" w:pos="426"/>
        </w:tabs>
        <w:autoSpaceDE w:val="0"/>
        <w:autoSpaceDN w:val="0"/>
        <w:spacing w:line="360" w:lineRule="exact"/>
        <w:ind w:firstLine="440" w:firstLineChars="200"/>
        <w:rPr>
          <w:rFonts w:hint="eastAsia" w:hAnsi="宋体"/>
          <w:bCs/>
          <w:sz w:val="22"/>
          <w:szCs w:val="22"/>
        </w:rPr>
      </w:pPr>
      <w:r>
        <w:rPr>
          <w:rFonts w:hint="eastAsia" w:hAnsi="宋体"/>
          <w:sz w:val="22"/>
          <w:szCs w:val="22"/>
        </w:rPr>
        <w:t xml:space="preserve">24.1 </w:t>
      </w:r>
      <w:r>
        <w:rPr>
          <w:rFonts w:hint="eastAsia" w:hAnsi="宋体"/>
          <w:bCs/>
          <w:sz w:val="22"/>
          <w:szCs w:val="22"/>
        </w:rPr>
        <w:t>为方便开标唱标，投标供应商应单独提交一个密封信封，并在信封上标明“开标信封”的字样，内容包括开标一览表(报价表)、法定代表人证明书或法定代表人授权委托书、</w:t>
      </w:r>
      <w:r>
        <w:rPr>
          <w:rFonts w:hint="eastAsia" w:hAnsi="宋体"/>
          <w:sz w:val="22"/>
          <w:szCs w:val="22"/>
        </w:rPr>
        <w:t>投标文件电子U盘</w:t>
      </w:r>
      <w:r>
        <w:rPr>
          <w:rFonts w:hint="eastAsia" w:hAnsi="宋体"/>
          <w:bCs/>
          <w:sz w:val="22"/>
          <w:szCs w:val="22"/>
        </w:rPr>
        <w:t>，若本项目（或包组）接受联合体投标，则联合体投标，应将各方共同签署的《联合投标协议》和《投标联合体授权主体方协议书》一并提交。开标信封是投标文件的组成部分。</w:t>
      </w:r>
    </w:p>
    <w:p w14:paraId="0BA5A39D">
      <w:pPr>
        <w:tabs>
          <w:tab w:val="clear" w:pos="426"/>
        </w:tabs>
        <w:spacing w:line="360" w:lineRule="exact"/>
        <w:ind w:firstLine="440" w:firstLineChars="200"/>
        <w:rPr>
          <w:rFonts w:hint="eastAsia" w:hAnsi="宋体"/>
          <w:sz w:val="22"/>
          <w:szCs w:val="22"/>
        </w:rPr>
      </w:pPr>
      <w:r>
        <w:rPr>
          <w:rFonts w:hint="eastAsia" w:hAnsi="宋体"/>
          <w:sz w:val="22"/>
          <w:szCs w:val="22"/>
        </w:rPr>
        <w:t>24.2 投标文件为纸质投标文件，含正本和副本，投标文件应标明项目编号、招标项目名称及“正本”或“副本”。投标文件的所有内容应按A4篇幅装订成一册，装订应牢固不可拆卸。装订好的投标文件密封包装在一个外密封袋中，并在外密封袋上注明：</w:t>
      </w:r>
    </w:p>
    <w:p w14:paraId="6C827A80">
      <w:pPr>
        <w:tabs>
          <w:tab w:val="clear" w:pos="426"/>
        </w:tabs>
        <w:spacing w:line="360" w:lineRule="exact"/>
        <w:ind w:firstLine="440" w:firstLineChars="200"/>
        <w:rPr>
          <w:rFonts w:hint="eastAsia" w:hAnsi="宋体"/>
          <w:sz w:val="22"/>
          <w:szCs w:val="22"/>
        </w:rPr>
      </w:pPr>
      <w:r>
        <w:rPr>
          <w:rFonts w:hint="eastAsia" w:hAnsi="宋体"/>
          <w:sz w:val="22"/>
          <w:szCs w:val="22"/>
        </w:rPr>
        <w:t>投标文件</w:t>
      </w:r>
    </w:p>
    <w:p w14:paraId="64A270BE">
      <w:pPr>
        <w:tabs>
          <w:tab w:val="clear" w:pos="426"/>
        </w:tabs>
        <w:spacing w:line="360" w:lineRule="exact"/>
        <w:ind w:firstLine="440" w:firstLineChars="200"/>
        <w:rPr>
          <w:rFonts w:hint="eastAsia" w:hAnsi="宋体"/>
          <w:sz w:val="22"/>
          <w:szCs w:val="22"/>
        </w:rPr>
      </w:pPr>
      <w:r>
        <w:rPr>
          <w:rFonts w:hint="eastAsia" w:hAnsi="宋体"/>
          <w:sz w:val="22"/>
          <w:szCs w:val="22"/>
        </w:rPr>
        <w:t>项目编号：</w:t>
      </w:r>
    </w:p>
    <w:p w14:paraId="46CC06C2">
      <w:pPr>
        <w:tabs>
          <w:tab w:val="clear" w:pos="426"/>
        </w:tabs>
        <w:spacing w:line="360" w:lineRule="exact"/>
        <w:ind w:firstLine="440" w:firstLineChars="200"/>
        <w:rPr>
          <w:rFonts w:hint="eastAsia" w:hAnsi="宋体"/>
          <w:sz w:val="22"/>
          <w:szCs w:val="22"/>
        </w:rPr>
      </w:pPr>
      <w:r>
        <w:rPr>
          <w:rFonts w:hint="eastAsia" w:hAnsi="宋体"/>
          <w:sz w:val="22"/>
          <w:szCs w:val="22"/>
        </w:rPr>
        <w:t>项目名称：</w:t>
      </w:r>
    </w:p>
    <w:p w14:paraId="1C2C233C">
      <w:pPr>
        <w:tabs>
          <w:tab w:val="clear" w:pos="426"/>
        </w:tabs>
        <w:spacing w:line="360" w:lineRule="exact"/>
        <w:ind w:firstLine="440" w:firstLineChars="200"/>
        <w:rPr>
          <w:rFonts w:hint="eastAsia" w:hAnsi="宋体"/>
          <w:sz w:val="22"/>
          <w:szCs w:val="22"/>
        </w:rPr>
      </w:pPr>
      <w:r>
        <w:rPr>
          <w:rFonts w:hint="eastAsia" w:hAnsi="宋体"/>
          <w:sz w:val="22"/>
          <w:szCs w:val="22"/>
        </w:rPr>
        <w:t>投标供应商名称（盖章）：</w:t>
      </w:r>
    </w:p>
    <w:p w14:paraId="645077B5">
      <w:pPr>
        <w:tabs>
          <w:tab w:val="clear" w:pos="426"/>
        </w:tabs>
        <w:spacing w:line="360" w:lineRule="exact"/>
        <w:ind w:firstLine="440" w:firstLineChars="200"/>
        <w:rPr>
          <w:rFonts w:hint="eastAsia" w:hAnsi="宋体"/>
          <w:sz w:val="22"/>
          <w:szCs w:val="22"/>
        </w:rPr>
      </w:pPr>
      <w:r>
        <w:rPr>
          <w:rFonts w:hint="eastAsia" w:hAnsi="宋体"/>
          <w:sz w:val="22"/>
          <w:szCs w:val="22"/>
        </w:rPr>
        <w:t>投标截止时间：</w:t>
      </w:r>
      <w:r>
        <w:rPr>
          <w:rFonts w:hint="eastAsia" w:hAnsi="宋体"/>
          <w:sz w:val="22"/>
          <w:szCs w:val="22"/>
          <w:u w:val="single"/>
        </w:rPr>
        <w:t>_______年______月______日______时______分（前不得开封）</w:t>
      </w:r>
      <w:r>
        <w:rPr>
          <w:rFonts w:hint="eastAsia" w:hAnsi="宋体"/>
          <w:sz w:val="22"/>
          <w:szCs w:val="22"/>
        </w:rPr>
        <w:t>。</w:t>
      </w:r>
    </w:p>
    <w:p w14:paraId="7E0D3C75">
      <w:pPr>
        <w:tabs>
          <w:tab w:val="clear" w:pos="426"/>
        </w:tabs>
        <w:spacing w:line="360" w:lineRule="exact"/>
        <w:ind w:firstLine="440" w:firstLineChars="200"/>
        <w:rPr>
          <w:rFonts w:hint="eastAsia" w:hAnsi="宋体"/>
          <w:sz w:val="22"/>
          <w:szCs w:val="22"/>
        </w:rPr>
      </w:pPr>
      <w:r>
        <w:rPr>
          <w:rFonts w:hint="eastAsia" w:hAnsi="宋体"/>
          <w:sz w:val="22"/>
          <w:szCs w:val="22"/>
        </w:rPr>
        <w:t>24.3  所有投标文件的密封袋的封口处均应加盖投标供应商公章。</w:t>
      </w:r>
    </w:p>
    <w:p w14:paraId="5CD54F4F">
      <w:pPr>
        <w:tabs>
          <w:tab w:val="clear" w:pos="426"/>
        </w:tabs>
        <w:spacing w:line="360" w:lineRule="exact"/>
        <w:ind w:firstLine="440" w:firstLineChars="200"/>
        <w:rPr>
          <w:rFonts w:hint="eastAsia" w:hAnsi="宋体"/>
          <w:sz w:val="22"/>
          <w:szCs w:val="22"/>
        </w:rPr>
      </w:pPr>
      <w:r>
        <w:rPr>
          <w:rFonts w:hint="eastAsia" w:hAnsi="宋体"/>
          <w:sz w:val="22"/>
          <w:szCs w:val="22"/>
        </w:rPr>
        <w:t>24.4  对于因标书标识不清、装订不牢、密封不严等导致的不利后果由该投标供应商自负。</w:t>
      </w:r>
    </w:p>
    <w:p w14:paraId="7E507ECF">
      <w:pPr>
        <w:tabs>
          <w:tab w:val="clear" w:pos="426"/>
        </w:tabs>
        <w:spacing w:line="360" w:lineRule="exact"/>
        <w:ind w:firstLine="440" w:firstLineChars="200"/>
        <w:rPr>
          <w:rFonts w:hint="eastAsia" w:hAnsi="宋体"/>
          <w:sz w:val="22"/>
          <w:szCs w:val="22"/>
        </w:rPr>
      </w:pPr>
      <w:r>
        <w:rPr>
          <w:rFonts w:hint="eastAsia" w:hAnsi="宋体"/>
          <w:sz w:val="22"/>
          <w:szCs w:val="22"/>
        </w:rPr>
        <w:t>24.5  投标方应将投标文件按24.1-24.2中的规定进行密封和标记后，按专用条款中招标公告注明的地址送至招标机构。</w:t>
      </w:r>
    </w:p>
    <w:p w14:paraId="711DC7BA">
      <w:pPr>
        <w:tabs>
          <w:tab w:val="clear" w:pos="426"/>
        </w:tabs>
        <w:spacing w:line="360" w:lineRule="exact"/>
        <w:ind w:firstLine="440" w:firstLineChars="200"/>
        <w:rPr>
          <w:rFonts w:hint="eastAsia" w:hAnsi="宋体"/>
          <w:sz w:val="22"/>
          <w:szCs w:val="22"/>
        </w:rPr>
      </w:pPr>
      <w:r>
        <w:rPr>
          <w:rFonts w:hint="eastAsia" w:hAnsi="宋体"/>
          <w:sz w:val="22"/>
          <w:szCs w:val="22"/>
        </w:rPr>
        <w:t>24.6  邮寄、电报、电话、传真形式的投标概不接受。</w:t>
      </w:r>
    </w:p>
    <w:p w14:paraId="1E842694">
      <w:pPr>
        <w:tabs>
          <w:tab w:val="clear" w:pos="426"/>
        </w:tabs>
        <w:spacing w:line="360" w:lineRule="exact"/>
        <w:ind w:firstLine="442" w:firstLineChars="200"/>
        <w:rPr>
          <w:rFonts w:hint="eastAsia" w:hAnsi="宋体"/>
          <w:b/>
          <w:sz w:val="22"/>
          <w:szCs w:val="22"/>
        </w:rPr>
      </w:pPr>
      <w:r>
        <w:rPr>
          <w:rFonts w:hint="eastAsia" w:hAnsi="宋体"/>
          <w:b/>
          <w:sz w:val="22"/>
          <w:szCs w:val="22"/>
        </w:rPr>
        <w:t xml:space="preserve">24.7  </w:t>
      </w:r>
      <w:r>
        <w:rPr>
          <w:rFonts w:hint="eastAsia" w:hAnsi="宋体"/>
          <w:b/>
          <w:bCs/>
          <w:sz w:val="22"/>
          <w:szCs w:val="22"/>
        </w:rPr>
        <w:t>投标文件电子版：电子U盘一张（WORD及投标文件正本盖章后的彩色复印件，复印件要求为PDF格式），请将该U盘放在开标信封中，并在U盘上标明项目编号、项目名称及投标供应商名称。</w:t>
      </w:r>
    </w:p>
    <w:p w14:paraId="4EC8C6EB">
      <w:pPr>
        <w:tabs>
          <w:tab w:val="clear" w:pos="426"/>
        </w:tabs>
        <w:spacing w:line="360" w:lineRule="exact"/>
        <w:ind w:firstLine="440" w:firstLineChars="200"/>
        <w:rPr>
          <w:rFonts w:hint="eastAsia" w:hAnsi="宋体"/>
          <w:sz w:val="22"/>
          <w:szCs w:val="22"/>
        </w:rPr>
      </w:pPr>
      <w:r>
        <w:rPr>
          <w:rFonts w:hint="eastAsia" w:hAnsi="宋体"/>
          <w:sz w:val="22"/>
          <w:szCs w:val="22"/>
        </w:rPr>
        <w:t>25．投标截止时间</w:t>
      </w:r>
    </w:p>
    <w:p w14:paraId="07840655">
      <w:pPr>
        <w:tabs>
          <w:tab w:val="clear" w:pos="426"/>
        </w:tabs>
        <w:spacing w:line="360" w:lineRule="exact"/>
        <w:ind w:firstLine="440" w:firstLineChars="200"/>
        <w:rPr>
          <w:rFonts w:hint="eastAsia" w:hAnsi="宋体"/>
          <w:sz w:val="22"/>
          <w:szCs w:val="22"/>
        </w:rPr>
      </w:pPr>
      <w:r>
        <w:rPr>
          <w:rFonts w:hint="eastAsia" w:hAnsi="宋体"/>
          <w:sz w:val="22"/>
          <w:szCs w:val="22"/>
        </w:rPr>
        <w:t>招标机构在投标供应商须知第24.5条规定的地址收到投标书的时间不得迟于“投标供应商须知前附表”所规定的时间。</w:t>
      </w:r>
    </w:p>
    <w:p w14:paraId="6EF3A000">
      <w:pPr>
        <w:tabs>
          <w:tab w:val="clear" w:pos="426"/>
        </w:tabs>
        <w:spacing w:line="360" w:lineRule="exact"/>
        <w:ind w:firstLine="440" w:firstLineChars="200"/>
        <w:rPr>
          <w:rFonts w:hint="eastAsia" w:hAnsi="宋体"/>
          <w:sz w:val="22"/>
          <w:szCs w:val="22"/>
        </w:rPr>
      </w:pPr>
      <w:r>
        <w:rPr>
          <w:rFonts w:hint="eastAsia" w:hAnsi="宋体"/>
          <w:sz w:val="22"/>
          <w:szCs w:val="22"/>
        </w:rPr>
        <w:t>26．迟交的投标书</w:t>
      </w:r>
    </w:p>
    <w:p w14:paraId="134E17E3">
      <w:pPr>
        <w:tabs>
          <w:tab w:val="clear" w:pos="426"/>
        </w:tabs>
        <w:spacing w:line="360" w:lineRule="exact"/>
        <w:ind w:firstLine="440" w:firstLineChars="200"/>
        <w:rPr>
          <w:rFonts w:hint="eastAsia" w:hAnsi="宋体"/>
          <w:sz w:val="22"/>
          <w:szCs w:val="22"/>
        </w:rPr>
      </w:pPr>
      <w:r>
        <w:rPr>
          <w:rFonts w:hint="eastAsia" w:hAnsi="宋体"/>
          <w:sz w:val="22"/>
          <w:szCs w:val="22"/>
        </w:rPr>
        <w:t>按照本通用条款第25条规定，招标机构将拒绝并原封退回在其规定的投标截止期后收到的任何投标书。</w:t>
      </w:r>
    </w:p>
    <w:p w14:paraId="35F72AEB">
      <w:pPr>
        <w:tabs>
          <w:tab w:val="clear" w:pos="426"/>
        </w:tabs>
        <w:spacing w:line="360" w:lineRule="exact"/>
        <w:ind w:firstLine="440" w:firstLineChars="200"/>
        <w:rPr>
          <w:rFonts w:hint="eastAsia" w:hAnsi="宋体"/>
          <w:sz w:val="22"/>
          <w:szCs w:val="22"/>
        </w:rPr>
      </w:pPr>
      <w:r>
        <w:rPr>
          <w:rFonts w:hint="eastAsia" w:hAnsi="宋体"/>
          <w:sz w:val="22"/>
          <w:szCs w:val="22"/>
        </w:rPr>
        <w:t>27．投标文件的提交和截标时投标文件的数量要求</w:t>
      </w:r>
    </w:p>
    <w:p w14:paraId="66364FD6">
      <w:pPr>
        <w:tabs>
          <w:tab w:val="clear" w:pos="426"/>
        </w:tabs>
        <w:spacing w:line="360" w:lineRule="exact"/>
        <w:ind w:firstLine="440" w:firstLineChars="200"/>
        <w:rPr>
          <w:rFonts w:hint="eastAsia" w:hAnsi="宋体"/>
          <w:sz w:val="22"/>
          <w:szCs w:val="22"/>
        </w:rPr>
      </w:pPr>
      <w:r>
        <w:rPr>
          <w:rFonts w:hint="eastAsia" w:hAnsi="宋体"/>
          <w:sz w:val="22"/>
          <w:szCs w:val="22"/>
        </w:rPr>
        <w:t>27.1  投标截止时间和地点。投标供应商应根据“专用条款”的规定，在投标截止时间前将投标文件密封送达指定地点。未及时送达指定地点及不符合密封、标记、签章、装订要求的投标文件采购代理机构将拒绝接收。</w:t>
      </w:r>
    </w:p>
    <w:p w14:paraId="4CA1B61C">
      <w:pPr>
        <w:tabs>
          <w:tab w:val="clear" w:pos="426"/>
        </w:tabs>
        <w:spacing w:line="360" w:lineRule="exact"/>
        <w:ind w:firstLine="440" w:firstLineChars="200"/>
        <w:rPr>
          <w:rFonts w:hint="eastAsia" w:hAnsi="宋体"/>
          <w:sz w:val="22"/>
          <w:szCs w:val="22"/>
        </w:rPr>
      </w:pPr>
      <w:r>
        <w:rPr>
          <w:rFonts w:hint="eastAsia" w:hAnsi="宋体"/>
          <w:sz w:val="22"/>
          <w:szCs w:val="22"/>
        </w:rPr>
        <w:t>27.2  截标时递交标书的投标供应商数量未达到法定家数的，采购代理机构将按法律法规的规定暂停开标和评标程序。如导致招标失败，采购人或采购代理机构将不负担因此给投标供应商造成的损失。</w:t>
      </w:r>
    </w:p>
    <w:p w14:paraId="72D42331">
      <w:pPr>
        <w:tabs>
          <w:tab w:val="clear" w:pos="426"/>
        </w:tabs>
        <w:spacing w:line="360" w:lineRule="exact"/>
        <w:ind w:firstLine="440" w:firstLineChars="200"/>
        <w:rPr>
          <w:rFonts w:hint="eastAsia" w:hAnsi="宋体"/>
          <w:sz w:val="22"/>
          <w:szCs w:val="22"/>
        </w:rPr>
      </w:pPr>
      <w:r>
        <w:rPr>
          <w:rFonts w:hint="eastAsia" w:hAnsi="宋体"/>
          <w:sz w:val="22"/>
          <w:szCs w:val="22"/>
        </w:rPr>
        <w:t>28．投标文件的修改或撤回</w:t>
      </w:r>
    </w:p>
    <w:p w14:paraId="4F56F288">
      <w:pPr>
        <w:tabs>
          <w:tab w:val="clear" w:pos="426"/>
        </w:tabs>
        <w:spacing w:line="360" w:lineRule="exact"/>
        <w:ind w:firstLine="440" w:firstLineChars="200"/>
        <w:rPr>
          <w:rFonts w:hint="eastAsia" w:hAnsi="宋体"/>
          <w:sz w:val="22"/>
          <w:szCs w:val="22"/>
        </w:rPr>
      </w:pPr>
      <w:r>
        <w:rPr>
          <w:rFonts w:hint="eastAsia" w:hAnsi="宋体"/>
          <w:sz w:val="22"/>
          <w:szCs w:val="22"/>
        </w:rPr>
        <w:t>28.1  投标供应商已提交投标文件，规定的投标截止时间还未到，投标供应商可提出对其投标文件的修改或撤回。投标供应商须提交由投标供应商代表签名的修改或撤回的书面通知。</w:t>
      </w:r>
    </w:p>
    <w:p w14:paraId="55A31C41">
      <w:pPr>
        <w:tabs>
          <w:tab w:val="clear" w:pos="426"/>
        </w:tabs>
        <w:spacing w:line="360" w:lineRule="exact"/>
        <w:ind w:firstLine="440" w:firstLineChars="200"/>
        <w:rPr>
          <w:rFonts w:hint="eastAsia" w:hAnsi="宋体"/>
          <w:sz w:val="22"/>
          <w:szCs w:val="22"/>
        </w:rPr>
      </w:pPr>
      <w:r>
        <w:rPr>
          <w:rFonts w:hint="eastAsia" w:hAnsi="宋体"/>
          <w:sz w:val="22"/>
          <w:szCs w:val="22"/>
        </w:rPr>
        <w:t>28.2  采购代理机构收到由投标供应商代表签名的修改或撤回的书面通知并确认后，投标供应商可对其投标文件进行修改，或是撤回其投标。</w:t>
      </w:r>
    </w:p>
    <w:p w14:paraId="6D7FC313">
      <w:pPr>
        <w:tabs>
          <w:tab w:val="clear" w:pos="426"/>
        </w:tabs>
        <w:spacing w:line="360" w:lineRule="exact"/>
        <w:ind w:firstLine="440" w:firstLineChars="200"/>
        <w:rPr>
          <w:rFonts w:hint="eastAsia" w:hAnsi="宋体"/>
          <w:sz w:val="22"/>
          <w:szCs w:val="22"/>
        </w:rPr>
      </w:pPr>
      <w:r>
        <w:rPr>
          <w:rFonts w:hint="eastAsia" w:hAnsi="宋体"/>
          <w:sz w:val="22"/>
          <w:szCs w:val="22"/>
        </w:rPr>
        <w:t>28.3  投标供应商的修改文件应按照本招标文件的规定进行编制、密封、标记和提交，并在密封袋上注明“投标修改”。</w:t>
      </w:r>
    </w:p>
    <w:p w14:paraId="596BAB75">
      <w:pPr>
        <w:tabs>
          <w:tab w:val="clear" w:pos="426"/>
        </w:tabs>
        <w:spacing w:line="360" w:lineRule="exact"/>
        <w:ind w:firstLine="440" w:firstLineChars="200"/>
        <w:rPr>
          <w:rFonts w:hint="eastAsia" w:hAnsi="宋体"/>
          <w:sz w:val="22"/>
          <w:szCs w:val="22"/>
        </w:rPr>
      </w:pPr>
      <w:r>
        <w:rPr>
          <w:rFonts w:hint="eastAsia" w:hAnsi="宋体"/>
          <w:sz w:val="22"/>
          <w:szCs w:val="22"/>
        </w:rPr>
        <w:t>28.4  投标截止时间之后至投标文件有效期终止之前，投标供应商不得要求撤回其投标。在此期间撤回投标的，其投标担保将会被没收。</w:t>
      </w:r>
    </w:p>
    <w:p w14:paraId="129D9594">
      <w:pPr>
        <w:tabs>
          <w:tab w:val="clear" w:pos="426"/>
        </w:tabs>
        <w:spacing w:line="360" w:lineRule="exact"/>
        <w:ind w:firstLine="440" w:firstLineChars="200"/>
        <w:rPr>
          <w:rFonts w:hint="eastAsia" w:hAnsi="宋体"/>
          <w:sz w:val="22"/>
          <w:szCs w:val="22"/>
        </w:rPr>
      </w:pPr>
      <w:r>
        <w:rPr>
          <w:rFonts w:hint="eastAsia" w:hAnsi="宋体"/>
          <w:sz w:val="22"/>
          <w:szCs w:val="22"/>
        </w:rPr>
        <w:t>28.5  评标结束后，不论中标与否，投标供应商均不得收回投标文件。</w:t>
      </w:r>
    </w:p>
    <w:p w14:paraId="427FFBB9">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80" w:name="_Toc14427257"/>
      <w:bookmarkStart w:id="181" w:name="_Toc530152525"/>
      <w:bookmarkStart w:id="182" w:name="_Toc3890"/>
      <w:bookmarkStart w:id="183" w:name="_Toc529280584"/>
      <w:r>
        <w:rPr>
          <w:rFonts w:hint="eastAsia" w:hAnsi="宋体"/>
          <w:sz w:val="22"/>
          <w:szCs w:val="22"/>
        </w:rPr>
        <w:t>第四章开标</w:t>
      </w:r>
      <w:bookmarkEnd w:id="180"/>
      <w:bookmarkEnd w:id="181"/>
      <w:bookmarkEnd w:id="182"/>
      <w:bookmarkEnd w:id="183"/>
    </w:p>
    <w:p w14:paraId="42E8C172">
      <w:pPr>
        <w:tabs>
          <w:tab w:val="clear" w:pos="426"/>
        </w:tabs>
        <w:spacing w:line="360" w:lineRule="exact"/>
        <w:ind w:firstLine="440" w:firstLineChars="200"/>
        <w:rPr>
          <w:rFonts w:hint="eastAsia" w:hAnsi="宋体"/>
          <w:sz w:val="22"/>
          <w:szCs w:val="22"/>
        </w:rPr>
      </w:pPr>
      <w:r>
        <w:rPr>
          <w:rFonts w:hint="eastAsia" w:hAnsi="宋体"/>
          <w:sz w:val="22"/>
          <w:szCs w:val="22"/>
        </w:rPr>
        <w:t>29．　开标</w:t>
      </w:r>
    </w:p>
    <w:p w14:paraId="76521910">
      <w:pPr>
        <w:tabs>
          <w:tab w:val="clear" w:pos="426"/>
        </w:tabs>
        <w:spacing w:line="360" w:lineRule="exact"/>
        <w:ind w:firstLine="440" w:firstLineChars="200"/>
        <w:rPr>
          <w:rFonts w:hint="eastAsia" w:hAnsi="宋体"/>
          <w:sz w:val="22"/>
          <w:szCs w:val="22"/>
        </w:rPr>
      </w:pPr>
      <w:r>
        <w:rPr>
          <w:rFonts w:hint="eastAsia" w:hAnsi="宋体"/>
          <w:sz w:val="22"/>
          <w:szCs w:val="22"/>
        </w:rPr>
        <w:t>29.1  采购人在“投标须知前附表”中规定的时间、地点组织公开开标。邀请所有投标供应商代表参加。不参加开标会的投标供应商，视为其认可开标程序和结果。</w:t>
      </w:r>
    </w:p>
    <w:p w14:paraId="4698752C">
      <w:pPr>
        <w:tabs>
          <w:tab w:val="clear" w:pos="426"/>
        </w:tabs>
        <w:spacing w:line="360" w:lineRule="exact"/>
        <w:ind w:firstLine="440" w:firstLineChars="200"/>
        <w:rPr>
          <w:rFonts w:hint="eastAsia" w:hAnsi="宋体"/>
          <w:sz w:val="22"/>
          <w:szCs w:val="22"/>
        </w:rPr>
      </w:pPr>
      <w:r>
        <w:rPr>
          <w:rFonts w:hint="eastAsia" w:hAnsi="宋体"/>
          <w:sz w:val="22"/>
          <w:szCs w:val="22"/>
        </w:rPr>
        <w:t>29.2  参加开标会议的投标供应商只委派一名代表，且必须是本单位法定代表人或授权代表，参加会议人员须提供相应的授权委托书。</w:t>
      </w:r>
    </w:p>
    <w:p w14:paraId="61D3E449">
      <w:pPr>
        <w:tabs>
          <w:tab w:val="clear" w:pos="426"/>
        </w:tabs>
        <w:spacing w:line="360" w:lineRule="exact"/>
        <w:ind w:firstLine="440" w:firstLineChars="200"/>
        <w:rPr>
          <w:rFonts w:hint="eastAsia" w:hAnsi="宋体"/>
          <w:sz w:val="22"/>
          <w:szCs w:val="22"/>
        </w:rPr>
      </w:pPr>
      <w:r>
        <w:rPr>
          <w:rFonts w:hint="eastAsia" w:hAnsi="宋体"/>
          <w:sz w:val="22"/>
          <w:szCs w:val="22"/>
        </w:rPr>
        <w:t>29.3  开标会由采购代理机构主持，开标程序如下：</w:t>
      </w:r>
    </w:p>
    <w:p w14:paraId="18E9B36B">
      <w:pPr>
        <w:tabs>
          <w:tab w:val="clear" w:pos="426"/>
        </w:tabs>
        <w:spacing w:line="360" w:lineRule="exact"/>
        <w:ind w:firstLine="440" w:firstLineChars="200"/>
        <w:rPr>
          <w:rFonts w:hint="eastAsia" w:hAnsi="宋体"/>
          <w:sz w:val="22"/>
          <w:szCs w:val="22"/>
        </w:rPr>
      </w:pPr>
      <w:r>
        <w:rPr>
          <w:rFonts w:hint="eastAsia" w:hAnsi="宋体"/>
          <w:sz w:val="22"/>
          <w:szCs w:val="22"/>
        </w:rPr>
        <w:t>29.3.1  采购代理机构核对法人代表或其授权代表身份证明，若不能提供相应的身份证明或不相符，则不能参与开标会议；</w:t>
      </w:r>
    </w:p>
    <w:p w14:paraId="5894BCC1">
      <w:pPr>
        <w:tabs>
          <w:tab w:val="clear" w:pos="426"/>
        </w:tabs>
        <w:spacing w:line="360" w:lineRule="exact"/>
        <w:ind w:firstLine="440" w:firstLineChars="200"/>
        <w:rPr>
          <w:rFonts w:hint="eastAsia" w:hAnsi="宋体"/>
          <w:sz w:val="22"/>
          <w:szCs w:val="22"/>
        </w:rPr>
      </w:pPr>
      <w:r>
        <w:rPr>
          <w:rFonts w:hint="eastAsia" w:hAnsi="宋体"/>
          <w:sz w:val="22"/>
          <w:szCs w:val="22"/>
        </w:rPr>
        <w:t>29.3.2  招标机构将按“招标公告”规定的时间和地点组织公开开标。投标供应商应委派代表参加，参加开标的代表应签名报到以证明出席。</w:t>
      </w:r>
    </w:p>
    <w:p w14:paraId="5D1A0A62">
      <w:pPr>
        <w:tabs>
          <w:tab w:val="clear" w:pos="426"/>
        </w:tabs>
        <w:spacing w:line="360" w:lineRule="exact"/>
        <w:ind w:firstLine="440" w:firstLineChars="200"/>
        <w:rPr>
          <w:rFonts w:hint="eastAsia" w:hAnsi="宋体"/>
          <w:sz w:val="22"/>
          <w:szCs w:val="22"/>
        </w:rPr>
      </w:pPr>
      <w:r>
        <w:rPr>
          <w:rFonts w:hint="eastAsia" w:hAnsi="宋体"/>
          <w:sz w:val="22"/>
          <w:szCs w:val="22"/>
        </w:rPr>
        <w:t>29.3.3  开标时，招标机构将当众宣读投标供应商名称、修改和撤回投标的通知、开标一览表（以招标文件规定的开标一览表内容为准）。投标文件中开标一览表内容与投标报价明细表内容不一致的，以开标一览表为准。</w:t>
      </w:r>
    </w:p>
    <w:p w14:paraId="4B0D3C60">
      <w:pPr>
        <w:tabs>
          <w:tab w:val="clear" w:pos="426"/>
        </w:tabs>
        <w:spacing w:line="360" w:lineRule="exact"/>
        <w:ind w:firstLine="440" w:firstLineChars="200"/>
        <w:rPr>
          <w:rFonts w:hint="eastAsia" w:hAnsi="宋体"/>
          <w:sz w:val="22"/>
          <w:szCs w:val="22"/>
        </w:rPr>
      </w:pPr>
      <w:r>
        <w:rPr>
          <w:rFonts w:hint="eastAsia" w:hAnsi="宋体"/>
          <w:sz w:val="22"/>
          <w:szCs w:val="22"/>
        </w:rPr>
        <w:t>除了按照本通用条款第26条规定原封退回的投标之外，开标时将不得拒绝任何投标书。</w:t>
      </w:r>
    </w:p>
    <w:p w14:paraId="55D2027E">
      <w:pPr>
        <w:tabs>
          <w:tab w:val="clear" w:pos="426"/>
        </w:tabs>
        <w:spacing w:line="360" w:lineRule="exact"/>
        <w:ind w:firstLine="440" w:firstLineChars="200"/>
        <w:rPr>
          <w:rFonts w:hint="eastAsia" w:hAnsi="宋体"/>
          <w:sz w:val="22"/>
          <w:szCs w:val="22"/>
        </w:rPr>
      </w:pPr>
      <w:r>
        <w:rPr>
          <w:rFonts w:hint="eastAsia" w:hAnsi="宋体"/>
          <w:sz w:val="22"/>
          <w:szCs w:val="22"/>
        </w:rPr>
        <w:t>29.3.4  开标时，招标机构仅拆封开标信封。如投标供应商未单独密封包装开标信封，招标机构有权拆封投标文件。</w:t>
      </w:r>
    </w:p>
    <w:p w14:paraId="74B690E2">
      <w:pPr>
        <w:tabs>
          <w:tab w:val="clear" w:pos="426"/>
        </w:tabs>
        <w:spacing w:line="360" w:lineRule="exact"/>
        <w:ind w:firstLine="440" w:firstLineChars="200"/>
        <w:rPr>
          <w:rFonts w:hint="eastAsia" w:hAnsi="宋体"/>
          <w:sz w:val="22"/>
          <w:szCs w:val="22"/>
        </w:rPr>
      </w:pPr>
      <w:r>
        <w:rPr>
          <w:rFonts w:hint="eastAsia" w:hAnsi="宋体"/>
          <w:sz w:val="22"/>
          <w:szCs w:val="22"/>
        </w:rPr>
        <w:t>29.3.5  按照投标供应商须知第28条规定，提交了可接受的“撤回”通知的投标将不予开封。</w:t>
      </w:r>
    </w:p>
    <w:p w14:paraId="1AE12AA3">
      <w:pPr>
        <w:tabs>
          <w:tab w:val="clear" w:pos="426"/>
        </w:tabs>
        <w:spacing w:line="360" w:lineRule="exact"/>
        <w:ind w:firstLine="440" w:firstLineChars="200"/>
        <w:rPr>
          <w:rFonts w:hint="eastAsia" w:hAnsi="宋体"/>
          <w:sz w:val="22"/>
          <w:szCs w:val="22"/>
        </w:rPr>
      </w:pPr>
      <w:r>
        <w:rPr>
          <w:rFonts w:hint="eastAsia" w:hAnsi="宋体"/>
          <w:sz w:val="22"/>
          <w:szCs w:val="22"/>
        </w:rPr>
        <w:t>29.3.6  无论如何在开标时没有启封和读出的投标书在评标时将不予考虑。撤回的投标书将原封退回投标供应商。</w:t>
      </w:r>
    </w:p>
    <w:p w14:paraId="4B2D5E7F">
      <w:pPr>
        <w:tabs>
          <w:tab w:val="clear" w:pos="426"/>
        </w:tabs>
        <w:spacing w:line="360" w:lineRule="exact"/>
        <w:ind w:firstLine="440" w:firstLineChars="200"/>
        <w:rPr>
          <w:rFonts w:hint="eastAsia" w:hAnsi="宋体"/>
          <w:sz w:val="22"/>
          <w:szCs w:val="22"/>
        </w:rPr>
      </w:pPr>
      <w:r>
        <w:rPr>
          <w:rFonts w:hint="eastAsia" w:hAnsi="宋体"/>
          <w:sz w:val="22"/>
          <w:szCs w:val="22"/>
        </w:rPr>
        <w:t>29.3.7  招标机构将做开标记录，开标记录包括按本通用条款第29.3.3的规定在开标时宣读的全部内容。</w:t>
      </w:r>
    </w:p>
    <w:p w14:paraId="268EF937">
      <w:pPr>
        <w:tabs>
          <w:tab w:val="clear" w:pos="426"/>
        </w:tabs>
        <w:spacing w:line="360" w:lineRule="exact"/>
        <w:ind w:firstLine="440" w:firstLineChars="200"/>
        <w:rPr>
          <w:rFonts w:hint="eastAsia" w:hAnsi="宋体"/>
          <w:sz w:val="22"/>
          <w:szCs w:val="22"/>
        </w:rPr>
      </w:pPr>
      <w:r>
        <w:rPr>
          <w:rFonts w:hint="eastAsia" w:hAnsi="宋体"/>
          <w:sz w:val="22"/>
          <w:szCs w:val="22"/>
        </w:rPr>
        <w:t>29.3.8  供应商在开标过程中知道或者应知其权益受到损害时必须现场明确提出，未明确提出的，即视为认可开标结果。</w:t>
      </w:r>
    </w:p>
    <w:p w14:paraId="55FB8CF8">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84" w:name="_Toc529280585"/>
      <w:bookmarkStart w:id="185" w:name="_Toc530152526"/>
      <w:bookmarkStart w:id="186" w:name="_Toc2686"/>
      <w:bookmarkStart w:id="187" w:name="_Toc14427258"/>
      <w:r>
        <w:rPr>
          <w:rFonts w:hint="eastAsia" w:hAnsi="宋体"/>
          <w:sz w:val="22"/>
          <w:szCs w:val="22"/>
        </w:rPr>
        <w:t>第五章评标要求</w:t>
      </w:r>
      <w:bookmarkEnd w:id="184"/>
      <w:bookmarkEnd w:id="185"/>
      <w:bookmarkEnd w:id="186"/>
      <w:bookmarkEnd w:id="187"/>
    </w:p>
    <w:p w14:paraId="2E5BE5B4">
      <w:pPr>
        <w:tabs>
          <w:tab w:val="clear" w:pos="426"/>
        </w:tabs>
        <w:spacing w:line="360" w:lineRule="exact"/>
        <w:ind w:firstLine="440" w:firstLineChars="200"/>
        <w:rPr>
          <w:rFonts w:hint="eastAsia" w:hAnsi="宋体"/>
          <w:sz w:val="22"/>
          <w:szCs w:val="22"/>
        </w:rPr>
      </w:pPr>
      <w:r>
        <w:rPr>
          <w:rFonts w:hint="eastAsia" w:hAnsi="宋体"/>
          <w:sz w:val="22"/>
          <w:szCs w:val="22"/>
        </w:rPr>
        <w:t>30．评标委员会组成</w:t>
      </w:r>
    </w:p>
    <w:p w14:paraId="1687FB8A">
      <w:pPr>
        <w:tabs>
          <w:tab w:val="clear" w:pos="426"/>
        </w:tabs>
        <w:spacing w:line="360" w:lineRule="exact"/>
        <w:ind w:firstLine="440" w:firstLineChars="200"/>
        <w:rPr>
          <w:rFonts w:hint="eastAsia" w:hAnsi="宋体"/>
          <w:sz w:val="22"/>
          <w:szCs w:val="22"/>
        </w:rPr>
      </w:pPr>
      <w:r>
        <w:rPr>
          <w:rFonts w:hint="eastAsia" w:hAnsi="宋体"/>
          <w:sz w:val="22"/>
          <w:szCs w:val="22"/>
        </w:rPr>
        <w:t>30.1开标结束后召开评标会议，评标委员会由采购代理机构依法组建，负责评标活动。</w:t>
      </w:r>
    </w:p>
    <w:p w14:paraId="79C9AC1B">
      <w:pPr>
        <w:tabs>
          <w:tab w:val="clear" w:pos="426"/>
        </w:tabs>
        <w:spacing w:line="360" w:lineRule="exact"/>
        <w:ind w:firstLine="440" w:firstLineChars="200"/>
        <w:rPr>
          <w:rFonts w:hint="eastAsia" w:hAnsi="宋体"/>
          <w:sz w:val="22"/>
          <w:szCs w:val="22"/>
        </w:rPr>
      </w:pPr>
      <w:r>
        <w:rPr>
          <w:rFonts w:hint="eastAsia" w:hAnsi="宋体"/>
          <w:sz w:val="22"/>
          <w:szCs w:val="22"/>
        </w:rPr>
        <w:t>评标委员会的组成及行为规范执行《中华人民共和国政府采购法》《中华人民共和国政府采购法实施条例》，评标委员会由采购人代表和有关技术、经济等方面的专家组成，成员人数为5人以上（含5人）单数，其中技术、经济等方面的专家不少于成员总数的三分之二。</w:t>
      </w:r>
    </w:p>
    <w:p w14:paraId="48DC72E2">
      <w:pPr>
        <w:tabs>
          <w:tab w:val="clear" w:pos="426"/>
        </w:tabs>
        <w:spacing w:line="360" w:lineRule="exact"/>
        <w:ind w:firstLine="440" w:firstLineChars="200"/>
        <w:rPr>
          <w:rFonts w:hint="eastAsia" w:hAnsi="宋体"/>
          <w:sz w:val="22"/>
          <w:szCs w:val="22"/>
        </w:rPr>
      </w:pPr>
      <w:r>
        <w:rPr>
          <w:rFonts w:hint="eastAsia" w:hAnsi="宋体"/>
          <w:sz w:val="22"/>
          <w:szCs w:val="22"/>
        </w:rPr>
        <w:t>采购人代表须持本单位签发的《评标授权书》参加评标。</w:t>
      </w:r>
    </w:p>
    <w:p w14:paraId="4C30114E">
      <w:pPr>
        <w:tabs>
          <w:tab w:val="clear" w:pos="426"/>
        </w:tabs>
        <w:spacing w:line="360" w:lineRule="exact"/>
        <w:ind w:firstLine="440" w:firstLineChars="200"/>
        <w:rPr>
          <w:rFonts w:hint="eastAsia" w:hAnsi="宋体"/>
          <w:sz w:val="22"/>
          <w:szCs w:val="22"/>
        </w:rPr>
      </w:pPr>
      <w:r>
        <w:rPr>
          <w:rFonts w:hint="eastAsia" w:hAnsi="宋体"/>
          <w:sz w:val="22"/>
          <w:szCs w:val="22"/>
        </w:rPr>
        <w:t>采购人无代表参与评标，应在开标前一天提交《采购人不派评委参与项目评标承诺书》给采购代理机构。</w:t>
      </w:r>
    </w:p>
    <w:p w14:paraId="6B14C8EE">
      <w:pPr>
        <w:tabs>
          <w:tab w:val="clear" w:pos="426"/>
        </w:tabs>
        <w:spacing w:line="360" w:lineRule="exact"/>
        <w:ind w:firstLine="440" w:firstLineChars="200"/>
        <w:rPr>
          <w:rFonts w:hint="eastAsia" w:hAnsi="宋体"/>
          <w:sz w:val="22"/>
          <w:szCs w:val="22"/>
        </w:rPr>
      </w:pPr>
      <w:r>
        <w:rPr>
          <w:rFonts w:hint="eastAsia" w:hAnsi="宋体"/>
          <w:sz w:val="22"/>
          <w:szCs w:val="22"/>
        </w:rPr>
        <w:t>注：《评标授权书》《采购人不派评委参与项目评标承诺书》模板由采购代理机构提供。</w:t>
      </w:r>
    </w:p>
    <w:p w14:paraId="176D4C5F">
      <w:pPr>
        <w:tabs>
          <w:tab w:val="clear" w:pos="426"/>
        </w:tabs>
        <w:spacing w:line="360" w:lineRule="exact"/>
        <w:ind w:firstLine="440" w:firstLineChars="200"/>
        <w:rPr>
          <w:rFonts w:hint="eastAsia" w:hAnsi="宋体"/>
          <w:sz w:val="22"/>
          <w:szCs w:val="22"/>
        </w:rPr>
      </w:pPr>
      <w:r>
        <w:rPr>
          <w:rFonts w:hint="eastAsia" w:hAnsi="宋体"/>
          <w:sz w:val="22"/>
          <w:szCs w:val="22"/>
        </w:rPr>
        <w:t>30.2评标定标应当遵循公平、公正、科学、择优的原则。</w:t>
      </w:r>
    </w:p>
    <w:p w14:paraId="5717A05E">
      <w:pPr>
        <w:tabs>
          <w:tab w:val="clear" w:pos="426"/>
        </w:tabs>
        <w:spacing w:line="360" w:lineRule="exact"/>
        <w:ind w:firstLine="440" w:firstLineChars="200"/>
        <w:rPr>
          <w:rFonts w:hint="eastAsia" w:hAnsi="宋体"/>
          <w:sz w:val="22"/>
          <w:szCs w:val="22"/>
        </w:rPr>
      </w:pPr>
      <w:r>
        <w:rPr>
          <w:rFonts w:hint="eastAsia" w:hAnsi="宋体"/>
          <w:sz w:val="22"/>
          <w:szCs w:val="22"/>
        </w:rPr>
        <w:t>30.3评标活动依法进行，任何单位和个人不得非法干预评标过程和结果。</w:t>
      </w:r>
    </w:p>
    <w:p w14:paraId="40701768">
      <w:pPr>
        <w:tabs>
          <w:tab w:val="clear" w:pos="426"/>
        </w:tabs>
        <w:spacing w:line="360" w:lineRule="exact"/>
        <w:ind w:firstLine="440" w:firstLineChars="200"/>
        <w:rPr>
          <w:rFonts w:hint="eastAsia" w:hAnsi="宋体"/>
          <w:sz w:val="22"/>
          <w:szCs w:val="22"/>
        </w:rPr>
      </w:pPr>
      <w:r>
        <w:rPr>
          <w:rFonts w:hint="eastAsia" w:hAnsi="宋体"/>
          <w:sz w:val="22"/>
          <w:szCs w:val="22"/>
        </w:rPr>
        <w:t>30.4评标过程中不允许违背评标程序或采用招标文件未载明的评标方法或评标因素进行评标。</w:t>
      </w:r>
    </w:p>
    <w:p w14:paraId="273EC1C8">
      <w:pPr>
        <w:tabs>
          <w:tab w:val="clear" w:pos="426"/>
        </w:tabs>
        <w:spacing w:line="360" w:lineRule="exact"/>
        <w:ind w:firstLine="440" w:firstLineChars="200"/>
        <w:rPr>
          <w:rFonts w:hint="eastAsia" w:hAnsi="宋体"/>
          <w:sz w:val="22"/>
          <w:szCs w:val="22"/>
        </w:rPr>
      </w:pPr>
      <w:r>
        <w:rPr>
          <w:rFonts w:hint="eastAsia" w:hAnsi="宋体"/>
          <w:sz w:val="22"/>
          <w:szCs w:val="22"/>
        </w:rPr>
        <w:t>30.5 开标后，直到授予中标供应商合同为止，凡属于对投标文件的审查、澄清、评价和比较的有关资料以及中标候选人的推荐情况、与评标有关的其他任何情况均严格保密。</w:t>
      </w:r>
    </w:p>
    <w:p w14:paraId="2D9CD6B2">
      <w:pPr>
        <w:tabs>
          <w:tab w:val="clear" w:pos="426"/>
        </w:tabs>
        <w:spacing w:line="360" w:lineRule="exact"/>
        <w:ind w:firstLine="440" w:firstLineChars="200"/>
        <w:rPr>
          <w:rFonts w:hint="eastAsia" w:hAnsi="宋体"/>
          <w:sz w:val="22"/>
          <w:szCs w:val="22"/>
        </w:rPr>
      </w:pPr>
      <w:r>
        <w:rPr>
          <w:rFonts w:hint="eastAsia" w:hAnsi="宋体"/>
          <w:sz w:val="22"/>
          <w:szCs w:val="22"/>
        </w:rPr>
        <w:t>31．向评标委员会提供的资料</w:t>
      </w:r>
    </w:p>
    <w:p w14:paraId="74E5379D">
      <w:pPr>
        <w:tabs>
          <w:tab w:val="clear" w:pos="426"/>
        </w:tabs>
        <w:spacing w:line="360" w:lineRule="exact"/>
        <w:ind w:firstLine="440" w:firstLineChars="200"/>
        <w:rPr>
          <w:rFonts w:hint="eastAsia" w:hAnsi="宋体"/>
          <w:sz w:val="22"/>
          <w:szCs w:val="22"/>
        </w:rPr>
      </w:pPr>
      <w:r>
        <w:rPr>
          <w:rFonts w:hint="eastAsia" w:hAnsi="宋体"/>
          <w:sz w:val="22"/>
          <w:szCs w:val="22"/>
        </w:rPr>
        <w:t>31.1公开发布的招标文件，包括图纸、服务清单、答疑文件等；</w:t>
      </w:r>
    </w:p>
    <w:p w14:paraId="189370C8">
      <w:pPr>
        <w:tabs>
          <w:tab w:val="clear" w:pos="426"/>
        </w:tabs>
        <w:spacing w:line="360" w:lineRule="exact"/>
        <w:ind w:firstLine="440" w:firstLineChars="200"/>
        <w:rPr>
          <w:rFonts w:hint="eastAsia" w:hAnsi="宋体"/>
          <w:sz w:val="22"/>
          <w:szCs w:val="22"/>
        </w:rPr>
      </w:pPr>
      <w:r>
        <w:rPr>
          <w:rFonts w:hint="eastAsia" w:hAnsi="宋体"/>
          <w:sz w:val="22"/>
          <w:szCs w:val="22"/>
        </w:rPr>
        <w:t>31.2其他评标必须的资料。</w:t>
      </w:r>
    </w:p>
    <w:p w14:paraId="6B5A6E1D">
      <w:pPr>
        <w:tabs>
          <w:tab w:val="clear" w:pos="426"/>
        </w:tabs>
        <w:spacing w:line="360" w:lineRule="exact"/>
        <w:ind w:firstLine="440" w:firstLineChars="200"/>
        <w:rPr>
          <w:rFonts w:hint="eastAsia" w:hAnsi="宋体"/>
          <w:sz w:val="22"/>
          <w:szCs w:val="22"/>
        </w:rPr>
      </w:pPr>
      <w:r>
        <w:rPr>
          <w:rFonts w:hint="eastAsia" w:hAnsi="宋体"/>
          <w:sz w:val="22"/>
          <w:szCs w:val="22"/>
        </w:rPr>
        <w:t>31.3评标委员会应当认真研究招标文件，至少应了解熟悉以下内容：</w:t>
      </w:r>
    </w:p>
    <w:p w14:paraId="073F36FD">
      <w:pPr>
        <w:tabs>
          <w:tab w:val="clear" w:pos="426"/>
        </w:tabs>
        <w:spacing w:line="360" w:lineRule="exact"/>
        <w:ind w:firstLine="440" w:firstLineChars="200"/>
        <w:rPr>
          <w:rFonts w:hint="eastAsia" w:hAnsi="宋体"/>
          <w:sz w:val="22"/>
          <w:szCs w:val="22"/>
        </w:rPr>
      </w:pPr>
      <w:r>
        <w:rPr>
          <w:rFonts w:hint="eastAsia" w:hAnsi="宋体"/>
          <w:sz w:val="22"/>
          <w:szCs w:val="22"/>
        </w:rPr>
        <w:t>（1）招标的目的；</w:t>
      </w:r>
    </w:p>
    <w:p w14:paraId="1F2D437B">
      <w:pPr>
        <w:tabs>
          <w:tab w:val="clear" w:pos="426"/>
        </w:tabs>
        <w:spacing w:line="360" w:lineRule="exact"/>
        <w:ind w:firstLine="440" w:firstLineChars="200"/>
        <w:rPr>
          <w:rFonts w:hint="eastAsia" w:hAnsi="宋体"/>
          <w:sz w:val="22"/>
          <w:szCs w:val="22"/>
        </w:rPr>
      </w:pPr>
      <w:r>
        <w:rPr>
          <w:rFonts w:hint="eastAsia" w:hAnsi="宋体"/>
          <w:sz w:val="22"/>
          <w:szCs w:val="22"/>
        </w:rPr>
        <w:t>（2）招标项目需求的范围和性质；</w:t>
      </w:r>
    </w:p>
    <w:p w14:paraId="268288AC">
      <w:pPr>
        <w:tabs>
          <w:tab w:val="clear" w:pos="426"/>
        </w:tabs>
        <w:spacing w:line="360" w:lineRule="exact"/>
        <w:ind w:firstLine="440" w:firstLineChars="200"/>
        <w:rPr>
          <w:rFonts w:hint="eastAsia" w:hAnsi="宋体"/>
          <w:sz w:val="22"/>
          <w:szCs w:val="22"/>
        </w:rPr>
      </w:pPr>
      <w:r>
        <w:rPr>
          <w:rFonts w:hint="eastAsia" w:hAnsi="宋体"/>
          <w:sz w:val="22"/>
          <w:szCs w:val="22"/>
        </w:rPr>
        <w:t>（3）招标文件规定的投标供应商的资格、财政预算限额、商务条款；</w:t>
      </w:r>
    </w:p>
    <w:p w14:paraId="78C1F0CB">
      <w:pPr>
        <w:tabs>
          <w:tab w:val="clear" w:pos="426"/>
        </w:tabs>
        <w:spacing w:line="360" w:lineRule="exact"/>
        <w:ind w:firstLine="440" w:firstLineChars="200"/>
        <w:rPr>
          <w:rFonts w:hint="eastAsia" w:hAnsi="宋体"/>
          <w:sz w:val="22"/>
          <w:szCs w:val="22"/>
        </w:rPr>
      </w:pPr>
      <w:r>
        <w:rPr>
          <w:rFonts w:hint="eastAsia" w:hAnsi="宋体"/>
          <w:sz w:val="22"/>
          <w:szCs w:val="22"/>
        </w:rPr>
        <w:t>（4）招标文件规定的评标程序、评标方法和评标因素；</w:t>
      </w:r>
    </w:p>
    <w:p w14:paraId="433F926F">
      <w:pPr>
        <w:tabs>
          <w:tab w:val="clear" w:pos="426"/>
        </w:tabs>
        <w:spacing w:line="360" w:lineRule="exact"/>
        <w:ind w:firstLine="440" w:firstLineChars="200"/>
        <w:rPr>
          <w:rFonts w:hint="eastAsia" w:hAnsi="宋体"/>
          <w:sz w:val="22"/>
          <w:szCs w:val="22"/>
        </w:rPr>
      </w:pPr>
      <w:r>
        <w:rPr>
          <w:rFonts w:hint="eastAsia" w:hAnsi="宋体"/>
          <w:sz w:val="22"/>
          <w:szCs w:val="22"/>
        </w:rPr>
        <w:t>（5）招标文件所列示的投标文件“资格、符合性评审条款”。</w:t>
      </w:r>
    </w:p>
    <w:p w14:paraId="78E17B5F">
      <w:pPr>
        <w:tabs>
          <w:tab w:val="clear" w:pos="426"/>
        </w:tabs>
        <w:spacing w:line="360" w:lineRule="exact"/>
        <w:ind w:firstLine="440" w:firstLineChars="200"/>
        <w:rPr>
          <w:rFonts w:hint="eastAsia" w:hAnsi="宋体"/>
          <w:sz w:val="22"/>
          <w:szCs w:val="22"/>
        </w:rPr>
      </w:pPr>
      <w:r>
        <w:rPr>
          <w:rFonts w:hint="eastAsia" w:hAnsi="宋体"/>
          <w:sz w:val="22"/>
          <w:szCs w:val="22"/>
        </w:rPr>
        <w:t>32．独立评标</w:t>
      </w:r>
    </w:p>
    <w:p w14:paraId="7D46DD8D">
      <w:pPr>
        <w:tabs>
          <w:tab w:val="clear" w:pos="426"/>
        </w:tabs>
        <w:spacing w:line="360" w:lineRule="exact"/>
        <w:ind w:firstLine="440" w:firstLineChars="200"/>
        <w:rPr>
          <w:rFonts w:hint="eastAsia" w:hAnsi="宋体"/>
          <w:sz w:val="22"/>
          <w:szCs w:val="22"/>
        </w:rPr>
      </w:pPr>
      <w:r>
        <w:rPr>
          <w:rFonts w:hint="eastAsia" w:hAnsi="宋体"/>
          <w:sz w:val="22"/>
          <w:szCs w:val="22"/>
        </w:rPr>
        <w:t>32.1评标委员会成员的评标活动应当独立进行，并应遵循投标文件初审、澄清有关问题、比较与评价、确定中标候选供应商、编写评标报告的工作程序。</w:t>
      </w:r>
    </w:p>
    <w:p w14:paraId="22AE55BF">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88" w:name="_Toc530152527"/>
      <w:bookmarkStart w:id="189" w:name="_Toc26702"/>
      <w:bookmarkStart w:id="190" w:name="_Toc529280586"/>
      <w:bookmarkStart w:id="191" w:name="_Toc14427259"/>
      <w:r>
        <w:rPr>
          <w:rFonts w:hint="eastAsia" w:hAnsi="宋体"/>
          <w:sz w:val="22"/>
          <w:szCs w:val="22"/>
        </w:rPr>
        <w:t>第六章评标程序及评标方法</w:t>
      </w:r>
      <w:bookmarkEnd w:id="188"/>
      <w:bookmarkEnd w:id="189"/>
      <w:bookmarkEnd w:id="190"/>
      <w:bookmarkEnd w:id="191"/>
    </w:p>
    <w:p w14:paraId="151C4D0B">
      <w:pPr>
        <w:tabs>
          <w:tab w:val="clear" w:pos="426"/>
        </w:tabs>
        <w:spacing w:line="360" w:lineRule="exact"/>
        <w:ind w:firstLine="440" w:firstLineChars="200"/>
        <w:rPr>
          <w:rFonts w:hint="eastAsia" w:hAnsi="宋体"/>
          <w:sz w:val="22"/>
          <w:szCs w:val="22"/>
        </w:rPr>
      </w:pPr>
      <w:r>
        <w:rPr>
          <w:rFonts w:hint="eastAsia" w:hAnsi="宋体"/>
          <w:sz w:val="22"/>
          <w:szCs w:val="22"/>
        </w:rPr>
        <w:t>33．投标文件初审</w:t>
      </w:r>
    </w:p>
    <w:p w14:paraId="79C44B80">
      <w:pPr>
        <w:widowControl w:val="0"/>
        <w:shd w:val="clear" w:color="auto" w:fill="auto"/>
        <w:tabs>
          <w:tab w:val="clear" w:pos="426"/>
        </w:tabs>
        <w:autoSpaceDE w:val="0"/>
        <w:autoSpaceDN w:val="0"/>
        <w:spacing w:line="360" w:lineRule="exact"/>
        <w:ind w:firstLine="440" w:firstLineChars="200"/>
        <w:rPr>
          <w:rFonts w:hint="eastAsia" w:hAnsi="宋体"/>
          <w:b/>
          <w:bCs/>
          <w:sz w:val="22"/>
          <w:szCs w:val="22"/>
        </w:rPr>
      </w:pPr>
      <w:r>
        <w:rPr>
          <w:rFonts w:hint="eastAsia" w:hAnsi="宋体"/>
          <w:sz w:val="22"/>
          <w:szCs w:val="22"/>
        </w:rPr>
        <w:t xml:space="preserve">33.1 </w:t>
      </w:r>
      <w:r>
        <w:rPr>
          <w:rFonts w:hint="eastAsia" w:hAnsi="宋体"/>
          <w:sz w:val="22"/>
          <w:szCs w:val="22"/>
          <w:lang w:eastAsia="zh-TW"/>
        </w:rPr>
        <w:t>评标委员会将</w:t>
      </w:r>
      <w:r>
        <w:rPr>
          <w:rFonts w:hint="eastAsia" w:hAnsi="宋体"/>
          <w:sz w:val="22"/>
          <w:szCs w:val="22"/>
        </w:rPr>
        <w:t>依法对投标文件进行初审。投标文件初审包括资格性检查和符合性检查，资格性检查：依据法律法规和招标文件的规定，对投标文件中的资格证明、投标保证金等进行审查，以确定投标供应商是否具备投标资格。符合性检查：依据招标文件的规定，从投标文件的有效性、完整性和对招标文件的响应程度进行审查，以确定是否对招标文件的实质性要求作出响应。</w:t>
      </w:r>
    </w:p>
    <w:p w14:paraId="7A9169A7">
      <w:pPr>
        <w:tabs>
          <w:tab w:val="clear" w:pos="426"/>
        </w:tabs>
        <w:spacing w:line="360" w:lineRule="exact"/>
        <w:ind w:firstLine="440" w:firstLineChars="200"/>
        <w:rPr>
          <w:rFonts w:hint="eastAsia" w:hAnsi="宋体"/>
          <w:b/>
          <w:sz w:val="22"/>
          <w:szCs w:val="22"/>
        </w:rPr>
      </w:pPr>
      <w:r>
        <w:rPr>
          <w:rFonts w:hint="eastAsia" w:hAnsi="宋体"/>
          <w:sz w:val="22"/>
          <w:szCs w:val="22"/>
        </w:rPr>
        <w:t>33.2 投标文件初审内容请详见“</w:t>
      </w:r>
      <w:r>
        <w:rPr>
          <w:rFonts w:hint="eastAsia" w:hAnsi="宋体"/>
          <w:b/>
          <w:sz w:val="22"/>
          <w:szCs w:val="22"/>
        </w:rPr>
        <w:t>资格、符合性评审条款</w:t>
      </w:r>
      <w:r>
        <w:rPr>
          <w:rFonts w:hint="eastAsia" w:hAnsi="宋体"/>
          <w:sz w:val="22"/>
          <w:szCs w:val="22"/>
        </w:rPr>
        <w:t>”。投标供应商若有一条审查不通过则按无效标处理。评标委员会对投标单位打√为通过审查，打×为未通过审查。</w:t>
      </w:r>
    </w:p>
    <w:p w14:paraId="378F2B1F">
      <w:pPr>
        <w:tabs>
          <w:tab w:val="clear" w:pos="426"/>
        </w:tabs>
        <w:spacing w:line="360" w:lineRule="exact"/>
        <w:ind w:firstLine="440" w:firstLineChars="200"/>
        <w:rPr>
          <w:rFonts w:hint="eastAsia" w:hAnsi="宋体"/>
          <w:sz w:val="22"/>
          <w:szCs w:val="22"/>
        </w:rPr>
      </w:pPr>
      <w:r>
        <w:rPr>
          <w:rFonts w:hint="eastAsia" w:hAnsi="宋体"/>
          <w:sz w:val="22"/>
          <w:szCs w:val="22"/>
        </w:rPr>
        <w:t>33.3 投标文件初审中关于供应商家数的计算。</w:t>
      </w:r>
    </w:p>
    <w:p w14:paraId="0A761D0E">
      <w:pPr>
        <w:tabs>
          <w:tab w:val="clear" w:pos="426"/>
        </w:tabs>
        <w:spacing w:line="360" w:lineRule="exact"/>
        <w:ind w:firstLine="440" w:firstLineChars="200"/>
        <w:rPr>
          <w:rFonts w:hint="eastAsia" w:hAnsi="宋体"/>
          <w:sz w:val="22"/>
          <w:szCs w:val="22"/>
        </w:rPr>
      </w:pPr>
      <w:r>
        <w:rPr>
          <w:rFonts w:hint="eastAsia" w:hAnsi="宋体"/>
          <w:sz w:val="22"/>
          <w:szCs w:val="22"/>
        </w:rPr>
        <w:t>33.3.1 采用最低评标价法的采购项目，提供相同品牌产品的不同投标供应商参加同一合同项下投标的，以其中通过资格审查、符合性审查且报价最低的参加评标；报价相同的，由采购人或者采购人委托评标委员会按照招标文件规定的方式确定一个参加评标的投标供应商，招标文件未规定的采取随机抽取方式确定，其他投标无效。</w:t>
      </w:r>
    </w:p>
    <w:p w14:paraId="70455EED">
      <w:pPr>
        <w:tabs>
          <w:tab w:val="clear" w:pos="426"/>
        </w:tabs>
        <w:spacing w:line="360" w:lineRule="exact"/>
        <w:ind w:firstLine="440" w:firstLineChars="200"/>
        <w:rPr>
          <w:rFonts w:hint="eastAsia" w:hAnsi="宋体"/>
          <w:sz w:val="22"/>
          <w:szCs w:val="22"/>
        </w:rPr>
      </w:pPr>
      <w:r>
        <w:rPr>
          <w:rFonts w:hint="eastAsia" w:hAnsi="宋体"/>
          <w:sz w:val="22"/>
          <w:szCs w:val="22"/>
        </w:rPr>
        <w:t>33.3.2使用综合评分法的采购项目，提供相同品牌产品且通过资格审查、符合性审查的不同投标供应商参加同一合同项下投标的，按一家投标供应商计算，评审后得分最高的同品牌投标供应商获得中标供应商推荐资格；评审得分相同的，由采购人或者采购人委托评标委员会按照招标文件规定的方式确定一个投标供应商获得中标供应商推荐资格，招标文件未规定的采取随机抽取方式确定，其他同品牌投标供应商不作为中标候选人。</w:t>
      </w:r>
    </w:p>
    <w:p w14:paraId="305796D2">
      <w:pPr>
        <w:tabs>
          <w:tab w:val="clear" w:pos="426"/>
        </w:tabs>
        <w:spacing w:line="360" w:lineRule="exact"/>
        <w:ind w:firstLine="440" w:firstLineChars="200"/>
        <w:rPr>
          <w:rFonts w:hint="eastAsia" w:hAnsi="宋体"/>
          <w:sz w:val="22"/>
          <w:szCs w:val="22"/>
        </w:rPr>
      </w:pPr>
      <w:r>
        <w:rPr>
          <w:rFonts w:hint="eastAsia" w:hAnsi="宋体"/>
          <w:sz w:val="22"/>
          <w:szCs w:val="22"/>
        </w:rPr>
        <w:t>33.3.3非单一产品采购项目，采购人应当根据采购项目技术构成、产品价格比重等合理确定核心产品，并在招标文件中载明。多家投标供应商提供的核心产品品牌相同的，按前两款规定处理。</w:t>
      </w:r>
    </w:p>
    <w:p w14:paraId="2B41BF59">
      <w:pPr>
        <w:tabs>
          <w:tab w:val="clear" w:pos="426"/>
        </w:tabs>
        <w:spacing w:line="360" w:lineRule="exact"/>
        <w:ind w:firstLine="440" w:firstLineChars="200"/>
        <w:rPr>
          <w:rFonts w:hint="eastAsia" w:hAnsi="宋体"/>
          <w:sz w:val="22"/>
          <w:szCs w:val="22"/>
        </w:rPr>
      </w:pPr>
      <w:r>
        <w:rPr>
          <w:rFonts w:hint="eastAsia" w:hAnsi="宋体"/>
          <w:sz w:val="22"/>
          <w:szCs w:val="22"/>
        </w:rPr>
        <w:t>33.3.4公开招标以外采购方式以及采购服务和工程涉及采购货物的项目，也按此方法计算供应商家数。</w:t>
      </w:r>
    </w:p>
    <w:p w14:paraId="145670A2">
      <w:pPr>
        <w:tabs>
          <w:tab w:val="clear" w:pos="426"/>
        </w:tabs>
        <w:spacing w:line="360" w:lineRule="exact"/>
        <w:ind w:firstLine="440" w:firstLineChars="200"/>
        <w:rPr>
          <w:rFonts w:hint="eastAsia" w:hAnsi="宋体"/>
          <w:sz w:val="22"/>
          <w:szCs w:val="22"/>
        </w:rPr>
      </w:pPr>
      <w:r>
        <w:rPr>
          <w:rFonts w:hint="eastAsia" w:hAnsi="宋体"/>
          <w:sz w:val="22"/>
          <w:szCs w:val="22"/>
        </w:rPr>
        <w:t>33.4投标人投标文件作无效处理的情形，具体包括但不限于以下：</w:t>
      </w:r>
    </w:p>
    <w:p w14:paraId="532BAC46">
      <w:pPr>
        <w:tabs>
          <w:tab w:val="clear" w:pos="426"/>
        </w:tabs>
        <w:spacing w:line="360" w:lineRule="exact"/>
        <w:ind w:firstLine="440" w:firstLineChars="200"/>
        <w:rPr>
          <w:rFonts w:hint="eastAsia" w:hAnsi="宋体"/>
          <w:sz w:val="22"/>
          <w:szCs w:val="22"/>
        </w:rPr>
      </w:pPr>
      <w:r>
        <w:rPr>
          <w:rFonts w:hint="eastAsia" w:hAnsi="宋体"/>
          <w:sz w:val="22"/>
          <w:szCs w:val="22"/>
        </w:rPr>
        <w:t>33.4.1不同投标人的投标文件由同一单位或者同一个人编制，或者由同一个人分阶段参与编制；</w:t>
      </w:r>
    </w:p>
    <w:p w14:paraId="4D7CE6D3">
      <w:pPr>
        <w:tabs>
          <w:tab w:val="clear" w:pos="426"/>
        </w:tabs>
        <w:spacing w:line="360" w:lineRule="exact"/>
        <w:ind w:firstLine="440" w:firstLineChars="200"/>
        <w:rPr>
          <w:rFonts w:hint="eastAsia" w:hAnsi="宋体"/>
          <w:sz w:val="22"/>
          <w:szCs w:val="22"/>
        </w:rPr>
      </w:pPr>
      <w:r>
        <w:rPr>
          <w:rFonts w:hint="eastAsia" w:hAnsi="宋体"/>
          <w:sz w:val="22"/>
          <w:szCs w:val="22"/>
        </w:rPr>
        <w:t>33.4.2不同投标人委托同一单位或者个人办理投标事宜；</w:t>
      </w:r>
    </w:p>
    <w:p w14:paraId="4BB00DFC">
      <w:pPr>
        <w:tabs>
          <w:tab w:val="clear" w:pos="426"/>
        </w:tabs>
        <w:spacing w:line="360" w:lineRule="exact"/>
        <w:ind w:firstLine="440" w:firstLineChars="200"/>
        <w:rPr>
          <w:rFonts w:hint="eastAsia" w:hAnsi="宋体"/>
          <w:sz w:val="22"/>
          <w:szCs w:val="22"/>
        </w:rPr>
      </w:pPr>
      <w:r>
        <w:rPr>
          <w:rFonts w:hint="eastAsia" w:hAnsi="宋体"/>
          <w:sz w:val="22"/>
          <w:szCs w:val="22"/>
        </w:rPr>
        <w:t>33.4.3不同投标人的投标文件载明的项目管理成员或者联系人员为同一人；</w:t>
      </w:r>
    </w:p>
    <w:p w14:paraId="3C155483">
      <w:pPr>
        <w:tabs>
          <w:tab w:val="clear" w:pos="426"/>
        </w:tabs>
        <w:spacing w:line="360" w:lineRule="exact"/>
        <w:ind w:firstLine="440" w:firstLineChars="200"/>
        <w:rPr>
          <w:rFonts w:hint="eastAsia" w:hAnsi="宋体"/>
          <w:sz w:val="22"/>
          <w:szCs w:val="22"/>
        </w:rPr>
      </w:pPr>
      <w:r>
        <w:rPr>
          <w:rFonts w:hint="eastAsia" w:hAnsi="宋体"/>
          <w:sz w:val="22"/>
          <w:szCs w:val="22"/>
        </w:rPr>
        <w:t>33.4.4不同投标人的投标文件异常一致或者投标报价呈规律性差异；</w:t>
      </w:r>
    </w:p>
    <w:p w14:paraId="195808DF">
      <w:pPr>
        <w:tabs>
          <w:tab w:val="clear" w:pos="426"/>
        </w:tabs>
        <w:spacing w:line="360" w:lineRule="exact"/>
        <w:ind w:firstLine="440" w:firstLineChars="200"/>
        <w:rPr>
          <w:rFonts w:hint="eastAsia" w:hAnsi="宋体"/>
          <w:sz w:val="22"/>
          <w:szCs w:val="22"/>
        </w:rPr>
      </w:pPr>
      <w:r>
        <w:rPr>
          <w:rFonts w:hint="eastAsia" w:hAnsi="宋体"/>
          <w:sz w:val="22"/>
          <w:szCs w:val="22"/>
        </w:rPr>
        <w:t>33.4.5不同投标供应商的投标文件或部分投标文件相互混装；</w:t>
      </w:r>
    </w:p>
    <w:p w14:paraId="61592056">
      <w:pPr>
        <w:tabs>
          <w:tab w:val="clear" w:pos="426"/>
        </w:tabs>
        <w:spacing w:line="360" w:lineRule="exact"/>
        <w:ind w:firstLine="440" w:firstLineChars="200"/>
        <w:rPr>
          <w:rFonts w:hint="eastAsia" w:hAnsi="宋体"/>
          <w:sz w:val="22"/>
          <w:szCs w:val="22"/>
        </w:rPr>
      </w:pPr>
      <w:r>
        <w:rPr>
          <w:rFonts w:hint="eastAsia" w:hAnsi="宋体"/>
          <w:sz w:val="22"/>
          <w:szCs w:val="22"/>
        </w:rPr>
        <w:t>33.4.6投标供应商之间相互约定给予未中标的供应商利益补偿；</w:t>
      </w:r>
    </w:p>
    <w:p w14:paraId="333A6E77">
      <w:pPr>
        <w:tabs>
          <w:tab w:val="clear" w:pos="426"/>
        </w:tabs>
        <w:spacing w:line="360" w:lineRule="exact"/>
        <w:ind w:firstLine="440" w:firstLineChars="200"/>
        <w:rPr>
          <w:rFonts w:hint="eastAsia" w:hAnsi="宋体"/>
          <w:sz w:val="22"/>
          <w:szCs w:val="22"/>
        </w:rPr>
      </w:pPr>
      <w:r>
        <w:rPr>
          <w:rFonts w:hint="eastAsia" w:hAnsi="宋体"/>
          <w:sz w:val="22"/>
          <w:szCs w:val="22"/>
        </w:rPr>
        <w:t>33.4.7不同投标供应商的法定代表人、主要经营负责人、项目投标授权代表人、项目负责人、主要技术人员为同一人、属同一单位或者同一单位缴纳社会保险；</w:t>
      </w:r>
    </w:p>
    <w:p w14:paraId="63ACA24C">
      <w:pPr>
        <w:tabs>
          <w:tab w:val="clear" w:pos="426"/>
        </w:tabs>
        <w:spacing w:line="360" w:lineRule="exact"/>
        <w:ind w:firstLine="440" w:firstLineChars="200"/>
        <w:rPr>
          <w:rFonts w:hint="eastAsia" w:hAnsi="宋体"/>
          <w:sz w:val="22"/>
          <w:szCs w:val="22"/>
        </w:rPr>
      </w:pPr>
      <w:r>
        <w:rPr>
          <w:rFonts w:hint="eastAsia" w:hAnsi="宋体"/>
          <w:sz w:val="22"/>
          <w:szCs w:val="22"/>
        </w:rPr>
        <w:t>33.4.8不同投标供应商的投标文件内容存在非正常一致；</w:t>
      </w:r>
    </w:p>
    <w:p w14:paraId="70DB19FE">
      <w:pPr>
        <w:tabs>
          <w:tab w:val="clear" w:pos="426"/>
        </w:tabs>
        <w:spacing w:line="360" w:lineRule="exact"/>
        <w:ind w:firstLine="440" w:firstLineChars="200"/>
        <w:rPr>
          <w:rFonts w:hint="eastAsia" w:hAnsi="宋体"/>
          <w:sz w:val="22"/>
          <w:szCs w:val="22"/>
        </w:rPr>
      </w:pPr>
      <w:r>
        <w:rPr>
          <w:rFonts w:hint="eastAsia" w:hAnsi="宋体"/>
          <w:sz w:val="22"/>
          <w:szCs w:val="22"/>
        </w:rPr>
        <w:t>33.4.9在同一单位工作人员为两家以上（含两家）供应商进行同一项投标活动；</w:t>
      </w:r>
    </w:p>
    <w:p w14:paraId="2081240E">
      <w:pPr>
        <w:tabs>
          <w:tab w:val="clear" w:pos="426"/>
        </w:tabs>
        <w:spacing w:line="360" w:lineRule="exact"/>
        <w:ind w:firstLine="440" w:firstLineChars="200"/>
        <w:rPr>
          <w:rFonts w:hint="eastAsia" w:hAnsi="宋体"/>
          <w:sz w:val="22"/>
          <w:szCs w:val="22"/>
        </w:rPr>
      </w:pPr>
      <w:r>
        <w:rPr>
          <w:rFonts w:hint="eastAsia" w:hAnsi="宋体"/>
          <w:sz w:val="22"/>
          <w:szCs w:val="22"/>
        </w:rPr>
        <w:t>33.4.10主管部门依照法律、法规认定的其他情形。</w:t>
      </w:r>
    </w:p>
    <w:p w14:paraId="1550ED74">
      <w:pPr>
        <w:tabs>
          <w:tab w:val="clear" w:pos="426"/>
        </w:tabs>
        <w:spacing w:line="360" w:lineRule="exact"/>
        <w:ind w:firstLine="440" w:firstLineChars="200"/>
        <w:rPr>
          <w:rFonts w:hint="eastAsia" w:hAnsi="宋体"/>
          <w:b/>
          <w:bCs/>
          <w:sz w:val="22"/>
          <w:szCs w:val="22"/>
        </w:rPr>
      </w:pPr>
      <w:r>
        <w:rPr>
          <w:rFonts w:hint="eastAsia" w:hAnsi="宋体"/>
          <w:sz w:val="22"/>
          <w:szCs w:val="22"/>
        </w:rPr>
        <w:t>33.5 对不属于投标文件“</w:t>
      </w:r>
      <w:r>
        <w:rPr>
          <w:rFonts w:hint="eastAsia" w:hAnsi="宋体"/>
          <w:b/>
          <w:sz w:val="22"/>
          <w:szCs w:val="22"/>
        </w:rPr>
        <w:t>资格、符合性评审条款</w:t>
      </w:r>
      <w:r>
        <w:rPr>
          <w:rFonts w:hint="eastAsia" w:hAnsi="宋体"/>
          <w:sz w:val="22"/>
          <w:szCs w:val="22"/>
        </w:rPr>
        <w:t>”要所列不符合的情形，除专用条款另有规定、24.4条款所列情形及法律法规另有规定外，不得作为废标的理由。</w:t>
      </w:r>
    </w:p>
    <w:p w14:paraId="5CB22FBD">
      <w:pPr>
        <w:tabs>
          <w:tab w:val="clear" w:pos="426"/>
        </w:tabs>
        <w:spacing w:line="360" w:lineRule="exact"/>
        <w:ind w:firstLine="440" w:firstLineChars="200"/>
        <w:rPr>
          <w:rFonts w:hint="eastAsia" w:hAnsi="宋体"/>
          <w:sz w:val="22"/>
          <w:szCs w:val="22"/>
        </w:rPr>
      </w:pPr>
      <w:r>
        <w:rPr>
          <w:rFonts w:hint="eastAsia" w:hAnsi="宋体"/>
          <w:sz w:val="22"/>
          <w:szCs w:val="22"/>
        </w:rPr>
        <w:t>34．澄清有关问题</w:t>
      </w:r>
    </w:p>
    <w:p w14:paraId="3ADE5322">
      <w:pPr>
        <w:tabs>
          <w:tab w:val="clear" w:pos="426"/>
        </w:tabs>
        <w:spacing w:line="360" w:lineRule="exact"/>
        <w:ind w:firstLine="440" w:firstLineChars="200"/>
        <w:rPr>
          <w:rFonts w:hint="eastAsia" w:hAnsi="宋体"/>
          <w:sz w:val="22"/>
          <w:szCs w:val="22"/>
        </w:rPr>
      </w:pPr>
      <w:r>
        <w:rPr>
          <w:rFonts w:hint="eastAsia" w:hAnsi="宋体"/>
          <w:sz w:val="22"/>
          <w:szCs w:val="22"/>
        </w:rPr>
        <w:t>34.1对招标文件中描述有歧义或前后不一致的地方（不含招标文件存在歧义、重大缺陷导致评审工作无法进行的情况），评审委员会有权进行评判，但对同一条款的评判应适用于每个投标人。</w:t>
      </w:r>
    </w:p>
    <w:p w14:paraId="7E280149">
      <w:pPr>
        <w:tabs>
          <w:tab w:val="clear" w:pos="426"/>
        </w:tabs>
        <w:spacing w:line="360" w:lineRule="exact"/>
        <w:ind w:firstLine="440" w:firstLineChars="200"/>
        <w:rPr>
          <w:rFonts w:hint="eastAsia" w:hAnsi="宋体"/>
          <w:sz w:val="22"/>
          <w:szCs w:val="22"/>
        </w:rPr>
      </w:pPr>
      <w:r>
        <w:rPr>
          <w:rFonts w:hint="eastAsia" w:hAnsi="宋体"/>
          <w:sz w:val="22"/>
          <w:szCs w:val="22"/>
        </w:rPr>
        <w:t>34.2评审委员会发现招标文件存在歧义、重大缺陷导致评审工作无法进行，或者招标文件内容违反国家有关强制性规定的，应当停止评审工作，与政府采购代理机构沟通并作书面记录。经确认后，项目应当修改招标文件，重新组织采购活动。</w:t>
      </w:r>
    </w:p>
    <w:p w14:paraId="5FC647BA">
      <w:pPr>
        <w:tabs>
          <w:tab w:val="clear" w:pos="426"/>
        </w:tabs>
        <w:spacing w:line="360" w:lineRule="exact"/>
        <w:ind w:firstLine="440" w:firstLineChars="200"/>
        <w:rPr>
          <w:rFonts w:hint="eastAsia" w:hAnsi="宋体"/>
          <w:sz w:val="22"/>
          <w:szCs w:val="22"/>
        </w:rPr>
      </w:pPr>
      <w:r>
        <w:rPr>
          <w:rFonts w:hint="eastAsia" w:hAnsi="宋体"/>
          <w:sz w:val="22"/>
          <w:szCs w:val="22"/>
        </w:rPr>
        <w:t>34.3对于投标文件中含义不明确、同类问题表述不一致或者有明显文字和计算错误的内容，评审委员会应当以书面形式要求投标人作出必要的澄清、说明或者补正。</w:t>
      </w:r>
    </w:p>
    <w:p w14:paraId="54BA8E4D">
      <w:pPr>
        <w:tabs>
          <w:tab w:val="clear" w:pos="426"/>
        </w:tabs>
        <w:spacing w:line="360" w:lineRule="exact"/>
        <w:ind w:firstLine="440" w:firstLineChars="200"/>
        <w:rPr>
          <w:rFonts w:hint="eastAsia" w:hAnsi="宋体"/>
          <w:sz w:val="22"/>
          <w:szCs w:val="22"/>
        </w:rPr>
      </w:pPr>
      <w:r>
        <w:rPr>
          <w:rFonts w:hint="eastAsia" w:hAnsi="宋体"/>
          <w:sz w:val="22"/>
          <w:szCs w:val="22"/>
        </w:rPr>
        <w:t>投标人的澄清、说明或者补正应当采用书面形式，并加盖公章（或者由法定代表人或其授权的代表签字）。投标人的澄清、说明或者补正不得超出投标文件的范围或者改变投标文件的实质性内容。</w:t>
      </w:r>
    </w:p>
    <w:p w14:paraId="13F1F0C0">
      <w:pPr>
        <w:tabs>
          <w:tab w:val="clear" w:pos="426"/>
        </w:tabs>
        <w:spacing w:line="360" w:lineRule="exact"/>
        <w:ind w:firstLine="440" w:firstLineChars="200"/>
        <w:rPr>
          <w:rFonts w:hint="eastAsia" w:hAnsi="宋体"/>
          <w:sz w:val="22"/>
          <w:szCs w:val="22"/>
        </w:rPr>
      </w:pPr>
      <w:r>
        <w:rPr>
          <w:rFonts w:hint="eastAsia" w:hAnsi="宋体"/>
          <w:sz w:val="22"/>
          <w:szCs w:val="22"/>
        </w:rPr>
        <w:t>根据本通用条款第35条，凡属于评标委员会在评标中发现的算术错误进行核实的修改不在此列。</w:t>
      </w:r>
    </w:p>
    <w:p w14:paraId="43ADA1E2">
      <w:pPr>
        <w:tabs>
          <w:tab w:val="clear" w:pos="426"/>
        </w:tabs>
        <w:spacing w:line="360" w:lineRule="exact"/>
        <w:ind w:firstLine="440" w:firstLineChars="200"/>
        <w:rPr>
          <w:rFonts w:hint="eastAsia" w:hAnsi="宋体"/>
          <w:sz w:val="22"/>
          <w:szCs w:val="22"/>
        </w:rPr>
      </w:pPr>
      <w:r>
        <w:rPr>
          <w:rFonts w:hint="eastAsia" w:hAnsi="宋体"/>
          <w:sz w:val="22"/>
          <w:szCs w:val="22"/>
        </w:rPr>
        <w:t>35．错误的修正</w:t>
      </w:r>
    </w:p>
    <w:p w14:paraId="7728346A">
      <w:pPr>
        <w:tabs>
          <w:tab w:val="clear" w:pos="426"/>
        </w:tabs>
        <w:spacing w:line="360" w:lineRule="exact"/>
        <w:ind w:firstLine="440" w:firstLineChars="200"/>
        <w:rPr>
          <w:rFonts w:hint="eastAsia" w:hAnsi="宋体"/>
          <w:sz w:val="22"/>
          <w:szCs w:val="22"/>
        </w:rPr>
      </w:pPr>
      <w:r>
        <w:rPr>
          <w:rFonts w:hint="eastAsia" w:hAnsi="宋体"/>
          <w:sz w:val="22"/>
          <w:szCs w:val="22"/>
        </w:rPr>
        <w:t>35.1 评标委员会将审查投标文件是否完整、总体编排是否有序、文件签署是否合格、投标供应商是否提交了投标保证金、有无计算上的错误等。</w:t>
      </w:r>
    </w:p>
    <w:p w14:paraId="5C6FB420">
      <w:pPr>
        <w:tabs>
          <w:tab w:val="clear" w:pos="426"/>
        </w:tabs>
        <w:spacing w:line="360" w:lineRule="exact"/>
        <w:ind w:firstLine="440" w:firstLineChars="200"/>
        <w:rPr>
          <w:rFonts w:hint="eastAsia" w:hAnsi="宋体"/>
          <w:sz w:val="22"/>
          <w:szCs w:val="22"/>
        </w:rPr>
      </w:pPr>
      <w:r>
        <w:rPr>
          <w:rFonts w:hint="eastAsia" w:hAnsi="宋体"/>
          <w:sz w:val="22"/>
          <w:szCs w:val="22"/>
        </w:rPr>
        <w:t>35.2 算术错误将按以下方法更正（次序排先者优先）：</w:t>
      </w:r>
    </w:p>
    <w:p w14:paraId="445E25F0">
      <w:pPr>
        <w:tabs>
          <w:tab w:val="clear" w:pos="426"/>
        </w:tabs>
        <w:spacing w:line="360" w:lineRule="exact"/>
        <w:ind w:firstLine="440" w:firstLineChars="200"/>
        <w:rPr>
          <w:rFonts w:hint="eastAsia" w:hAnsi="宋体"/>
          <w:sz w:val="22"/>
          <w:szCs w:val="22"/>
        </w:rPr>
      </w:pPr>
      <w:r>
        <w:rPr>
          <w:rFonts w:hint="eastAsia" w:hAnsi="宋体"/>
          <w:sz w:val="22"/>
          <w:szCs w:val="22"/>
        </w:rPr>
        <w:t>35.2.1 单独密封提交的开标一览表（报价表）与投标文件中的开标一览表（报价表）不一致的，以单独密封提交的开标一览表（报价表）为准；</w:t>
      </w:r>
    </w:p>
    <w:p w14:paraId="6AE23AC2">
      <w:pPr>
        <w:tabs>
          <w:tab w:val="clear" w:pos="426"/>
        </w:tabs>
        <w:spacing w:line="360" w:lineRule="exact"/>
        <w:ind w:firstLine="440" w:firstLineChars="200"/>
        <w:rPr>
          <w:rFonts w:hint="eastAsia" w:hAnsi="宋体"/>
          <w:sz w:val="22"/>
          <w:szCs w:val="22"/>
        </w:rPr>
      </w:pPr>
      <w:r>
        <w:rPr>
          <w:rFonts w:hint="eastAsia" w:hAnsi="宋体"/>
          <w:sz w:val="22"/>
          <w:szCs w:val="22"/>
        </w:rPr>
        <w:t>35.2.2投标文件中开标一览表（报价表）内容与投标文件中相应内容不一致的，以开标一览表（报价表）为准；</w:t>
      </w:r>
    </w:p>
    <w:p w14:paraId="03F504C3">
      <w:pPr>
        <w:tabs>
          <w:tab w:val="clear" w:pos="426"/>
        </w:tabs>
        <w:spacing w:line="360" w:lineRule="exact"/>
        <w:ind w:firstLine="440" w:firstLineChars="200"/>
        <w:rPr>
          <w:rFonts w:hint="eastAsia" w:hAnsi="宋体"/>
          <w:sz w:val="22"/>
          <w:szCs w:val="22"/>
        </w:rPr>
      </w:pPr>
      <w:r>
        <w:rPr>
          <w:rFonts w:hint="eastAsia" w:hAnsi="宋体"/>
          <w:sz w:val="22"/>
          <w:szCs w:val="22"/>
        </w:rPr>
        <w:t>35.2.3大写金额和小写金额不一致的，以大写金额为准；</w:t>
      </w:r>
    </w:p>
    <w:p w14:paraId="69C4700C">
      <w:pPr>
        <w:tabs>
          <w:tab w:val="clear" w:pos="426"/>
        </w:tabs>
        <w:spacing w:line="360" w:lineRule="exact"/>
        <w:ind w:firstLine="440" w:firstLineChars="200"/>
        <w:rPr>
          <w:rFonts w:hint="eastAsia" w:hAnsi="宋体"/>
          <w:sz w:val="22"/>
          <w:szCs w:val="22"/>
        </w:rPr>
      </w:pPr>
      <w:r>
        <w:rPr>
          <w:rFonts w:hint="eastAsia" w:hAnsi="宋体"/>
          <w:sz w:val="22"/>
          <w:szCs w:val="22"/>
        </w:rPr>
        <w:t>35.2.4单价金额小数点或者百分比有明显错位的，以开标一览表的总价为准，并修改单价；</w:t>
      </w:r>
    </w:p>
    <w:p w14:paraId="300B79F1">
      <w:pPr>
        <w:tabs>
          <w:tab w:val="clear" w:pos="426"/>
        </w:tabs>
        <w:spacing w:line="360" w:lineRule="exact"/>
        <w:ind w:firstLine="440" w:firstLineChars="200"/>
        <w:rPr>
          <w:rFonts w:hint="eastAsia" w:hAnsi="宋体"/>
          <w:sz w:val="22"/>
          <w:szCs w:val="22"/>
        </w:rPr>
      </w:pPr>
      <w:r>
        <w:rPr>
          <w:rFonts w:hint="eastAsia" w:hAnsi="宋体"/>
          <w:sz w:val="22"/>
          <w:szCs w:val="22"/>
        </w:rPr>
        <w:t>35.2.5总价金额与按单价汇总金额不一致的，以单价金额计算结果为准；</w:t>
      </w:r>
    </w:p>
    <w:p w14:paraId="4351D683">
      <w:pPr>
        <w:tabs>
          <w:tab w:val="clear" w:pos="426"/>
        </w:tabs>
        <w:spacing w:line="360" w:lineRule="exact"/>
        <w:ind w:firstLine="440" w:firstLineChars="200"/>
        <w:rPr>
          <w:rFonts w:hint="eastAsia" w:hAnsi="宋体"/>
          <w:sz w:val="22"/>
          <w:szCs w:val="22"/>
        </w:rPr>
      </w:pPr>
      <w:r>
        <w:rPr>
          <w:rFonts w:hint="eastAsia" w:hAnsi="宋体"/>
          <w:sz w:val="22"/>
          <w:szCs w:val="22"/>
        </w:rPr>
        <w:t>35.2.6对不同文字文本投标文件的解释发生异议的，以中文文本为准。</w:t>
      </w:r>
    </w:p>
    <w:p w14:paraId="359F2FC4">
      <w:pPr>
        <w:tabs>
          <w:tab w:val="clear" w:pos="426"/>
        </w:tabs>
        <w:spacing w:line="360" w:lineRule="exact"/>
        <w:ind w:firstLine="440" w:firstLineChars="200"/>
        <w:rPr>
          <w:rFonts w:hint="eastAsia" w:hAnsi="宋体"/>
          <w:sz w:val="22"/>
          <w:szCs w:val="22"/>
        </w:rPr>
      </w:pPr>
      <w:r>
        <w:rPr>
          <w:rFonts w:hint="eastAsia" w:hAnsi="宋体"/>
          <w:sz w:val="22"/>
          <w:szCs w:val="22"/>
        </w:rPr>
        <w:t>35.3对于投标文件中不构成实质性偏差的不正规、不一致或不规则，给评审带来不便，评标委员会可以接受。</w:t>
      </w:r>
    </w:p>
    <w:p w14:paraId="36F83351">
      <w:pPr>
        <w:tabs>
          <w:tab w:val="clear" w:pos="426"/>
        </w:tabs>
        <w:spacing w:line="360" w:lineRule="exact"/>
        <w:ind w:firstLine="440" w:firstLineChars="200"/>
        <w:rPr>
          <w:rFonts w:hint="eastAsia" w:hAnsi="宋体"/>
          <w:sz w:val="22"/>
          <w:szCs w:val="22"/>
        </w:rPr>
      </w:pPr>
      <w:r>
        <w:rPr>
          <w:rFonts w:hint="eastAsia" w:hAnsi="宋体"/>
          <w:sz w:val="22"/>
          <w:szCs w:val="22"/>
        </w:rPr>
        <w:t>35.4投标供应商的投标报价是可变动价格的，或包含了价格调整要求的，或投标报价中提供两个（含两个）以上的报价（招标文件规定提交备选投标方案的除外），或严重漏项，评标委员会无法进行判断的，评标委员会可以作无效标处理。</w:t>
      </w:r>
    </w:p>
    <w:p w14:paraId="6AD57E58">
      <w:pPr>
        <w:tabs>
          <w:tab w:val="clear" w:pos="426"/>
        </w:tabs>
        <w:spacing w:line="360" w:lineRule="exact"/>
        <w:ind w:firstLine="440" w:firstLineChars="200"/>
        <w:rPr>
          <w:rFonts w:hint="eastAsia" w:hAnsi="宋体"/>
          <w:sz w:val="22"/>
          <w:szCs w:val="22"/>
        </w:rPr>
      </w:pPr>
      <w:r>
        <w:rPr>
          <w:rFonts w:hint="eastAsia" w:hAnsi="宋体"/>
          <w:sz w:val="22"/>
          <w:szCs w:val="22"/>
        </w:rPr>
        <w:t>35.5根据上述修正错误的原则及方法调整或修正投标文件的投标报价，投标供应商同意后，调整后的投标报价对投标供应商起约束作用。</w:t>
      </w:r>
      <w:r>
        <w:rPr>
          <w:rFonts w:hint="eastAsia" w:hAnsi="宋体"/>
          <w:bCs/>
          <w:sz w:val="22"/>
          <w:szCs w:val="22"/>
        </w:rPr>
        <w:t>如果投标供应商不接受修正后的报价，则其投标将被拒绝并且其投标保证金也将被没收，并不影响评标工作。</w:t>
      </w:r>
    </w:p>
    <w:p w14:paraId="1B5CE098">
      <w:pPr>
        <w:tabs>
          <w:tab w:val="clear" w:pos="426"/>
        </w:tabs>
        <w:spacing w:line="360" w:lineRule="exact"/>
        <w:ind w:firstLine="440" w:firstLineChars="200"/>
        <w:rPr>
          <w:rFonts w:hint="eastAsia" w:hAnsi="宋体"/>
          <w:sz w:val="22"/>
          <w:szCs w:val="22"/>
        </w:rPr>
      </w:pPr>
      <w:r>
        <w:rPr>
          <w:rFonts w:hint="eastAsia" w:hAnsi="宋体"/>
          <w:sz w:val="22"/>
          <w:szCs w:val="22"/>
        </w:rPr>
        <w:t>36．投标文件的比较与评价</w:t>
      </w:r>
    </w:p>
    <w:p w14:paraId="5520ECFA">
      <w:pPr>
        <w:tabs>
          <w:tab w:val="clear" w:pos="426"/>
        </w:tabs>
        <w:spacing w:line="360" w:lineRule="exact"/>
        <w:ind w:firstLine="440" w:firstLineChars="200"/>
        <w:rPr>
          <w:rFonts w:hint="eastAsia" w:hAnsi="宋体"/>
          <w:sz w:val="22"/>
          <w:szCs w:val="22"/>
        </w:rPr>
      </w:pPr>
      <w:r>
        <w:rPr>
          <w:rFonts w:hint="eastAsia" w:hAnsi="宋体"/>
          <w:sz w:val="22"/>
          <w:szCs w:val="22"/>
        </w:rPr>
        <w:t>36.1评标委员会将参照相关法律、法规、规定，仅对通过资格性审查和符合性审查的投标文件进行综合比较与评价。</w:t>
      </w:r>
    </w:p>
    <w:p w14:paraId="6B3010C7">
      <w:pPr>
        <w:pStyle w:val="44"/>
        <w:spacing w:line="360" w:lineRule="exact"/>
        <w:ind w:firstLine="440" w:firstLineChars="200"/>
        <w:rPr>
          <w:rFonts w:hint="eastAsia" w:hAnsi="宋体" w:cs="宋体"/>
          <w:sz w:val="22"/>
          <w:szCs w:val="22"/>
        </w:rPr>
      </w:pPr>
      <w:r>
        <w:rPr>
          <w:rFonts w:hint="eastAsia" w:hAnsi="宋体" w:cs="宋体"/>
          <w:sz w:val="22"/>
          <w:szCs w:val="22"/>
        </w:rPr>
        <w:t>评标委员会成员对需要共同认定的事项存在争议的，应当按照少数服从多数的原则作出结论。持不同意见的评审委员会成员应当书面作出说明，否则视为无异议。</w:t>
      </w:r>
    </w:p>
    <w:p w14:paraId="2E0099F4">
      <w:pPr>
        <w:tabs>
          <w:tab w:val="clear" w:pos="426"/>
        </w:tabs>
        <w:spacing w:line="360" w:lineRule="exact"/>
        <w:ind w:firstLine="440" w:firstLineChars="200"/>
        <w:rPr>
          <w:rFonts w:hint="eastAsia" w:hAnsi="宋体"/>
          <w:sz w:val="22"/>
          <w:szCs w:val="22"/>
        </w:rPr>
      </w:pPr>
      <w:r>
        <w:rPr>
          <w:rFonts w:hint="eastAsia" w:hAnsi="宋体"/>
          <w:bCs/>
          <w:sz w:val="22"/>
          <w:szCs w:val="22"/>
        </w:rPr>
        <w:t xml:space="preserve">36.2  </w:t>
      </w:r>
      <w:r>
        <w:rPr>
          <w:rFonts w:hint="eastAsia" w:hAnsi="宋体"/>
          <w:sz w:val="22"/>
          <w:szCs w:val="22"/>
        </w:rPr>
        <w:t>评标委员会应当根据招标文件，审查并逐项列出投标文件的全部投标偏离。投标偏离分为重大偏离和细微偏离。</w:t>
      </w:r>
    </w:p>
    <w:p w14:paraId="681F02A0">
      <w:pPr>
        <w:tabs>
          <w:tab w:val="clear" w:pos="426"/>
        </w:tabs>
        <w:spacing w:line="360" w:lineRule="exact"/>
        <w:ind w:firstLine="440" w:firstLineChars="200"/>
        <w:rPr>
          <w:rFonts w:hint="eastAsia" w:hAnsi="宋体"/>
          <w:sz w:val="22"/>
          <w:szCs w:val="22"/>
        </w:rPr>
      </w:pPr>
      <w:r>
        <w:rPr>
          <w:rFonts w:hint="eastAsia" w:hAnsi="宋体"/>
          <w:sz w:val="22"/>
          <w:szCs w:val="22"/>
        </w:rPr>
        <w:t>36.3 评标委员会应当对投标供应商的投标文件进行分析和比较。</w:t>
      </w:r>
    </w:p>
    <w:p w14:paraId="08B49DED">
      <w:pPr>
        <w:tabs>
          <w:tab w:val="clear" w:pos="426"/>
        </w:tabs>
        <w:spacing w:line="360" w:lineRule="exact"/>
        <w:ind w:firstLine="440" w:firstLineChars="200"/>
        <w:rPr>
          <w:rFonts w:hint="eastAsia" w:hAnsi="宋体"/>
          <w:sz w:val="22"/>
          <w:szCs w:val="22"/>
        </w:rPr>
      </w:pPr>
      <w:r>
        <w:rPr>
          <w:rFonts w:hint="eastAsia" w:hAnsi="宋体"/>
          <w:sz w:val="22"/>
          <w:szCs w:val="22"/>
        </w:rPr>
        <w:t>36.4  评标委员会应当根据招标文件规定，对投标文件中的每项评审内容进行评审。</w:t>
      </w:r>
    </w:p>
    <w:p w14:paraId="141B52DC">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  投标文件存在重大偏离的，应作废标处理。下列情况属于重大偏离：</w:t>
      </w:r>
    </w:p>
    <w:p w14:paraId="77467984">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  投标供应商以他人的名义投标或出现下列串通投标、弄虚作假投标嫌疑的：</w:t>
      </w:r>
    </w:p>
    <w:p w14:paraId="65B0B49D">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36.5.1.1  不同投标供应商的投标文件内容存在非正常一致的；</w:t>
      </w:r>
    </w:p>
    <w:p w14:paraId="470DC805">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36.5.1.2  不同投标供应商的投标文件错漏之处一致的；</w:t>
      </w:r>
    </w:p>
    <w:p w14:paraId="76BF519D">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36.5.1.3  不同投标供应商的投标报价或者报价组成异常一致或者呈规律性变化的；</w:t>
      </w:r>
    </w:p>
    <w:p w14:paraId="24AAE029">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36.5.1.4  不同投标供应商的投标文件由同一单位或者同一个人编制的；</w:t>
      </w:r>
    </w:p>
    <w:p w14:paraId="4A663C91">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36.5.1.5  不同投标供应商的投标文件载明的项目负责人与主要技术人员出现同一人的；</w:t>
      </w:r>
    </w:p>
    <w:p w14:paraId="4F2E5EF1">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36.5.1.6  不同投标供应商的投标文件相互混装的；</w:t>
      </w:r>
    </w:p>
    <w:p w14:paraId="40FD1C57">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36.5.1.7  不同投标供应商委托同一人投标的；</w:t>
      </w:r>
    </w:p>
    <w:p w14:paraId="493518CF">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36.5.1.8  不同投标供应商聘请同一人为其投标提供技术或者经济咨询服务的，但招标工程本身要求采用专有技术的除外；</w:t>
      </w:r>
    </w:p>
    <w:p w14:paraId="1505A9EC">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36.5.1.9  评标委员会认定的其他串通投标情形。</w:t>
      </w:r>
    </w:p>
    <w:p w14:paraId="15548BB8">
      <w:pPr>
        <w:tabs>
          <w:tab w:val="clear" w:pos="426"/>
        </w:tabs>
        <w:spacing w:line="360" w:lineRule="exact"/>
        <w:ind w:firstLine="440" w:firstLineChars="200"/>
        <w:rPr>
          <w:rFonts w:hint="eastAsia" w:hAnsi="宋体"/>
          <w:sz w:val="22"/>
          <w:szCs w:val="22"/>
        </w:rPr>
      </w:pPr>
      <w:r>
        <w:rPr>
          <w:rFonts w:hint="eastAsia" w:hAnsi="宋体"/>
          <w:kern w:val="10"/>
          <w:sz w:val="22"/>
          <w:szCs w:val="22"/>
        </w:rPr>
        <w:t xml:space="preserve">36.5.2 </w:t>
      </w:r>
      <w:r>
        <w:rPr>
          <w:rFonts w:hint="eastAsia" w:hAnsi="宋体"/>
          <w:sz w:val="22"/>
          <w:szCs w:val="22"/>
        </w:rPr>
        <w:t>投标文件不满足招标文件规定的任何一项实质性要求的；</w:t>
      </w:r>
    </w:p>
    <w:p w14:paraId="6780C22C">
      <w:pPr>
        <w:tabs>
          <w:tab w:val="clear" w:pos="426"/>
        </w:tabs>
        <w:spacing w:line="360" w:lineRule="exact"/>
        <w:ind w:firstLine="440" w:firstLineChars="200"/>
        <w:rPr>
          <w:rFonts w:hint="eastAsia" w:hAnsi="宋体"/>
          <w:sz w:val="22"/>
          <w:szCs w:val="22"/>
        </w:rPr>
      </w:pPr>
      <w:r>
        <w:rPr>
          <w:rFonts w:hint="eastAsia" w:hAnsi="宋体"/>
          <w:bCs/>
          <w:kern w:val="10"/>
          <w:sz w:val="22"/>
          <w:szCs w:val="22"/>
        </w:rPr>
        <w:t xml:space="preserve">36.5.3 </w:t>
      </w:r>
      <w:r>
        <w:rPr>
          <w:rFonts w:hint="eastAsia" w:hAnsi="宋体"/>
          <w:sz w:val="22"/>
          <w:szCs w:val="22"/>
        </w:rPr>
        <w:t>投标文件对招标文件规定的非实质性要求的偏离，超出允许偏离的最大范围或最高项数的；</w:t>
      </w:r>
    </w:p>
    <w:p w14:paraId="51A5F1E4">
      <w:pPr>
        <w:tabs>
          <w:tab w:val="clear" w:pos="426"/>
        </w:tabs>
        <w:spacing w:line="360" w:lineRule="exact"/>
        <w:ind w:firstLine="440" w:firstLineChars="200"/>
        <w:rPr>
          <w:rFonts w:hint="eastAsia" w:hAnsi="宋体"/>
          <w:sz w:val="22"/>
          <w:szCs w:val="22"/>
        </w:rPr>
      </w:pPr>
      <w:r>
        <w:rPr>
          <w:rFonts w:hint="eastAsia" w:hAnsi="宋体"/>
          <w:kern w:val="10"/>
          <w:sz w:val="22"/>
          <w:szCs w:val="22"/>
        </w:rPr>
        <w:t xml:space="preserve">36.5.4 </w:t>
      </w:r>
      <w:r>
        <w:rPr>
          <w:rFonts w:hint="eastAsia" w:hAnsi="宋体"/>
          <w:sz w:val="22"/>
          <w:szCs w:val="22"/>
        </w:rPr>
        <w:t>评标委员会根据招标文件的规定对投标文件的投标价格进行调整，投标供应商不接受调整方式的，或不接受调整后的价格的；</w:t>
      </w:r>
    </w:p>
    <w:p w14:paraId="663DA4D9">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36.6  细微偏离是指投标文件在实质上响应招标文件要求，但在个别地方存在漏项或者提供了不完整的技术信息和数据等情况，并且补正这些漏项或者不完整不会对其他投标供应商造成不公平的结果。细微偏离不影响投标文件的有效性。</w:t>
      </w:r>
    </w:p>
    <w:p w14:paraId="65E9FDAF">
      <w:pPr>
        <w:tabs>
          <w:tab w:val="clear" w:pos="426"/>
        </w:tabs>
        <w:spacing w:line="360" w:lineRule="exact"/>
        <w:ind w:firstLine="440" w:firstLineChars="200"/>
        <w:rPr>
          <w:rFonts w:hint="eastAsia" w:hAnsi="宋体"/>
          <w:kern w:val="10"/>
          <w:sz w:val="22"/>
          <w:szCs w:val="22"/>
        </w:rPr>
      </w:pPr>
      <w:r>
        <w:rPr>
          <w:rFonts w:hint="eastAsia" w:hAnsi="宋体"/>
          <w:kern w:val="10"/>
          <w:sz w:val="22"/>
          <w:szCs w:val="22"/>
        </w:rPr>
        <w:t>36.7 评标委员会应书面要求存在细微偏离的投标供应商在评标结束前予以补正。拒不补正的，在详细评审时可以对细微偏离按照不利于该投标供应商的原则进行调整，且投标供应商不得因此提出任何异议。</w:t>
      </w:r>
    </w:p>
    <w:p w14:paraId="5CB60F25">
      <w:pPr>
        <w:tabs>
          <w:tab w:val="clear" w:pos="426"/>
        </w:tabs>
        <w:spacing w:line="360" w:lineRule="exact"/>
        <w:ind w:firstLine="440" w:firstLineChars="200"/>
        <w:rPr>
          <w:rFonts w:hint="eastAsia" w:hAnsi="宋体"/>
          <w:sz w:val="22"/>
          <w:szCs w:val="22"/>
        </w:rPr>
      </w:pPr>
      <w:r>
        <w:rPr>
          <w:rFonts w:hint="eastAsia" w:hAnsi="宋体"/>
          <w:sz w:val="22"/>
          <w:szCs w:val="22"/>
        </w:rPr>
        <w:t>37.实地考察、演示或设备测试</w:t>
      </w:r>
    </w:p>
    <w:p w14:paraId="4F6FDFD9">
      <w:pPr>
        <w:tabs>
          <w:tab w:val="clear" w:pos="426"/>
        </w:tabs>
        <w:spacing w:line="360" w:lineRule="exact"/>
        <w:ind w:firstLine="440" w:firstLineChars="200"/>
        <w:rPr>
          <w:rFonts w:hint="eastAsia" w:hAnsi="宋体"/>
          <w:sz w:val="22"/>
          <w:szCs w:val="22"/>
        </w:rPr>
      </w:pPr>
      <w:r>
        <w:rPr>
          <w:rFonts w:hint="eastAsia" w:hAnsi="宋体"/>
          <w:sz w:val="22"/>
          <w:szCs w:val="22"/>
        </w:rPr>
        <w:t>37.1在招标过程中，评标委员会有权决定是否对本项目投标供应商进行现场勘察或实地考察或检验有关证明材料的原件。投标供应商应随时做好接受检查的准备。</w:t>
      </w:r>
    </w:p>
    <w:p w14:paraId="11EB66C5">
      <w:pPr>
        <w:tabs>
          <w:tab w:val="clear" w:pos="426"/>
        </w:tabs>
        <w:spacing w:line="360" w:lineRule="exact"/>
        <w:ind w:firstLine="440" w:firstLineChars="200"/>
        <w:rPr>
          <w:rFonts w:hint="eastAsia" w:hAnsi="宋体"/>
          <w:sz w:val="22"/>
          <w:szCs w:val="22"/>
        </w:rPr>
      </w:pPr>
      <w:r>
        <w:rPr>
          <w:rFonts w:hint="eastAsia" w:hAnsi="宋体"/>
          <w:sz w:val="22"/>
          <w:szCs w:val="22"/>
        </w:rPr>
        <w:t>37.2若招标文件要求进行现场演示或设备测试的，投标供应商应做好相应准备。</w:t>
      </w:r>
    </w:p>
    <w:p w14:paraId="0ED24C5E">
      <w:pPr>
        <w:tabs>
          <w:tab w:val="clear" w:pos="426"/>
        </w:tabs>
        <w:spacing w:line="360" w:lineRule="exact"/>
        <w:ind w:firstLine="440" w:firstLineChars="200"/>
        <w:rPr>
          <w:rFonts w:hint="eastAsia" w:hAnsi="宋体"/>
          <w:sz w:val="22"/>
          <w:szCs w:val="22"/>
        </w:rPr>
      </w:pPr>
      <w:r>
        <w:rPr>
          <w:rFonts w:hint="eastAsia" w:hAnsi="宋体"/>
          <w:sz w:val="22"/>
          <w:szCs w:val="22"/>
        </w:rPr>
        <w:t>38．评标方法</w:t>
      </w:r>
    </w:p>
    <w:p w14:paraId="34C8597D">
      <w:pPr>
        <w:tabs>
          <w:tab w:val="clear" w:pos="426"/>
        </w:tabs>
        <w:spacing w:line="360" w:lineRule="exact"/>
        <w:ind w:firstLine="440" w:firstLineChars="200"/>
        <w:rPr>
          <w:rFonts w:hint="eastAsia" w:hAnsi="宋体"/>
          <w:sz w:val="22"/>
          <w:szCs w:val="22"/>
        </w:rPr>
      </w:pPr>
      <w:r>
        <w:rPr>
          <w:rFonts w:hint="eastAsia" w:hAnsi="宋体"/>
          <w:sz w:val="22"/>
          <w:szCs w:val="22"/>
        </w:rPr>
        <w:t>38.1根据有关要求，项目评标方法根据是否是评定分离项目进行选择。</w:t>
      </w:r>
    </w:p>
    <w:p w14:paraId="051DD1C0">
      <w:pPr>
        <w:tabs>
          <w:tab w:val="clear" w:pos="426"/>
        </w:tabs>
        <w:spacing w:line="360" w:lineRule="exact"/>
        <w:ind w:firstLine="440" w:firstLineChars="200"/>
        <w:rPr>
          <w:rFonts w:hint="eastAsia" w:hAnsi="宋体"/>
          <w:sz w:val="22"/>
          <w:szCs w:val="22"/>
        </w:rPr>
      </w:pPr>
      <w:r>
        <w:rPr>
          <w:rFonts w:hint="eastAsia" w:hAnsi="宋体"/>
          <w:sz w:val="22"/>
          <w:szCs w:val="22"/>
        </w:rPr>
        <w:t>38.2非评定分离项目</w:t>
      </w:r>
    </w:p>
    <w:p w14:paraId="64047536">
      <w:pPr>
        <w:tabs>
          <w:tab w:val="clear" w:pos="426"/>
        </w:tabs>
        <w:spacing w:line="360" w:lineRule="exact"/>
        <w:ind w:firstLine="440" w:firstLineChars="200"/>
        <w:rPr>
          <w:rFonts w:hint="eastAsia" w:hAnsi="宋体"/>
          <w:sz w:val="22"/>
          <w:szCs w:val="22"/>
        </w:rPr>
      </w:pPr>
      <w:r>
        <w:rPr>
          <w:rFonts w:hint="eastAsia" w:hAnsi="宋体"/>
          <w:sz w:val="22"/>
          <w:szCs w:val="22"/>
        </w:rPr>
        <w:t>非评定分离项目评分方法为最低评标价法、综合评标法、性价比法及法律、法规允许的其它评标办法。</w:t>
      </w:r>
    </w:p>
    <w:p w14:paraId="1A1176E1">
      <w:pPr>
        <w:tabs>
          <w:tab w:val="clear" w:pos="426"/>
        </w:tabs>
        <w:spacing w:line="360" w:lineRule="exact"/>
        <w:ind w:firstLine="440" w:firstLineChars="200"/>
        <w:rPr>
          <w:rFonts w:hint="eastAsia" w:hAnsi="宋体"/>
          <w:b/>
          <w:sz w:val="22"/>
          <w:szCs w:val="22"/>
        </w:rPr>
      </w:pPr>
      <w:r>
        <w:rPr>
          <w:rFonts w:hint="eastAsia" w:hAnsi="宋体"/>
          <w:sz w:val="22"/>
          <w:szCs w:val="22"/>
        </w:rPr>
        <w:t>38.2.1最低评标价法</w:t>
      </w:r>
    </w:p>
    <w:p w14:paraId="2B0A5C8C">
      <w:pPr>
        <w:tabs>
          <w:tab w:val="clear" w:pos="426"/>
        </w:tabs>
        <w:spacing w:line="360" w:lineRule="exact"/>
        <w:ind w:firstLine="440" w:firstLineChars="200"/>
        <w:rPr>
          <w:rFonts w:hint="eastAsia" w:hAnsi="宋体"/>
          <w:sz w:val="22"/>
          <w:szCs w:val="22"/>
        </w:rPr>
      </w:pPr>
      <w:r>
        <w:rPr>
          <w:rFonts w:hint="eastAsia" w:hAnsi="宋体"/>
          <w:sz w:val="22"/>
          <w:szCs w:val="22"/>
        </w:rPr>
        <w:t>最低价法是指以价格因素确定中标候选供应商的评标方法，即在满足招标文件实质性要求前提下，以报价最低的投标供应商作为中标候选供应商或中标供应商的评标方法；</w:t>
      </w:r>
    </w:p>
    <w:p w14:paraId="478D3349">
      <w:pPr>
        <w:tabs>
          <w:tab w:val="clear" w:pos="426"/>
        </w:tabs>
        <w:spacing w:line="360" w:lineRule="exact"/>
        <w:ind w:firstLine="440" w:firstLineChars="200"/>
        <w:rPr>
          <w:rFonts w:hint="eastAsia" w:hAnsi="宋体"/>
          <w:b/>
          <w:sz w:val="22"/>
          <w:szCs w:val="22"/>
        </w:rPr>
      </w:pPr>
      <w:r>
        <w:rPr>
          <w:rFonts w:hint="eastAsia" w:hAnsi="宋体"/>
          <w:sz w:val="22"/>
          <w:szCs w:val="22"/>
        </w:rPr>
        <w:t>38.2.2综合评分法</w:t>
      </w:r>
    </w:p>
    <w:p w14:paraId="0EF55BDA">
      <w:pPr>
        <w:tabs>
          <w:tab w:val="clear" w:pos="426"/>
        </w:tabs>
        <w:spacing w:line="360" w:lineRule="exact"/>
        <w:ind w:firstLine="440" w:firstLineChars="200"/>
        <w:rPr>
          <w:rFonts w:hint="eastAsia" w:hAnsi="宋体"/>
          <w:sz w:val="22"/>
          <w:szCs w:val="22"/>
        </w:rPr>
      </w:pPr>
      <w:r>
        <w:rPr>
          <w:rFonts w:hint="eastAsia" w:hAnsi="宋体"/>
          <w:sz w:val="22"/>
          <w:szCs w:val="22"/>
        </w:rPr>
        <w:t>综合评分法是指在最大限度地满足招标文件实质性要求前提下，按照招标文件中规定的各项因素进行量化打分，每个投标供应商的总得分确定，以评标总得分最高的投标供应商作为中标候选供应商或中标供应商的评标方法。</w:t>
      </w:r>
    </w:p>
    <w:p w14:paraId="75D175FC">
      <w:pPr>
        <w:tabs>
          <w:tab w:val="clear" w:pos="426"/>
        </w:tabs>
        <w:spacing w:line="360" w:lineRule="exact"/>
        <w:ind w:firstLine="440" w:firstLineChars="200"/>
        <w:rPr>
          <w:rFonts w:hint="eastAsia" w:hAnsi="宋体"/>
          <w:b/>
          <w:bCs/>
          <w:sz w:val="22"/>
          <w:szCs w:val="22"/>
        </w:rPr>
      </w:pPr>
      <w:r>
        <w:rPr>
          <w:rFonts w:hint="eastAsia" w:hAnsi="宋体"/>
          <w:sz w:val="22"/>
          <w:szCs w:val="22"/>
        </w:rPr>
        <w:t>38.2.3</w:t>
      </w:r>
      <w:r>
        <w:rPr>
          <w:rFonts w:hint="eastAsia" w:hAnsi="宋体"/>
          <w:bCs/>
          <w:sz w:val="22"/>
          <w:szCs w:val="22"/>
        </w:rPr>
        <w:t>性价比法</w:t>
      </w:r>
    </w:p>
    <w:p w14:paraId="7FA842CC">
      <w:pPr>
        <w:tabs>
          <w:tab w:val="clear" w:pos="426"/>
        </w:tabs>
        <w:spacing w:line="360" w:lineRule="exact"/>
        <w:ind w:firstLine="440" w:firstLineChars="200"/>
        <w:rPr>
          <w:rFonts w:hint="eastAsia" w:hAnsi="宋体"/>
          <w:sz w:val="22"/>
          <w:szCs w:val="22"/>
        </w:rPr>
      </w:pPr>
      <w:r>
        <w:rPr>
          <w:rFonts w:hint="eastAsia" w:hAnsi="宋体"/>
          <w:sz w:val="22"/>
          <w:szCs w:val="22"/>
        </w:rPr>
        <w:t>性价比法是指除价格因素外，经对投标文件进行评审，计算出评分因素的总分，除以投标报价，以商数最高的投标供应商作为中标候选供应商或中标供应商的评标方法。</w:t>
      </w:r>
    </w:p>
    <w:p w14:paraId="75178EDB">
      <w:pPr>
        <w:tabs>
          <w:tab w:val="clear" w:pos="426"/>
        </w:tabs>
        <w:spacing w:line="360" w:lineRule="exact"/>
        <w:ind w:firstLine="440" w:firstLineChars="200"/>
        <w:rPr>
          <w:rFonts w:hint="eastAsia" w:hAnsi="宋体"/>
          <w:sz w:val="22"/>
          <w:szCs w:val="22"/>
        </w:rPr>
      </w:pPr>
      <w:r>
        <w:rPr>
          <w:rFonts w:hint="eastAsia" w:hAnsi="宋体"/>
          <w:sz w:val="22"/>
          <w:szCs w:val="22"/>
        </w:rPr>
        <w:t>38.3评定分离项目</w:t>
      </w:r>
    </w:p>
    <w:p w14:paraId="23D0666A">
      <w:pPr>
        <w:tabs>
          <w:tab w:val="clear" w:pos="426"/>
        </w:tabs>
        <w:spacing w:line="360" w:lineRule="exact"/>
        <w:ind w:firstLine="440" w:firstLineChars="200"/>
        <w:rPr>
          <w:rFonts w:hint="eastAsia" w:hAnsi="宋体"/>
          <w:sz w:val="22"/>
          <w:szCs w:val="22"/>
        </w:rPr>
      </w:pPr>
      <w:r>
        <w:rPr>
          <w:rFonts w:hint="eastAsia" w:hAnsi="宋体"/>
          <w:sz w:val="22"/>
          <w:szCs w:val="22"/>
        </w:rPr>
        <w:t>评定分离项目，评审委员会应当按照综合评分法、定性评审法、最低价法或者法律、法规及规章规定的其他评审方法对投标文件进行评审。</w:t>
      </w:r>
    </w:p>
    <w:p w14:paraId="0CF5B7EB">
      <w:pPr>
        <w:tabs>
          <w:tab w:val="clear" w:pos="426"/>
        </w:tabs>
        <w:spacing w:line="360" w:lineRule="exact"/>
        <w:ind w:firstLine="440" w:firstLineChars="200"/>
        <w:rPr>
          <w:rFonts w:hint="eastAsia" w:hAnsi="宋体"/>
          <w:b/>
          <w:sz w:val="22"/>
          <w:szCs w:val="22"/>
        </w:rPr>
      </w:pPr>
      <w:r>
        <w:rPr>
          <w:rFonts w:hint="eastAsia" w:hAnsi="宋体"/>
          <w:sz w:val="22"/>
          <w:szCs w:val="22"/>
        </w:rPr>
        <w:t>38.3.1综合评分法</w:t>
      </w:r>
    </w:p>
    <w:p w14:paraId="499D69D1">
      <w:pPr>
        <w:tabs>
          <w:tab w:val="clear" w:pos="426"/>
        </w:tabs>
        <w:spacing w:line="360" w:lineRule="exact"/>
        <w:ind w:firstLine="440" w:firstLineChars="200"/>
        <w:rPr>
          <w:rFonts w:hint="eastAsia" w:hAnsi="宋体"/>
          <w:sz w:val="22"/>
          <w:szCs w:val="22"/>
        </w:rPr>
      </w:pPr>
      <w:r>
        <w:rPr>
          <w:rFonts w:hint="eastAsia" w:hAnsi="宋体"/>
          <w:sz w:val="22"/>
          <w:szCs w:val="22"/>
        </w:rPr>
        <w:t>综合评分法是指在最大限度满足招标文件实质性要求的前提下，按照招标文件中规定的各项因素进行综合评审，评审总得分排名前列的投标供应商，作为推荐的候选中标供应商。</w:t>
      </w:r>
    </w:p>
    <w:p w14:paraId="36F160A7">
      <w:pPr>
        <w:tabs>
          <w:tab w:val="clear" w:pos="426"/>
        </w:tabs>
        <w:spacing w:line="360" w:lineRule="exact"/>
        <w:ind w:firstLine="440" w:firstLineChars="200"/>
        <w:rPr>
          <w:rFonts w:hint="eastAsia" w:hAnsi="宋体"/>
          <w:sz w:val="22"/>
          <w:szCs w:val="22"/>
          <w:shd w:val="clear" w:color="auto" w:fill="FFFFFF"/>
        </w:rPr>
      </w:pPr>
      <w:r>
        <w:rPr>
          <w:rFonts w:hint="eastAsia" w:hAnsi="宋体"/>
          <w:sz w:val="22"/>
          <w:szCs w:val="22"/>
        </w:rPr>
        <w:t>38.3.2</w:t>
      </w:r>
      <w:r>
        <w:rPr>
          <w:rFonts w:hint="eastAsia" w:hAnsi="宋体"/>
          <w:bCs/>
          <w:sz w:val="22"/>
          <w:szCs w:val="22"/>
        </w:rPr>
        <w:t>定性评审法</w:t>
      </w:r>
    </w:p>
    <w:p w14:paraId="6515A575">
      <w:pPr>
        <w:tabs>
          <w:tab w:val="clear" w:pos="426"/>
        </w:tabs>
        <w:spacing w:line="360" w:lineRule="exact"/>
        <w:ind w:firstLine="440" w:firstLineChars="200"/>
        <w:rPr>
          <w:rFonts w:hint="eastAsia" w:hAnsi="宋体"/>
          <w:sz w:val="22"/>
          <w:szCs w:val="22"/>
        </w:rPr>
      </w:pPr>
      <w:r>
        <w:rPr>
          <w:rFonts w:hint="eastAsia" w:hAnsi="宋体"/>
          <w:sz w:val="22"/>
          <w:szCs w:val="22"/>
        </w:rPr>
        <w:t>定性评审法是指按照招标文件规定的各项因素进行技术商务性评审，对各投标文件是否满足招标文件实质性要求提出评审意见，并形成评审报告。评审报告的内容主要包括：对各投标文件是否合格提出意见，指出各投标文件中的优点和存在的缺陷，签订合同前应注意和澄清的事项等。所有递交的投标文件未被判定为废标或者无效标的投标供应商，均推荐为候选中标供应商。</w:t>
      </w:r>
    </w:p>
    <w:p w14:paraId="0A795B97">
      <w:pPr>
        <w:tabs>
          <w:tab w:val="clear" w:pos="426"/>
        </w:tabs>
        <w:spacing w:line="360" w:lineRule="exact"/>
        <w:ind w:firstLine="440" w:firstLineChars="200"/>
        <w:rPr>
          <w:rFonts w:hint="eastAsia" w:hAnsi="宋体"/>
          <w:sz w:val="22"/>
          <w:szCs w:val="22"/>
        </w:rPr>
      </w:pPr>
      <w:r>
        <w:rPr>
          <w:rFonts w:hint="eastAsia" w:hAnsi="宋体"/>
          <w:sz w:val="22"/>
          <w:szCs w:val="22"/>
        </w:rPr>
        <w:t>38.3.3最低价法</w:t>
      </w:r>
    </w:p>
    <w:p w14:paraId="6CBB5A6A">
      <w:pPr>
        <w:tabs>
          <w:tab w:val="clear" w:pos="426"/>
        </w:tabs>
        <w:spacing w:line="360" w:lineRule="exact"/>
        <w:ind w:firstLine="440" w:firstLineChars="200"/>
        <w:rPr>
          <w:rFonts w:hint="eastAsia" w:hAnsi="宋体"/>
          <w:sz w:val="22"/>
          <w:szCs w:val="22"/>
        </w:rPr>
      </w:pPr>
      <w:r>
        <w:rPr>
          <w:rFonts w:hint="eastAsia" w:hAnsi="宋体"/>
          <w:sz w:val="22"/>
          <w:szCs w:val="22"/>
        </w:rPr>
        <w:t>最低价法是指以价格为主要因素确定候选中标供应商的评审方法。</w:t>
      </w:r>
    </w:p>
    <w:p w14:paraId="6A8874F0">
      <w:pPr>
        <w:tabs>
          <w:tab w:val="clear" w:pos="426"/>
        </w:tabs>
        <w:spacing w:line="360" w:lineRule="exact"/>
        <w:ind w:firstLine="440" w:firstLineChars="200"/>
        <w:rPr>
          <w:rFonts w:hint="eastAsia" w:hAnsi="宋体"/>
          <w:sz w:val="22"/>
          <w:szCs w:val="22"/>
        </w:rPr>
      </w:pPr>
      <w:r>
        <w:rPr>
          <w:rFonts w:hint="eastAsia" w:hAnsi="宋体"/>
          <w:sz w:val="22"/>
          <w:szCs w:val="22"/>
        </w:rPr>
        <w:t>38.4本项目采用的评标方法见本项目招标文件专用条款的相关内容。</w:t>
      </w:r>
    </w:p>
    <w:p w14:paraId="0FFB12B4">
      <w:pPr>
        <w:tabs>
          <w:tab w:val="clear" w:pos="426"/>
        </w:tabs>
        <w:spacing w:line="360" w:lineRule="exact"/>
        <w:ind w:firstLine="440" w:firstLineChars="200"/>
        <w:rPr>
          <w:rFonts w:hint="eastAsia" w:hAnsi="宋体"/>
          <w:sz w:val="22"/>
          <w:szCs w:val="22"/>
        </w:rPr>
      </w:pPr>
      <w:r>
        <w:rPr>
          <w:rFonts w:hint="eastAsia" w:hAnsi="宋体"/>
          <w:sz w:val="22"/>
          <w:szCs w:val="22"/>
        </w:rPr>
        <w:t>38.5重新评审的情形</w:t>
      </w:r>
    </w:p>
    <w:p w14:paraId="2E092C01">
      <w:pPr>
        <w:tabs>
          <w:tab w:val="clear" w:pos="426"/>
        </w:tabs>
        <w:spacing w:line="360" w:lineRule="exact"/>
        <w:ind w:firstLine="440" w:firstLineChars="200"/>
        <w:rPr>
          <w:rFonts w:hint="eastAsia" w:hAnsi="宋体"/>
          <w:sz w:val="22"/>
          <w:szCs w:val="22"/>
        </w:rPr>
      </w:pPr>
      <w:r>
        <w:rPr>
          <w:rFonts w:hint="eastAsia" w:hAnsi="宋体"/>
          <w:sz w:val="22"/>
          <w:szCs w:val="22"/>
        </w:rPr>
        <w:t>评审结果汇总完成后，除下列情形外，任何人不得修改评审结果：</w:t>
      </w:r>
    </w:p>
    <w:p w14:paraId="30E9E713">
      <w:pPr>
        <w:tabs>
          <w:tab w:val="clear" w:pos="426"/>
        </w:tabs>
        <w:spacing w:line="360" w:lineRule="exact"/>
        <w:ind w:firstLine="440" w:firstLineChars="200"/>
        <w:rPr>
          <w:rFonts w:hint="eastAsia" w:hAnsi="宋体"/>
          <w:sz w:val="22"/>
          <w:szCs w:val="22"/>
        </w:rPr>
      </w:pPr>
      <w:r>
        <w:rPr>
          <w:rFonts w:hint="eastAsia" w:hAnsi="宋体"/>
          <w:sz w:val="22"/>
          <w:szCs w:val="22"/>
        </w:rPr>
        <w:t>38.5.1分值汇总计算错误的；</w:t>
      </w:r>
    </w:p>
    <w:p w14:paraId="18528D09">
      <w:pPr>
        <w:tabs>
          <w:tab w:val="clear" w:pos="426"/>
        </w:tabs>
        <w:spacing w:line="360" w:lineRule="exact"/>
        <w:ind w:firstLine="440" w:firstLineChars="200"/>
        <w:rPr>
          <w:rFonts w:hint="eastAsia" w:hAnsi="宋体"/>
          <w:sz w:val="22"/>
          <w:szCs w:val="22"/>
        </w:rPr>
      </w:pPr>
      <w:r>
        <w:rPr>
          <w:rFonts w:hint="eastAsia" w:hAnsi="宋体"/>
          <w:sz w:val="22"/>
          <w:szCs w:val="22"/>
        </w:rPr>
        <w:t>38.5.2分项评分超出评分标准范围的；</w:t>
      </w:r>
    </w:p>
    <w:p w14:paraId="31F95089">
      <w:pPr>
        <w:tabs>
          <w:tab w:val="clear" w:pos="426"/>
        </w:tabs>
        <w:spacing w:line="360" w:lineRule="exact"/>
        <w:ind w:firstLine="440" w:firstLineChars="200"/>
        <w:rPr>
          <w:rFonts w:hint="eastAsia" w:hAnsi="宋体"/>
          <w:sz w:val="22"/>
          <w:szCs w:val="22"/>
        </w:rPr>
      </w:pPr>
      <w:r>
        <w:rPr>
          <w:rFonts w:hint="eastAsia" w:hAnsi="宋体"/>
          <w:sz w:val="22"/>
          <w:szCs w:val="22"/>
        </w:rPr>
        <w:t>38.5.3评审委员会成员对客观评审因素评分不一致的；</w:t>
      </w:r>
    </w:p>
    <w:p w14:paraId="44936F70">
      <w:pPr>
        <w:tabs>
          <w:tab w:val="clear" w:pos="426"/>
        </w:tabs>
        <w:spacing w:line="360" w:lineRule="exact"/>
        <w:ind w:firstLine="440" w:firstLineChars="200"/>
        <w:rPr>
          <w:rFonts w:hint="eastAsia" w:hAnsi="宋体"/>
          <w:sz w:val="22"/>
          <w:szCs w:val="22"/>
        </w:rPr>
      </w:pPr>
      <w:r>
        <w:rPr>
          <w:rFonts w:hint="eastAsia" w:hAnsi="宋体"/>
          <w:sz w:val="22"/>
          <w:szCs w:val="22"/>
        </w:rPr>
        <w:t>38.5.4经评审委员会认定评分畸高、畸低的。</w:t>
      </w:r>
    </w:p>
    <w:p w14:paraId="6726E318">
      <w:pPr>
        <w:tabs>
          <w:tab w:val="clear" w:pos="426"/>
        </w:tabs>
        <w:spacing w:line="360" w:lineRule="exact"/>
        <w:ind w:firstLine="440" w:firstLineChars="200"/>
        <w:rPr>
          <w:rFonts w:hint="eastAsia" w:hAnsi="宋体"/>
          <w:sz w:val="22"/>
          <w:szCs w:val="22"/>
        </w:rPr>
      </w:pPr>
      <w:r>
        <w:rPr>
          <w:rFonts w:hint="eastAsia" w:hAnsi="宋体"/>
          <w:sz w:val="22"/>
          <w:szCs w:val="22"/>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59E2ED87">
      <w:pPr>
        <w:tabs>
          <w:tab w:val="clear" w:pos="426"/>
        </w:tabs>
        <w:spacing w:line="360" w:lineRule="exact"/>
        <w:ind w:firstLine="440" w:firstLineChars="200"/>
        <w:rPr>
          <w:rFonts w:hint="eastAsia" w:hAnsi="宋体"/>
          <w:sz w:val="22"/>
          <w:szCs w:val="22"/>
        </w:rPr>
      </w:pPr>
      <w:r>
        <w:rPr>
          <w:rFonts w:hint="eastAsia" w:hAnsi="宋体"/>
          <w:sz w:val="22"/>
          <w:szCs w:val="22"/>
        </w:rPr>
        <w:t>投标人对本条第一款情形提出质疑的，采购人或者采购代理机构可以组织原评审委员会进行重新评审，重新评审改变评审结果的，应当书面报告本级财政部门。</w:t>
      </w:r>
    </w:p>
    <w:p w14:paraId="71BF3DC4">
      <w:pPr>
        <w:tabs>
          <w:tab w:val="clear" w:pos="426"/>
        </w:tabs>
        <w:spacing w:line="360" w:lineRule="exact"/>
        <w:ind w:firstLine="440" w:firstLineChars="200"/>
        <w:rPr>
          <w:rFonts w:hint="eastAsia" w:hAnsi="宋体"/>
          <w:sz w:val="22"/>
          <w:szCs w:val="22"/>
        </w:rPr>
      </w:pPr>
      <w:r>
        <w:rPr>
          <w:rFonts w:hint="eastAsia" w:hAnsi="宋体"/>
          <w:sz w:val="22"/>
          <w:szCs w:val="22"/>
        </w:rPr>
        <w:t>38.6重新组建评审委员会的情形</w:t>
      </w:r>
    </w:p>
    <w:p w14:paraId="50B16D5B">
      <w:pPr>
        <w:tabs>
          <w:tab w:val="clear" w:pos="426"/>
        </w:tabs>
        <w:spacing w:line="360" w:lineRule="exact"/>
        <w:ind w:firstLine="440" w:firstLineChars="200"/>
        <w:rPr>
          <w:rFonts w:hint="eastAsia" w:hAnsi="宋体"/>
          <w:sz w:val="22"/>
          <w:szCs w:val="22"/>
        </w:rPr>
      </w:pPr>
      <w:r>
        <w:rPr>
          <w:rFonts w:hint="eastAsia" w:hAnsi="宋体"/>
          <w:sz w:val="22"/>
          <w:szCs w:val="22"/>
        </w:rPr>
        <w:t>评审委员会或者其成员存在下列情形导致评审结果无效的，重新组建评审委员会进行评标，并书面报告本级财政部门：</w:t>
      </w:r>
    </w:p>
    <w:p w14:paraId="41BD1E4A">
      <w:pPr>
        <w:tabs>
          <w:tab w:val="clear" w:pos="426"/>
        </w:tabs>
        <w:spacing w:line="360" w:lineRule="exact"/>
        <w:ind w:firstLine="440" w:firstLineChars="200"/>
        <w:rPr>
          <w:rFonts w:hint="eastAsia" w:hAnsi="宋体"/>
          <w:sz w:val="22"/>
          <w:szCs w:val="22"/>
        </w:rPr>
      </w:pPr>
      <w:r>
        <w:rPr>
          <w:rFonts w:hint="eastAsia" w:hAnsi="宋体"/>
          <w:sz w:val="22"/>
          <w:szCs w:val="22"/>
        </w:rPr>
        <w:t>38.6.1评审委员会组成不符合《政府采购货物和服务招标投标管理办法》规定的；</w:t>
      </w:r>
    </w:p>
    <w:p w14:paraId="0F3FDBBF">
      <w:pPr>
        <w:tabs>
          <w:tab w:val="clear" w:pos="426"/>
        </w:tabs>
        <w:spacing w:line="360" w:lineRule="exact"/>
        <w:ind w:firstLine="440" w:firstLineChars="200"/>
        <w:rPr>
          <w:rFonts w:hint="eastAsia" w:hAnsi="宋体"/>
          <w:sz w:val="22"/>
          <w:szCs w:val="22"/>
        </w:rPr>
      </w:pPr>
      <w:r>
        <w:rPr>
          <w:rFonts w:hint="eastAsia" w:hAnsi="宋体"/>
          <w:sz w:val="22"/>
          <w:szCs w:val="22"/>
        </w:rPr>
        <w:t>38.6.2有《政府采购货物和服务招标投标管理办法》第六十二条第一至五项情形的；</w:t>
      </w:r>
    </w:p>
    <w:p w14:paraId="1FDDE037">
      <w:pPr>
        <w:tabs>
          <w:tab w:val="clear" w:pos="426"/>
        </w:tabs>
        <w:spacing w:line="360" w:lineRule="exact"/>
        <w:ind w:firstLine="440" w:firstLineChars="200"/>
        <w:rPr>
          <w:rFonts w:hint="eastAsia" w:hAnsi="宋体"/>
          <w:sz w:val="22"/>
          <w:szCs w:val="22"/>
        </w:rPr>
      </w:pPr>
      <w:r>
        <w:rPr>
          <w:rFonts w:hint="eastAsia" w:hAnsi="宋体"/>
          <w:sz w:val="22"/>
          <w:szCs w:val="22"/>
        </w:rPr>
        <w:t>38.6.3评审委员会及其成员独立评标受到非法干预的；</w:t>
      </w:r>
    </w:p>
    <w:p w14:paraId="1DEF6FCE">
      <w:pPr>
        <w:tabs>
          <w:tab w:val="clear" w:pos="426"/>
        </w:tabs>
        <w:spacing w:line="360" w:lineRule="exact"/>
        <w:ind w:firstLine="440" w:firstLineChars="200"/>
        <w:rPr>
          <w:rFonts w:hint="eastAsia" w:hAnsi="宋体"/>
          <w:sz w:val="22"/>
          <w:szCs w:val="22"/>
        </w:rPr>
      </w:pPr>
      <w:r>
        <w:rPr>
          <w:rFonts w:hint="eastAsia" w:hAnsi="宋体"/>
          <w:sz w:val="22"/>
          <w:szCs w:val="22"/>
        </w:rPr>
        <w:t>38.6.4有政府采购法实施条例第七十五条规定的违法行为的。</w:t>
      </w:r>
    </w:p>
    <w:p w14:paraId="05A0F2CD">
      <w:pPr>
        <w:tabs>
          <w:tab w:val="clear" w:pos="426"/>
        </w:tabs>
        <w:spacing w:line="360" w:lineRule="exact"/>
        <w:ind w:firstLine="440" w:firstLineChars="200"/>
        <w:rPr>
          <w:rFonts w:hint="eastAsia" w:hAnsi="宋体"/>
          <w:sz w:val="22"/>
          <w:szCs w:val="22"/>
        </w:rPr>
      </w:pPr>
      <w:r>
        <w:rPr>
          <w:rFonts w:hint="eastAsia" w:hAnsi="宋体"/>
          <w:sz w:val="22"/>
          <w:szCs w:val="22"/>
        </w:rPr>
        <w:t>有违法违规行为的原评审委员会成员不得参加重新组建的评审委员会。</w:t>
      </w:r>
    </w:p>
    <w:p w14:paraId="0A8F6876">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92" w:name="_Toc530152528"/>
      <w:bookmarkStart w:id="193" w:name="_Toc1522"/>
      <w:bookmarkStart w:id="194" w:name="_Toc529280587"/>
      <w:bookmarkStart w:id="195" w:name="_Toc14427260"/>
      <w:r>
        <w:rPr>
          <w:rFonts w:hint="eastAsia" w:hAnsi="宋体"/>
          <w:sz w:val="22"/>
          <w:szCs w:val="22"/>
        </w:rPr>
        <w:t>第七章定标及公示</w:t>
      </w:r>
      <w:bookmarkEnd w:id="192"/>
      <w:bookmarkEnd w:id="193"/>
      <w:bookmarkEnd w:id="194"/>
      <w:bookmarkEnd w:id="195"/>
    </w:p>
    <w:p w14:paraId="3AA71D02">
      <w:pPr>
        <w:tabs>
          <w:tab w:val="clear" w:pos="426"/>
        </w:tabs>
        <w:spacing w:line="360" w:lineRule="exact"/>
        <w:ind w:firstLine="440" w:firstLineChars="200"/>
        <w:rPr>
          <w:rFonts w:hint="eastAsia" w:hAnsi="宋体"/>
          <w:sz w:val="22"/>
          <w:szCs w:val="22"/>
        </w:rPr>
      </w:pPr>
      <w:r>
        <w:rPr>
          <w:rFonts w:hint="eastAsia" w:hAnsi="宋体"/>
          <w:sz w:val="22"/>
          <w:szCs w:val="22"/>
        </w:rPr>
        <w:t>39．定标方法</w:t>
      </w:r>
    </w:p>
    <w:p w14:paraId="38109AA9">
      <w:pPr>
        <w:tabs>
          <w:tab w:val="clear" w:pos="426"/>
        </w:tabs>
        <w:spacing w:line="360" w:lineRule="exact"/>
        <w:ind w:firstLine="440" w:firstLineChars="200"/>
        <w:rPr>
          <w:rFonts w:hint="eastAsia" w:hAnsi="宋体"/>
          <w:sz w:val="22"/>
          <w:szCs w:val="22"/>
        </w:rPr>
      </w:pPr>
      <w:r>
        <w:rPr>
          <w:rFonts w:hint="eastAsia" w:hAnsi="宋体"/>
          <w:sz w:val="22"/>
          <w:szCs w:val="22"/>
        </w:rPr>
        <w:t>39.1项目定标方法根据是否是评定分离项目进行选择。</w:t>
      </w:r>
    </w:p>
    <w:p w14:paraId="700A236D">
      <w:pPr>
        <w:tabs>
          <w:tab w:val="clear" w:pos="426"/>
        </w:tabs>
        <w:spacing w:line="360" w:lineRule="exact"/>
        <w:ind w:firstLine="440" w:firstLineChars="200"/>
        <w:rPr>
          <w:rFonts w:hint="eastAsia" w:hAnsi="宋体"/>
          <w:sz w:val="22"/>
          <w:szCs w:val="22"/>
        </w:rPr>
      </w:pPr>
      <w:r>
        <w:rPr>
          <w:rFonts w:hint="eastAsia" w:hAnsi="宋体"/>
          <w:sz w:val="22"/>
          <w:szCs w:val="22"/>
        </w:rPr>
        <w:t>39.2非评定分离项目</w:t>
      </w:r>
    </w:p>
    <w:p w14:paraId="4FFE0B3A">
      <w:pPr>
        <w:tabs>
          <w:tab w:val="clear" w:pos="426"/>
        </w:tabs>
        <w:spacing w:line="360" w:lineRule="exact"/>
        <w:ind w:firstLine="440" w:firstLineChars="200"/>
        <w:rPr>
          <w:rFonts w:hint="eastAsia" w:hAnsi="宋体"/>
          <w:sz w:val="22"/>
          <w:szCs w:val="22"/>
        </w:rPr>
      </w:pPr>
      <w:r>
        <w:rPr>
          <w:rFonts w:hint="eastAsia" w:hAnsi="宋体"/>
          <w:sz w:val="22"/>
          <w:szCs w:val="22"/>
        </w:rPr>
        <w:t>评标委员会依据本项目招标文件所约定的评标方法进行评审和比较，向采购代理机构提交书面评标报告，并根据评标方法比较评价结果从优到劣进行排序，并推荐中标候选人或确定中标供应商；</w:t>
      </w:r>
    </w:p>
    <w:p w14:paraId="60018902">
      <w:pPr>
        <w:tabs>
          <w:tab w:val="clear" w:pos="426"/>
        </w:tabs>
        <w:spacing w:line="360" w:lineRule="exact"/>
        <w:ind w:firstLine="440" w:firstLineChars="200"/>
        <w:rPr>
          <w:rFonts w:hint="eastAsia" w:hAnsi="宋体"/>
          <w:sz w:val="22"/>
          <w:szCs w:val="22"/>
        </w:rPr>
      </w:pPr>
      <w:r>
        <w:rPr>
          <w:rFonts w:hint="eastAsia" w:hAnsi="宋体"/>
          <w:sz w:val="22"/>
          <w:szCs w:val="22"/>
        </w:rPr>
        <w:t>39.2.1采用最低评标价法的，按投标报价由低到高顺序排列，投标报价相同的，按技术指标优劣顺序排列。评标委员会认为，排在前面的供应商的最低投标报价或者某些分项报价明显不合理或者低于成本，有可能影响商品质量和不能诚信履约的，应当要求其在规定的期限内提供书面文件予以解释说明，并提交相关证明材料；否则，评标委员会可以取消该投标供应商的中标资格，按顺序由排在后面的供应商递补，以此类推。对是否满足实质性要求或报价是否合理或是否低于成本，评委会意见不一致时，按少数服从多数原则作出决定。</w:t>
      </w:r>
    </w:p>
    <w:p w14:paraId="35F202DF">
      <w:pPr>
        <w:tabs>
          <w:tab w:val="clear" w:pos="426"/>
        </w:tabs>
        <w:spacing w:line="360" w:lineRule="exact"/>
        <w:ind w:firstLine="440" w:firstLineChars="200"/>
        <w:rPr>
          <w:rFonts w:hint="eastAsia" w:hAnsi="宋体"/>
          <w:sz w:val="22"/>
          <w:szCs w:val="22"/>
        </w:rPr>
      </w:pPr>
      <w:r>
        <w:rPr>
          <w:rFonts w:hint="eastAsia" w:hAnsi="宋体"/>
          <w:sz w:val="22"/>
          <w:szCs w:val="22"/>
        </w:rPr>
        <w:t>39.2.2采用综合评分法的，按评审后得分由高到低顺序排列。得分相同的，按投标报价由低到高顺序排列。得分且投标报价相同的，按技术指标优劣顺序排列。</w:t>
      </w:r>
    </w:p>
    <w:p w14:paraId="2064E321">
      <w:pPr>
        <w:tabs>
          <w:tab w:val="clear" w:pos="426"/>
        </w:tabs>
        <w:spacing w:line="360" w:lineRule="exact"/>
        <w:ind w:firstLine="440" w:firstLineChars="200"/>
        <w:rPr>
          <w:rFonts w:hint="eastAsia" w:hAnsi="宋体"/>
          <w:sz w:val="22"/>
          <w:szCs w:val="22"/>
        </w:rPr>
      </w:pPr>
      <w:r>
        <w:rPr>
          <w:rFonts w:hint="eastAsia" w:hAnsi="宋体"/>
          <w:sz w:val="22"/>
          <w:szCs w:val="22"/>
        </w:rPr>
        <w:t>39.2.3采用性价比法的，按商数得分由高到低顺序排列。商数得分相同的，按投标报价由低到高顺序排列。商数得分且投标报价相同的，按技术指标优劣顺序排列。</w:t>
      </w:r>
    </w:p>
    <w:p w14:paraId="596A32B7">
      <w:pPr>
        <w:tabs>
          <w:tab w:val="clear" w:pos="426"/>
        </w:tabs>
        <w:spacing w:line="360" w:lineRule="exact"/>
        <w:ind w:firstLine="440" w:firstLineChars="200"/>
        <w:rPr>
          <w:rFonts w:hint="eastAsia" w:hAnsi="宋体"/>
          <w:sz w:val="22"/>
          <w:szCs w:val="22"/>
        </w:rPr>
      </w:pPr>
      <w:r>
        <w:rPr>
          <w:rFonts w:hint="eastAsia" w:hAnsi="宋体"/>
          <w:sz w:val="22"/>
          <w:szCs w:val="22"/>
        </w:rPr>
        <w:t>39.3评定分离项目</w:t>
      </w:r>
    </w:p>
    <w:p w14:paraId="5A288C7E">
      <w:pPr>
        <w:tabs>
          <w:tab w:val="clear" w:pos="426"/>
        </w:tabs>
        <w:spacing w:line="360" w:lineRule="exact"/>
        <w:ind w:firstLine="440" w:firstLineChars="200"/>
        <w:rPr>
          <w:rFonts w:hint="eastAsia" w:hAnsi="宋体"/>
          <w:sz w:val="22"/>
          <w:szCs w:val="22"/>
        </w:rPr>
      </w:pPr>
      <w:r>
        <w:rPr>
          <w:rFonts w:hint="eastAsia" w:hAnsi="宋体"/>
          <w:sz w:val="22"/>
          <w:szCs w:val="22"/>
        </w:rPr>
        <w:t>适用评定分离的采购项目，采购人应当根据不同的项目选用自定法、抽签法、竞价法或者法律、法规及规章规定的其他定标方法确定中标供应商。</w:t>
      </w:r>
    </w:p>
    <w:p w14:paraId="60A29AD5">
      <w:pPr>
        <w:tabs>
          <w:tab w:val="clear" w:pos="426"/>
        </w:tabs>
        <w:spacing w:line="360" w:lineRule="exact"/>
        <w:ind w:firstLine="440" w:firstLineChars="200"/>
        <w:rPr>
          <w:rFonts w:hint="eastAsia" w:hAnsi="宋体"/>
          <w:sz w:val="22"/>
          <w:szCs w:val="22"/>
        </w:rPr>
      </w:pPr>
      <w:r>
        <w:rPr>
          <w:rFonts w:hint="eastAsia" w:hAnsi="宋体"/>
          <w:sz w:val="22"/>
          <w:szCs w:val="22"/>
        </w:rPr>
        <w:t>39.3.1自定法是指采购人组织定标委员会，由定标委员会在候选中标供应商中确定中标供应商。</w:t>
      </w:r>
    </w:p>
    <w:p w14:paraId="591ACE25">
      <w:pPr>
        <w:tabs>
          <w:tab w:val="clear" w:pos="426"/>
        </w:tabs>
        <w:spacing w:line="360" w:lineRule="exact"/>
        <w:ind w:firstLine="440" w:firstLineChars="200"/>
        <w:rPr>
          <w:rFonts w:hint="eastAsia" w:hAnsi="宋体"/>
          <w:sz w:val="22"/>
          <w:szCs w:val="22"/>
        </w:rPr>
      </w:pPr>
      <w:r>
        <w:rPr>
          <w:rFonts w:hint="eastAsia" w:hAnsi="宋体"/>
          <w:sz w:val="22"/>
          <w:szCs w:val="22"/>
        </w:rPr>
        <w:t>39.3.2 抽签法是指候选中标供应商产生后，由采购人委托招标机构按照随机抽签的方式在候选中标供应商中确定中标供应商。 </w:t>
      </w:r>
    </w:p>
    <w:p w14:paraId="74634970">
      <w:pPr>
        <w:tabs>
          <w:tab w:val="clear" w:pos="426"/>
        </w:tabs>
        <w:spacing w:line="360" w:lineRule="exact"/>
        <w:ind w:firstLine="440" w:firstLineChars="200"/>
        <w:rPr>
          <w:rFonts w:hint="eastAsia" w:hAnsi="宋体"/>
          <w:sz w:val="22"/>
          <w:szCs w:val="22"/>
        </w:rPr>
      </w:pPr>
      <w:r>
        <w:rPr>
          <w:rFonts w:hint="eastAsia" w:hAnsi="宋体"/>
          <w:sz w:val="22"/>
          <w:szCs w:val="22"/>
        </w:rPr>
        <w:t>39.3.3竞价法是指候选中标供应商产生后，由采购人委托招标机构组织候选中标供应商进行二次竞价，最终报价最低的为中标供应商</w:t>
      </w:r>
    </w:p>
    <w:p w14:paraId="20055263">
      <w:pPr>
        <w:tabs>
          <w:tab w:val="clear" w:pos="426"/>
        </w:tabs>
        <w:spacing w:line="360" w:lineRule="exact"/>
        <w:ind w:firstLine="440" w:firstLineChars="200"/>
        <w:rPr>
          <w:rFonts w:hint="eastAsia" w:hAnsi="宋体"/>
          <w:sz w:val="22"/>
          <w:szCs w:val="22"/>
        </w:rPr>
      </w:pPr>
      <w:r>
        <w:rPr>
          <w:rFonts w:hint="eastAsia" w:hAnsi="宋体"/>
          <w:sz w:val="22"/>
          <w:szCs w:val="22"/>
        </w:rPr>
        <w:t>39.4本项目采用的定标方法见本项目招标文件专用条款的相关内容。</w:t>
      </w:r>
    </w:p>
    <w:p w14:paraId="07366DD2">
      <w:pPr>
        <w:tabs>
          <w:tab w:val="clear" w:pos="426"/>
        </w:tabs>
        <w:spacing w:line="360" w:lineRule="exact"/>
        <w:ind w:firstLine="440" w:firstLineChars="200"/>
        <w:rPr>
          <w:rFonts w:hint="eastAsia" w:hAnsi="宋体"/>
          <w:sz w:val="22"/>
          <w:szCs w:val="22"/>
        </w:rPr>
      </w:pPr>
      <w:r>
        <w:rPr>
          <w:rFonts w:hint="eastAsia" w:hAnsi="宋体"/>
          <w:sz w:val="22"/>
          <w:szCs w:val="22"/>
        </w:rPr>
        <w:t>40．编写评标报告</w:t>
      </w:r>
    </w:p>
    <w:p w14:paraId="4E1FBA33">
      <w:pPr>
        <w:tabs>
          <w:tab w:val="clear" w:pos="426"/>
        </w:tabs>
        <w:spacing w:line="360" w:lineRule="exact"/>
        <w:ind w:firstLine="440" w:firstLineChars="200"/>
        <w:rPr>
          <w:rFonts w:hint="eastAsia" w:hAnsi="宋体"/>
          <w:sz w:val="22"/>
          <w:szCs w:val="22"/>
        </w:rPr>
      </w:pPr>
      <w:r>
        <w:rPr>
          <w:rFonts w:hint="eastAsia" w:hAnsi="宋体"/>
          <w:sz w:val="22"/>
          <w:szCs w:val="22"/>
        </w:rPr>
        <w:t>评标报告是评标委员会根据全体评标成员签字的原始评标记录和评标结果编写的报告，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3237171C">
      <w:pPr>
        <w:tabs>
          <w:tab w:val="clear" w:pos="426"/>
        </w:tabs>
        <w:spacing w:line="360" w:lineRule="exact"/>
        <w:ind w:firstLine="440" w:firstLineChars="200"/>
        <w:rPr>
          <w:rFonts w:hint="eastAsia" w:hAnsi="宋体"/>
          <w:sz w:val="22"/>
          <w:szCs w:val="22"/>
        </w:rPr>
      </w:pPr>
      <w:r>
        <w:rPr>
          <w:rFonts w:hint="eastAsia" w:hAnsi="宋体"/>
          <w:sz w:val="22"/>
          <w:szCs w:val="22"/>
        </w:rPr>
        <w:t>41．中标公告</w:t>
      </w:r>
    </w:p>
    <w:p w14:paraId="067E6C2F">
      <w:pPr>
        <w:tabs>
          <w:tab w:val="clear" w:pos="426"/>
        </w:tabs>
        <w:spacing w:line="360" w:lineRule="exact"/>
        <w:ind w:firstLine="440" w:firstLineChars="200"/>
        <w:rPr>
          <w:rFonts w:hint="eastAsia" w:hAnsi="宋体"/>
          <w:sz w:val="22"/>
          <w:szCs w:val="22"/>
        </w:rPr>
      </w:pPr>
      <w:r>
        <w:rPr>
          <w:rFonts w:hint="eastAsia" w:hAnsi="宋体"/>
          <w:sz w:val="22"/>
          <w:szCs w:val="22"/>
        </w:rPr>
        <w:t>41.1为体现“公开、公平、公正”的原则，评标结束后，政府采购代理机构将在主管部门指定的网站和政府采购代理机构网站（详见招标公告中的查询网址）上同时发布中标结果公告，公示期为1个工作日。供应商如对评标结果有异议，请于公示期内，以书面形式向我公司反映。若在公示期内未提出异议，则视为认同该评标结果。</w:t>
      </w:r>
    </w:p>
    <w:p w14:paraId="3B0906D7">
      <w:pPr>
        <w:pStyle w:val="44"/>
        <w:spacing w:line="360" w:lineRule="exact"/>
        <w:ind w:firstLine="440" w:firstLineChars="200"/>
        <w:rPr>
          <w:rFonts w:hint="eastAsia" w:hAnsi="宋体" w:cs="宋体"/>
          <w:sz w:val="22"/>
          <w:szCs w:val="22"/>
        </w:rPr>
      </w:pPr>
      <w:r>
        <w:rPr>
          <w:rFonts w:hint="eastAsia" w:hAnsi="宋体" w:cs="宋体"/>
          <w:sz w:val="22"/>
          <w:szCs w:val="22"/>
        </w:rPr>
        <w:t>41.2评审委员会不直接向未通过符合性检查的投标人或者未中标的投标人解释落标原因，也不退还投标文件。</w:t>
      </w:r>
    </w:p>
    <w:p w14:paraId="64582FAF">
      <w:pPr>
        <w:tabs>
          <w:tab w:val="clear" w:pos="426"/>
        </w:tabs>
        <w:spacing w:line="360" w:lineRule="exact"/>
        <w:ind w:firstLine="440" w:firstLineChars="200"/>
        <w:rPr>
          <w:rFonts w:hint="eastAsia" w:hAnsi="宋体"/>
          <w:sz w:val="22"/>
          <w:szCs w:val="22"/>
        </w:rPr>
      </w:pPr>
      <w:r>
        <w:rPr>
          <w:rFonts w:hint="eastAsia" w:hAnsi="宋体"/>
          <w:sz w:val="22"/>
          <w:szCs w:val="22"/>
        </w:rPr>
        <w:t>41.3质疑投诉人应保证质疑投诉内容的真实性和可靠性，并承担相应的法律责任。</w:t>
      </w:r>
    </w:p>
    <w:p w14:paraId="262A34A7">
      <w:pPr>
        <w:tabs>
          <w:tab w:val="clear" w:pos="426"/>
        </w:tabs>
        <w:spacing w:line="360" w:lineRule="exact"/>
        <w:ind w:firstLine="440" w:firstLineChars="200"/>
        <w:rPr>
          <w:rFonts w:hint="eastAsia" w:hAnsi="宋体"/>
          <w:sz w:val="22"/>
          <w:szCs w:val="22"/>
        </w:rPr>
      </w:pPr>
      <w:r>
        <w:rPr>
          <w:rFonts w:hint="eastAsia" w:hAnsi="宋体"/>
          <w:sz w:val="22"/>
          <w:szCs w:val="22"/>
        </w:rPr>
        <w:t>42．中标通知书</w:t>
      </w:r>
    </w:p>
    <w:p w14:paraId="3C32A99C">
      <w:pPr>
        <w:tabs>
          <w:tab w:val="clear" w:pos="426"/>
        </w:tabs>
        <w:spacing w:line="360" w:lineRule="exact"/>
        <w:ind w:firstLine="440" w:firstLineChars="200"/>
        <w:rPr>
          <w:rFonts w:hint="eastAsia" w:hAnsi="宋体"/>
          <w:sz w:val="22"/>
          <w:szCs w:val="22"/>
        </w:rPr>
      </w:pPr>
      <w:r>
        <w:rPr>
          <w:rFonts w:hint="eastAsia" w:hAnsi="宋体"/>
          <w:sz w:val="22"/>
          <w:szCs w:val="22"/>
        </w:rPr>
        <w:t>42.1中标公告公布后,公示期内无人投诉,请中标供应商凭单位证明及本人身份证到采购代理机构领取《中标通知书》。</w:t>
      </w:r>
    </w:p>
    <w:p w14:paraId="7EA18F53">
      <w:pPr>
        <w:tabs>
          <w:tab w:val="clear" w:pos="426"/>
        </w:tabs>
        <w:spacing w:line="360" w:lineRule="exact"/>
        <w:ind w:firstLine="440" w:firstLineChars="200"/>
        <w:rPr>
          <w:rFonts w:hint="eastAsia" w:hAnsi="宋体"/>
          <w:sz w:val="22"/>
          <w:szCs w:val="22"/>
        </w:rPr>
      </w:pPr>
      <w:r>
        <w:rPr>
          <w:rFonts w:hint="eastAsia" w:hAnsi="宋体"/>
          <w:sz w:val="22"/>
          <w:szCs w:val="22"/>
        </w:rPr>
        <w:t>42.2中标通知书是合同的重要组成部分。</w:t>
      </w:r>
    </w:p>
    <w:p w14:paraId="17045233">
      <w:pPr>
        <w:tabs>
          <w:tab w:val="clear" w:pos="426"/>
        </w:tabs>
        <w:spacing w:line="360" w:lineRule="exact"/>
        <w:ind w:firstLine="440" w:firstLineChars="200"/>
        <w:rPr>
          <w:rFonts w:hint="eastAsia" w:hAnsi="宋体"/>
          <w:sz w:val="22"/>
          <w:szCs w:val="22"/>
        </w:rPr>
      </w:pPr>
      <w:r>
        <w:rPr>
          <w:rFonts w:hint="eastAsia" w:hAnsi="宋体"/>
          <w:sz w:val="22"/>
          <w:szCs w:val="22"/>
        </w:rPr>
        <w:t>42.3因质疑投诉或其它原因导致项目结果变更或采购终止的，我公司有权收回中标通知书或终止采购合同。</w:t>
      </w:r>
    </w:p>
    <w:p w14:paraId="1BD22980">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196" w:name="_Toc529280588"/>
      <w:bookmarkStart w:id="197" w:name="_Toc14427261"/>
      <w:bookmarkStart w:id="198" w:name="_Toc530152529"/>
      <w:bookmarkStart w:id="199" w:name="_Toc21816"/>
      <w:r>
        <w:rPr>
          <w:rFonts w:hint="eastAsia" w:hAnsi="宋体"/>
          <w:sz w:val="22"/>
          <w:szCs w:val="22"/>
        </w:rPr>
        <w:t>第八章公开招标失败的后续处理</w:t>
      </w:r>
      <w:bookmarkEnd w:id="196"/>
      <w:bookmarkEnd w:id="197"/>
      <w:bookmarkEnd w:id="198"/>
      <w:bookmarkEnd w:id="199"/>
    </w:p>
    <w:p w14:paraId="688EC51A">
      <w:pPr>
        <w:tabs>
          <w:tab w:val="clear" w:pos="426"/>
        </w:tabs>
        <w:spacing w:line="360" w:lineRule="exact"/>
        <w:ind w:firstLine="440" w:firstLineChars="200"/>
        <w:rPr>
          <w:rFonts w:hint="eastAsia" w:hAnsi="宋体"/>
          <w:sz w:val="22"/>
          <w:szCs w:val="22"/>
        </w:rPr>
      </w:pPr>
      <w:r>
        <w:rPr>
          <w:rFonts w:hint="eastAsia" w:hAnsi="宋体"/>
          <w:sz w:val="22"/>
          <w:szCs w:val="22"/>
        </w:rPr>
        <w:t>43．公开招标失败的处理</w:t>
      </w:r>
    </w:p>
    <w:p w14:paraId="482C59BA">
      <w:pPr>
        <w:tabs>
          <w:tab w:val="clear" w:pos="426"/>
        </w:tabs>
        <w:spacing w:line="360" w:lineRule="exact"/>
        <w:ind w:firstLine="440" w:firstLineChars="200"/>
        <w:rPr>
          <w:rFonts w:hint="eastAsia" w:hAnsi="宋体"/>
          <w:sz w:val="22"/>
          <w:szCs w:val="22"/>
        </w:rPr>
      </w:pPr>
      <w:r>
        <w:rPr>
          <w:rFonts w:hint="eastAsia" w:hAnsi="宋体"/>
          <w:sz w:val="22"/>
          <w:szCs w:val="22"/>
        </w:rPr>
        <w:t>43.1本项目公开招标过程中若由于投标截止后实际递交投标文件的供应商数量不足、经评标委员会评审对招标文件作实质响应的供应商不足等原因造成公开招标失败，可由采购代理机构重新组织采购。</w:t>
      </w:r>
    </w:p>
    <w:p w14:paraId="687B01E5">
      <w:pPr>
        <w:tabs>
          <w:tab w:val="clear" w:pos="426"/>
        </w:tabs>
        <w:spacing w:line="360" w:lineRule="exact"/>
        <w:ind w:firstLine="440" w:firstLineChars="200"/>
        <w:rPr>
          <w:rFonts w:hint="eastAsia" w:hAnsi="宋体"/>
          <w:sz w:val="22"/>
          <w:szCs w:val="22"/>
        </w:rPr>
      </w:pPr>
      <w:r>
        <w:rPr>
          <w:rFonts w:hint="eastAsia" w:hAnsi="宋体"/>
          <w:sz w:val="22"/>
          <w:szCs w:val="22"/>
        </w:rPr>
        <w:t>43.2对公开招标失败的项目，评标委员会在出具该项目招标失败结论的同时，提出重新采购组织形式的建议，以及进一步完善招标文件的资格、技术、商务要求的修改建议。</w:t>
      </w:r>
    </w:p>
    <w:p w14:paraId="5204996A">
      <w:pPr>
        <w:tabs>
          <w:tab w:val="clear" w:pos="426"/>
        </w:tabs>
        <w:spacing w:line="360" w:lineRule="exact"/>
        <w:ind w:firstLine="440" w:firstLineChars="200"/>
        <w:rPr>
          <w:rFonts w:hint="eastAsia" w:hAnsi="宋体"/>
          <w:sz w:val="22"/>
          <w:szCs w:val="22"/>
        </w:rPr>
      </w:pPr>
      <w:r>
        <w:rPr>
          <w:rFonts w:hint="eastAsia" w:hAnsi="宋体"/>
          <w:sz w:val="22"/>
          <w:szCs w:val="22"/>
        </w:rPr>
        <w:t>43.3重新组织采购有以下两种组织形式：</w:t>
      </w:r>
    </w:p>
    <w:p w14:paraId="157E4E94">
      <w:pPr>
        <w:tabs>
          <w:tab w:val="clear" w:pos="426"/>
        </w:tabs>
        <w:spacing w:line="360" w:lineRule="exact"/>
        <w:ind w:firstLine="440" w:firstLineChars="200"/>
        <w:rPr>
          <w:rFonts w:hint="eastAsia" w:hAnsi="宋体"/>
          <w:sz w:val="22"/>
          <w:szCs w:val="22"/>
        </w:rPr>
      </w:pPr>
      <w:r>
        <w:rPr>
          <w:rFonts w:hint="eastAsia" w:hAnsi="宋体"/>
          <w:sz w:val="22"/>
          <w:szCs w:val="22"/>
        </w:rPr>
        <w:t>（1）由采购代理机构重新组织公开招标；</w:t>
      </w:r>
    </w:p>
    <w:p w14:paraId="299939CA">
      <w:pPr>
        <w:tabs>
          <w:tab w:val="clear" w:pos="426"/>
        </w:tabs>
        <w:spacing w:line="360" w:lineRule="exact"/>
        <w:ind w:firstLine="440" w:firstLineChars="200"/>
        <w:rPr>
          <w:rFonts w:hint="eastAsia" w:hAnsi="宋体"/>
          <w:sz w:val="22"/>
          <w:szCs w:val="22"/>
        </w:rPr>
      </w:pPr>
      <w:r>
        <w:rPr>
          <w:rFonts w:hint="eastAsia" w:hAnsi="宋体"/>
          <w:sz w:val="22"/>
          <w:szCs w:val="22"/>
        </w:rPr>
        <w:t>（2）根据实际情况需要向相关监督管理部门提出非公开采购人式申请，经相关监督管理部门批准公开招标失败采购项目可转为竞争性谈判或单一来源谈判方式采购。</w:t>
      </w:r>
    </w:p>
    <w:p w14:paraId="764AD2CC">
      <w:pPr>
        <w:tabs>
          <w:tab w:val="clear" w:pos="426"/>
        </w:tabs>
        <w:spacing w:line="360" w:lineRule="exact"/>
        <w:ind w:firstLine="440" w:firstLineChars="200"/>
        <w:rPr>
          <w:rFonts w:hint="eastAsia" w:hAnsi="宋体"/>
          <w:sz w:val="22"/>
          <w:szCs w:val="22"/>
        </w:rPr>
      </w:pPr>
      <w:r>
        <w:rPr>
          <w:rFonts w:hint="eastAsia" w:hAnsi="宋体"/>
          <w:sz w:val="22"/>
          <w:szCs w:val="22"/>
        </w:rPr>
        <w:t>43.4公开招标失败的采购项目重新组织公开招标，采购代理机构要重新按公开招标流程发布招标公告和招标文件、组成评标委员会等组织采购活动。</w:t>
      </w:r>
    </w:p>
    <w:p w14:paraId="2F85C2D6">
      <w:pPr>
        <w:tabs>
          <w:tab w:val="clear" w:pos="426"/>
        </w:tabs>
        <w:spacing w:line="360" w:lineRule="exact"/>
        <w:ind w:firstLine="440" w:firstLineChars="200"/>
        <w:rPr>
          <w:rFonts w:hint="eastAsia" w:hAnsi="宋体"/>
          <w:sz w:val="22"/>
          <w:szCs w:val="22"/>
        </w:rPr>
      </w:pPr>
      <w:r>
        <w:rPr>
          <w:rFonts w:hint="eastAsia" w:hAnsi="宋体"/>
          <w:sz w:val="22"/>
          <w:szCs w:val="22"/>
        </w:rPr>
        <w:t>43.5公开招标失败的采购项目经相关监督管理部门批准转为竞争性谈判或单一来源谈判方式采购的，可不另行制作谈判文件，采购代理机构可就原招标文件中资格、技术及评标方法等变动情况向拟谈判对象发出谈判邀请。谈判邀请文件与原招标文件具同等效力，变动部分以谈判邀请文件为准。转为竞争性谈判或单一来源谈判方式采购的，供应商的原投标文件转为谈判应答文件。</w:t>
      </w:r>
    </w:p>
    <w:p w14:paraId="399066C8">
      <w:pPr>
        <w:tabs>
          <w:tab w:val="clear" w:pos="426"/>
        </w:tabs>
        <w:spacing w:line="360" w:lineRule="exact"/>
        <w:ind w:firstLine="440" w:firstLineChars="200"/>
        <w:rPr>
          <w:rFonts w:hint="eastAsia" w:hAnsi="宋体"/>
          <w:sz w:val="22"/>
          <w:szCs w:val="22"/>
        </w:rPr>
      </w:pPr>
      <w:r>
        <w:rPr>
          <w:rFonts w:hint="eastAsia" w:hAnsi="宋体"/>
          <w:sz w:val="22"/>
          <w:szCs w:val="22"/>
        </w:rPr>
        <w:t>44．公开招标失败项目转为竞争性谈判方式采购的</w:t>
      </w:r>
    </w:p>
    <w:p w14:paraId="73C3D4BB">
      <w:pPr>
        <w:tabs>
          <w:tab w:val="clear" w:pos="426"/>
        </w:tabs>
        <w:spacing w:line="360" w:lineRule="exact"/>
        <w:ind w:firstLine="440" w:firstLineChars="200"/>
        <w:rPr>
          <w:rFonts w:hint="eastAsia" w:hAnsi="宋体"/>
          <w:sz w:val="22"/>
          <w:szCs w:val="22"/>
        </w:rPr>
      </w:pPr>
      <w:r>
        <w:rPr>
          <w:rFonts w:hint="eastAsia" w:hAnsi="宋体"/>
          <w:sz w:val="22"/>
          <w:szCs w:val="22"/>
        </w:rPr>
        <w:t>44.1谈判文件</w:t>
      </w:r>
    </w:p>
    <w:p w14:paraId="3AC4EE1D">
      <w:pPr>
        <w:tabs>
          <w:tab w:val="clear" w:pos="426"/>
        </w:tabs>
        <w:spacing w:line="360" w:lineRule="exact"/>
        <w:ind w:firstLine="440" w:firstLineChars="200"/>
        <w:rPr>
          <w:rFonts w:hint="eastAsia" w:hAnsi="宋体"/>
          <w:sz w:val="22"/>
          <w:szCs w:val="22"/>
        </w:rPr>
      </w:pPr>
      <w:r>
        <w:rPr>
          <w:rFonts w:hint="eastAsia" w:hAnsi="宋体"/>
          <w:sz w:val="22"/>
          <w:szCs w:val="22"/>
        </w:rPr>
        <w:t>44.1.1公开招标失败项目转为竞争性谈判方式采购的，原招标文件转为谈判文件。</w:t>
      </w:r>
    </w:p>
    <w:p w14:paraId="2FEFA2D5">
      <w:pPr>
        <w:tabs>
          <w:tab w:val="clear" w:pos="426"/>
        </w:tabs>
        <w:spacing w:line="360" w:lineRule="exact"/>
        <w:ind w:firstLine="440" w:firstLineChars="200"/>
        <w:rPr>
          <w:rFonts w:hint="eastAsia" w:hAnsi="宋体"/>
          <w:sz w:val="22"/>
          <w:szCs w:val="22"/>
        </w:rPr>
      </w:pPr>
      <w:r>
        <w:rPr>
          <w:rFonts w:hint="eastAsia" w:hAnsi="宋体"/>
          <w:sz w:val="22"/>
          <w:szCs w:val="22"/>
        </w:rPr>
        <w:t>44.2谈判小组</w:t>
      </w:r>
    </w:p>
    <w:p w14:paraId="1746861F">
      <w:pPr>
        <w:tabs>
          <w:tab w:val="clear" w:pos="426"/>
        </w:tabs>
        <w:spacing w:line="360" w:lineRule="exact"/>
        <w:ind w:firstLine="440" w:firstLineChars="200"/>
        <w:rPr>
          <w:rFonts w:hint="eastAsia" w:hAnsi="宋体"/>
          <w:sz w:val="22"/>
          <w:szCs w:val="22"/>
        </w:rPr>
      </w:pPr>
      <w:r>
        <w:rPr>
          <w:rFonts w:hint="eastAsia" w:hAnsi="宋体"/>
          <w:sz w:val="22"/>
          <w:szCs w:val="22"/>
        </w:rPr>
        <w:t>44.2.1公开招标失败项目转为竞争性谈判方式采购后，评标委员会转为谈判小组；谈判小组成员由采购人代表和有关专家共3人以上（含3人）的单数组成；其中专家的人数不得少于成员总数的三分之二；专家可重新抽取也可继续采用评审委员会内专家。</w:t>
      </w:r>
    </w:p>
    <w:p w14:paraId="07940458">
      <w:pPr>
        <w:tabs>
          <w:tab w:val="clear" w:pos="426"/>
        </w:tabs>
        <w:spacing w:line="360" w:lineRule="exact"/>
        <w:ind w:firstLine="440" w:firstLineChars="200"/>
        <w:rPr>
          <w:rFonts w:hint="eastAsia" w:hAnsi="宋体"/>
          <w:sz w:val="22"/>
          <w:szCs w:val="22"/>
        </w:rPr>
      </w:pPr>
      <w:r>
        <w:rPr>
          <w:rFonts w:hint="eastAsia" w:hAnsi="宋体"/>
          <w:sz w:val="22"/>
          <w:szCs w:val="22"/>
        </w:rPr>
        <w:t>44.2.2谈判前，谈判小组将对各供应商的谈判应答文件进行审查，</w:t>
      </w:r>
      <w:r>
        <w:rPr>
          <w:rFonts w:hint="eastAsia" w:hAnsi="宋体"/>
          <w:bCs/>
          <w:sz w:val="22"/>
          <w:szCs w:val="22"/>
        </w:rPr>
        <w:t>当谈判应答文件出现下列情况之一的将视为无效，按无效标或废标处理，不得进入谈判，</w:t>
      </w:r>
      <w:r>
        <w:rPr>
          <w:rFonts w:hint="eastAsia" w:hAnsi="宋体"/>
          <w:sz w:val="22"/>
          <w:szCs w:val="22"/>
        </w:rPr>
        <w:t>具体内容见原招标文件中“资格、符合性评审</w:t>
      </w:r>
      <w:r>
        <w:rPr>
          <w:rFonts w:hint="eastAsia" w:hAnsi="宋体"/>
          <w:bCs/>
          <w:sz w:val="22"/>
          <w:szCs w:val="22"/>
        </w:rPr>
        <w:t>”</w:t>
      </w:r>
      <w:r>
        <w:rPr>
          <w:rFonts w:hint="eastAsia" w:hAnsi="宋体"/>
          <w:sz w:val="22"/>
          <w:szCs w:val="22"/>
        </w:rPr>
        <w:t>部分以及谈判邀请中相应的变动部分。</w:t>
      </w:r>
    </w:p>
    <w:p w14:paraId="54775678">
      <w:pPr>
        <w:tabs>
          <w:tab w:val="clear" w:pos="426"/>
        </w:tabs>
        <w:spacing w:line="360" w:lineRule="exact"/>
        <w:ind w:firstLine="440" w:firstLineChars="200"/>
        <w:rPr>
          <w:rFonts w:hint="eastAsia" w:hAnsi="宋体"/>
          <w:sz w:val="22"/>
          <w:szCs w:val="22"/>
        </w:rPr>
      </w:pPr>
      <w:r>
        <w:rPr>
          <w:rFonts w:hint="eastAsia" w:hAnsi="宋体"/>
          <w:sz w:val="22"/>
          <w:szCs w:val="22"/>
        </w:rPr>
        <w:t>44.3谈判程序</w:t>
      </w:r>
    </w:p>
    <w:p w14:paraId="013D23C5">
      <w:pPr>
        <w:tabs>
          <w:tab w:val="clear" w:pos="426"/>
        </w:tabs>
        <w:spacing w:line="360" w:lineRule="exact"/>
        <w:ind w:firstLine="440" w:firstLineChars="200"/>
        <w:rPr>
          <w:rFonts w:hint="eastAsia" w:hAnsi="宋体"/>
          <w:sz w:val="22"/>
          <w:szCs w:val="22"/>
        </w:rPr>
      </w:pPr>
      <w:r>
        <w:rPr>
          <w:rFonts w:hint="eastAsia" w:hAnsi="宋体"/>
          <w:sz w:val="22"/>
          <w:szCs w:val="22"/>
        </w:rPr>
        <w:t>44.3.1参加谈判的供应商和谈判小组成员填写谈判登记表，并交验证明文件（法定代表人证明书、法人授权委托书、被授权的谈判代表身份证原件）。</w:t>
      </w:r>
    </w:p>
    <w:p w14:paraId="2191FECE">
      <w:pPr>
        <w:tabs>
          <w:tab w:val="clear" w:pos="426"/>
        </w:tabs>
        <w:spacing w:line="360" w:lineRule="exact"/>
        <w:ind w:firstLine="440" w:firstLineChars="200"/>
        <w:rPr>
          <w:rFonts w:hint="eastAsia" w:hAnsi="宋体"/>
          <w:sz w:val="22"/>
          <w:szCs w:val="22"/>
        </w:rPr>
      </w:pPr>
      <w:r>
        <w:rPr>
          <w:rFonts w:hint="eastAsia" w:hAnsi="宋体"/>
          <w:sz w:val="22"/>
          <w:szCs w:val="22"/>
        </w:rPr>
        <w:t>44.3.2谈判小组主持人宣布谈判规则和谈判纪律。</w:t>
      </w:r>
    </w:p>
    <w:p w14:paraId="78E8EE30">
      <w:pPr>
        <w:tabs>
          <w:tab w:val="clear" w:pos="426"/>
        </w:tabs>
        <w:spacing w:line="360" w:lineRule="exact"/>
        <w:ind w:firstLine="440" w:firstLineChars="200"/>
        <w:rPr>
          <w:rFonts w:hint="eastAsia" w:hAnsi="宋体"/>
          <w:sz w:val="22"/>
          <w:szCs w:val="22"/>
        </w:rPr>
      </w:pPr>
      <w:r>
        <w:rPr>
          <w:rFonts w:hint="eastAsia" w:hAnsi="宋体"/>
          <w:sz w:val="22"/>
          <w:szCs w:val="22"/>
        </w:rPr>
        <w:t>44.3.3在谈判中，谈判小组将就以下谈判内容跟供应商进行谈判：</w:t>
      </w:r>
    </w:p>
    <w:p w14:paraId="1B06AC7A">
      <w:pPr>
        <w:tabs>
          <w:tab w:val="clear" w:pos="426"/>
        </w:tabs>
        <w:spacing w:line="360" w:lineRule="exact"/>
        <w:ind w:firstLine="440" w:firstLineChars="200"/>
        <w:rPr>
          <w:rFonts w:hint="eastAsia" w:hAnsi="宋体"/>
          <w:sz w:val="22"/>
          <w:szCs w:val="22"/>
        </w:rPr>
      </w:pPr>
      <w:r>
        <w:rPr>
          <w:rFonts w:hint="eastAsia" w:hAnsi="宋体"/>
          <w:sz w:val="22"/>
          <w:szCs w:val="22"/>
        </w:rPr>
        <w:t>（1）项目方案；</w:t>
      </w:r>
    </w:p>
    <w:p w14:paraId="6A1377F2">
      <w:pPr>
        <w:tabs>
          <w:tab w:val="clear" w:pos="426"/>
        </w:tabs>
        <w:spacing w:line="360" w:lineRule="exact"/>
        <w:ind w:firstLine="440" w:firstLineChars="200"/>
        <w:rPr>
          <w:rFonts w:hint="eastAsia" w:hAnsi="宋体"/>
          <w:sz w:val="22"/>
          <w:szCs w:val="22"/>
        </w:rPr>
      </w:pPr>
      <w:r>
        <w:rPr>
          <w:rFonts w:hint="eastAsia" w:hAnsi="宋体"/>
          <w:sz w:val="22"/>
          <w:szCs w:val="22"/>
        </w:rPr>
        <w:t>（2）报价；</w:t>
      </w:r>
    </w:p>
    <w:p w14:paraId="07ED5E87">
      <w:pPr>
        <w:tabs>
          <w:tab w:val="clear" w:pos="426"/>
        </w:tabs>
        <w:spacing w:line="360" w:lineRule="exact"/>
        <w:ind w:firstLine="440" w:firstLineChars="200"/>
        <w:rPr>
          <w:rFonts w:hint="eastAsia" w:hAnsi="宋体"/>
          <w:sz w:val="22"/>
          <w:szCs w:val="22"/>
        </w:rPr>
      </w:pPr>
      <w:r>
        <w:rPr>
          <w:rFonts w:hint="eastAsia" w:hAnsi="宋体"/>
          <w:sz w:val="22"/>
          <w:szCs w:val="22"/>
        </w:rPr>
        <w:t>（3）其它相关事项。</w:t>
      </w:r>
    </w:p>
    <w:p w14:paraId="38500BD4">
      <w:pPr>
        <w:tabs>
          <w:tab w:val="clear" w:pos="426"/>
        </w:tabs>
        <w:spacing w:line="360" w:lineRule="exact"/>
        <w:ind w:firstLine="440" w:firstLineChars="200"/>
        <w:rPr>
          <w:rFonts w:hint="eastAsia" w:hAnsi="宋体"/>
          <w:sz w:val="22"/>
          <w:szCs w:val="22"/>
        </w:rPr>
      </w:pPr>
      <w:r>
        <w:rPr>
          <w:rFonts w:hint="eastAsia" w:hAnsi="宋体"/>
          <w:sz w:val="22"/>
          <w:szCs w:val="22"/>
        </w:rPr>
        <w:t>原招标文件或谈判邀请文件有实质性变动的，谈判小组应当通过采购代理机构通知所有参加谈判的供应商。</w:t>
      </w:r>
    </w:p>
    <w:p w14:paraId="71E292FD">
      <w:pPr>
        <w:tabs>
          <w:tab w:val="clear" w:pos="426"/>
        </w:tabs>
        <w:spacing w:line="360" w:lineRule="exact"/>
        <w:ind w:firstLine="440" w:firstLineChars="200"/>
        <w:rPr>
          <w:rFonts w:hint="eastAsia" w:hAnsi="宋体"/>
          <w:sz w:val="22"/>
          <w:szCs w:val="22"/>
        </w:rPr>
      </w:pPr>
      <w:r>
        <w:rPr>
          <w:rFonts w:hint="eastAsia" w:hAnsi="宋体"/>
          <w:sz w:val="22"/>
          <w:szCs w:val="22"/>
        </w:rPr>
        <w:t>44.3.4谈判小组可以用书面形式要求各供应商对其谈判应答文件含义不明确的内容作必要的澄清或者说明，重要问题供应商应以书面形式进行澄清、说明。</w:t>
      </w:r>
    </w:p>
    <w:p w14:paraId="1C2DDEFC">
      <w:pPr>
        <w:tabs>
          <w:tab w:val="clear" w:pos="426"/>
        </w:tabs>
        <w:spacing w:line="360" w:lineRule="exact"/>
        <w:ind w:firstLine="440" w:firstLineChars="200"/>
        <w:rPr>
          <w:rFonts w:hint="eastAsia" w:hAnsi="宋体"/>
          <w:sz w:val="22"/>
          <w:szCs w:val="22"/>
        </w:rPr>
      </w:pPr>
      <w:r>
        <w:rPr>
          <w:rFonts w:hint="eastAsia" w:hAnsi="宋体"/>
          <w:sz w:val="22"/>
          <w:szCs w:val="22"/>
        </w:rPr>
        <w:t>44.3.5 允许供应商在谈判结束之前根据谈判小组提出的内容进行澄清、修改或完善，或对项目方案进行相应的调整。</w:t>
      </w:r>
    </w:p>
    <w:p w14:paraId="26D032C1">
      <w:pPr>
        <w:tabs>
          <w:tab w:val="clear" w:pos="426"/>
        </w:tabs>
        <w:spacing w:line="360" w:lineRule="exact"/>
        <w:ind w:firstLine="440" w:firstLineChars="200"/>
        <w:rPr>
          <w:rFonts w:hint="eastAsia" w:hAnsi="宋体"/>
          <w:sz w:val="22"/>
          <w:szCs w:val="22"/>
        </w:rPr>
      </w:pPr>
      <w:r>
        <w:rPr>
          <w:rFonts w:hint="eastAsia" w:hAnsi="宋体"/>
          <w:sz w:val="22"/>
          <w:szCs w:val="22"/>
        </w:rPr>
        <w:t>44.3.6供应商对谈判应答文件进行修改，都应形成文字材料，并经供应商谈判授权人签字认可。</w:t>
      </w:r>
    </w:p>
    <w:p w14:paraId="1C37DB59">
      <w:pPr>
        <w:tabs>
          <w:tab w:val="clear" w:pos="426"/>
        </w:tabs>
        <w:spacing w:line="360" w:lineRule="exact"/>
        <w:ind w:firstLine="440" w:firstLineChars="200"/>
        <w:rPr>
          <w:rFonts w:hint="eastAsia" w:hAnsi="宋体"/>
          <w:sz w:val="22"/>
          <w:szCs w:val="22"/>
        </w:rPr>
      </w:pPr>
      <w:r>
        <w:rPr>
          <w:rFonts w:hint="eastAsia" w:hAnsi="宋体"/>
          <w:sz w:val="22"/>
          <w:szCs w:val="22"/>
        </w:rPr>
        <w:t>44.3.7谈判小组所有成员集中与单一供应商分别进行谈判。在谈判中，谈判的任何一方不得透露与谈判有关的其它供应商的技术资料、价格或者其他信息；参加谈判的供应商有两次更改机会；供应商应在规定的时间内提出最后更改及书面承诺。</w:t>
      </w:r>
    </w:p>
    <w:p w14:paraId="25E6B8E1">
      <w:pPr>
        <w:tabs>
          <w:tab w:val="clear" w:pos="426"/>
        </w:tabs>
        <w:spacing w:line="360" w:lineRule="exact"/>
        <w:ind w:firstLine="440" w:firstLineChars="200"/>
        <w:rPr>
          <w:rFonts w:hint="eastAsia" w:hAnsi="宋体"/>
          <w:sz w:val="22"/>
          <w:szCs w:val="22"/>
        </w:rPr>
      </w:pPr>
      <w:r>
        <w:rPr>
          <w:rFonts w:hint="eastAsia" w:hAnsi="宋体"/>
          <w:sz w:val="22"/>
          <w:szCs w:val="22"/>
        </w:rPr>
        <w:t>44.3.8有下列情形之一的，该供应商的谈判结果</w:t>
      </w:r>
      <w:r>
        <w:rPr>
          <w:rFonts w:hint="eastAsia" w:hAnsi="宋体"/>
          <w:bCs/>
          <w:sz w:val="22"/>
          <w:szCs w:val="22"/>
        </w:rPr>
        <w:t>按无效标或废标处理</w:t>
      </w:r>
      <w:r>
        <w:rPr>
          <w:rFonts w:hint="eastAsia" w:hAnsi="宋体"/>
          <w:sz w:val="22"/>
          <w:szCs w:val="22"/>
        </w:rPr>
        <w:t>，具体内容见原招标文件中不符合“资格、符合性评审条款”部分以及谈判邀请中相应的变动部分。</w:t>
      </w:r>
    </w:p>
    <w:p w14:paraId="1F4F5786">
      <w:pPr>
        <w:tabs>
          <w:tab w:val="clear" w:pos="426"/>
        </w:tabs>
        <w:spacing w:line="360" w:lineRule="exact"/>
        <w:ind w:firstLine="440" w:firstLineChars="200"/>
        <w:rPr>
          <w:rFonts w:hint="eastAsia" w:hAnsi="宋体"/>
          <w:sz w:val="22"/>
          <w:szCs w:val="22"/>
        </w:rPr>
      </w:pPr>
      <w:r>
        <w:rPr>
          <w:rFonts w:hint="eastAsia" w:hAnsi="宋体"/>
          <w:sz w:val="22"/>
          <w:szCs w:val="22"/>
        </w:rPr>
        <w:t>44.3.9谈判结束后，谈判小组根据供应商提供的谈判应答文件、谈判过程中产生的相关资料，对供应商谈判应答文件进行评估与比较，提出书面评审意见。</w:t>
      </w:r>
    </w:p>
    <w:p w14:paraId="41DD639B">
      <w:pPr>
        <w:tabs>
          <w:tab w:val="clear" w:pos="426"/>
        </w:tabs>
        <w:spacing w:line="360" w:lineRule="exact"/>
        <w:ind w:firstLine="440" w:firstLineChars="200"/>
        <w:rPr>
          <w:rFonts w:hint="eastAsia" w:hAnsi="宋体"/>
          <w:sz w:val="22"/>
          <w:szCs w:val="22"/>
        </w:rPr>
      </w:pPr>
      <w:r>
        <w:rPr>
          <w:rFonts w:hint="eastAsia" w:hAnsi="宋体"/>
          <w:sz w:val="22"/>
          <w:szCs w:val="22"/>
        </w:rPr>
        <w:t>44.3.10谈判小组将对谈判过程进行记录，以存档备查。</w:t>
      </w:r>
    </w:p>
    <w:p w14:paraId="6543066D">
      <w:pPr>
        <w:tabs>
          <w:tab w:val="clear" w:pos="426"/>
        </w:tabs>
        <w:spacing w:line="360" w:lineRule="exact"/>
        <w:ind w:firstLine="440" w:firstLineChars="200"/>
        <w:rPr>
          <w:rFonts w:hint="eastAsia" w:hAnsi="宋体"/>
          <w:sz w:val="22"/>
          <w:szCs w:val="22"/>
        </w:rPr>
      </w:pPr>
      <w:r>
        <w:rPr>
          <w:rFonts w:hint="eastAsia" w:hAnsi="宋体"/>
          <w:sz w:val="22"/>
          <w:szCs w:val="22"/>
        </w:rPr>
        <w:t>44.4评标方法和定标原则</w:t>
      </w:r>
    </w:p>
    <w:p w14:paraId="575A6A9F">
      <w:pPr>
        <w:tabs>
          <w:tab w:val="clear" w:pos="426"/>
        </w:tabs>
        <w:spacing w:line="360" w:lineRule="exact"/>
        <w:ind w:firstLine="440" w:firstLineChars="200"/>
        <w:rPr>
          <w:rFonts w:hint="eastAsia" w:hAnsi="宋体"/>
          <w:sz w:val="22"/>
          <w:szCs w:val="22"/>
        </w:rPr>
      </w:pPr>
      <w:r>
        <w:rPr>
          <w:rFonts w:hint="eastAsia" w:hAnsi="宋体"/>
          <w:sz w:val="22"/>
          <w:szCs w:val="22"/>
        </w:rPr>
        <w:t>44.4.1竞争性谈判采购项目的评标方法要比照最低评标价法规定执行。如确因实际情况需要采用其他评标方法的，应报经同级相关监督管理部门批准。原招标文件若采用</w:t>
      </w:r>
      <w:r>
        <w:rPr>
          <w:rFonts w:hint="eastAsia" w:hAnsi="宋体"/>
          <w:bCs/>
          <w:sz w:val="22"/>
          <w:szCs w:val="22"/>
        </w:rPr>
        <w:t>最低评标价法以外的评标方法，转为竞争性谈判后，评标方法应采用</w:t>
      </w:r>
      <w:r>
        <w:rPr>
          <w:rFonts w:hint="eastAsia" w:hAnsi="宋体"/>
          <w:sz w:val="22"/>
          <w:szCs w:val="22"/>
        </w:rPr>
        <w:t>最低评标价法。</w:t>
      </w:r>
    </w:p>
    <w:p w14:paraId="42B94C99">
      <w:pPr>
        <w:tabs>
          <w:tab w:val="clear" w:pos="426"/>
        </w:tabs>
        <w:spacing w:line="360" w:lineRule="exact"/>
        <w:ind w:firstLine="440" w:firstLineChars="200"/>
        <w:rPr>
          <w:rFonts w:hint="eastAsia" w:hAnsi="宋体"/>
          <w:sz w:val="22"/>
          <w:szCs w:val="22"/>
        </w:rPr>
      </w:pPr>
      <w:r>
        <w:rPr>
          <w:rFonts w:hint="eastAsia" w:hAnsi="宋体"/>
          <w:sz w:val="22"/>
          <w:szCs w:val="22"/>
        </w:rPr>
        <w:t>44.4.2对公开招标失败转为竞争性谈判方式采购的项目，谈判小组对谈判应答文件进行评审和比较，综合各家供应商最终的方案、服务和投资等谈判结果并按本通用条款第</w:t>
      </w:r>
      <w:r>
        <w:rPr>
          <w:rFonts w:hint="eastAsia" w:hAnsi="宋体"/>
          <w:bCs/>
          <w:sz w:val="22"/>
          <w:szCs w:val="22"/>
        </w:rPr>
        <w:t>37.1.1款</w:t>
      </w:r>
      <w:r>
        <w:rPr>
          <w:rFonts w:hint="eastAsia" w:hAnsi="宋体"/>
          <w:sz w:val="22"/>
          <w:szCs w:val="22"/>
        </w:rPr>
        <w:t>的</w:t>
      </w:r>
      <w:r>
        <w:rPr>
          <w:rFonts w:hint="eastAsia" w:hAnsi="宋体"/>
          <w:bCs/>
          <w:sz w:val="22"/>
          <w:szCs w:val="22"/>
        </w:rPr>
        <w:t>最低评标价法</w:t>
      </w:r>
      <w:r>
        <w:rPr>
          <w:rFonts w:hint="eastAsia" w:hAnsi="宋体"/>
          <w:sz w:val="22"/>
          <w:szCs w:val="22"/>
        </w:rPr>
        <w:t>进行评审。</w:t>
      </w:r>
    </w:p>
    <w:p w14:paraId="59BC6691">
      <w:pPr>
        <w:tabs>
          <w:tab w:val="clear" w:pos="426"/>
        </w:tabs>
        <w:spacing w:line="360" w:lineRule="exact"/>
        <w:ind w:firstLine="440" w:firstLineChars="200"/>
        <w:rPr>
          <w:rFonts w:hint="eastAsia" w:hAnsi="宋体"/>
          <w:sz w:val="22"/>
          <w:szCs w:val="22"/>
        </w:rPr>
      </w:pPr>
      <w:r>
        <w:rPr>
          <w:rFonts w:hint="eastAsia" w:hAnsi="宋体"/>
          <w:sz w:val="22"/>
          <w:szCs w:val="22"/>
        </w:rPr>
        <w:t>44.4.3若要采用其他评标方法的，必须报经相关监督管理部门批准，谈判小组按批准的评标方法进行评审。谈判邀请文件中应注明批准的评标方法。</w:t>
      </w:r>
    </w:p>
    <w:p w14:paraId="2BB7B27A">
      <w:pPr>
        <w:tabs>
          <w:tab w:val="clear" w:pos="426"/>
        </w:tabs>
        <w:spacing w:line="360" w:lineRule="exact"/>
        <w:ind w:firstLine="440" w:firstLineChars="200"/>
        <w:rPr>
          <w:rFonts w:hint="eastAsia" w:hAnsi="宋体"/>
          <w:sz w:val="22"/>
          <w:szCs w:val="22"/>
        </w:rPr>
      </w:pPr>
      <w:r>
        <w:rPr>
          <w:rFonts w:hint="eastAsia" w:hAnsi="宋体"/>
          <w:sz w:val="22"/>
          <w:szCs w:val="22"/>
        </w:rPr>
        <w:t>44.4.4谈判小组向采购代理机构提交书面评标报告，并推荐中标候选人或确定中标供应商。</w:t>
      </w:r>
    </w:p>
    <w:p w14:paraId="4146B814">
      <w:pPr>
        <w:tabs>
          <w:tab w:val="clear" w:pos="426"/>
        </w:tabs>
        <w:spacing w:line="360" w:lineRule="exact"/>
        <w:ind w:firstLine="440" w:firstLineChars="200"/>
        <w:rPr>
          <w:rFonts w:hint="eastAsia" w:hAnsi="宋体"/>
          <w:sz w:val="22"/>
          <w:szCs w:val="22"/>
        </w:rPr>
      </w:pPr>
      <w:r>
        <w:rPr>
          <w:rFonts w:hint="eastAsia" w:hAnsi="宋体"/>
          <w:sz w:val="22"/>
          <w:szCs w:val="22"/>
        </w:rPr>
        <w:t>45．公开招标失败项目转为单一来源谈判方式采购</w:t>
      </w:r>
    </w:p>
    <w:p w14:paraId="5110B53A">
      <w:pPr>
        <w:tabs>
          <w:tab w:val="clear" w:pos="426"/>
        </w:tabs>
        <w:spacing w:line="360" w:lineRule="exact"/>
        <w:ind w:firstLine="440" w:firstLineChars="200"/>
        <w:rPr>
          <w:rFonts w:hint="eastAsia" w:hAnsi="宋体"/>
          <w:sz w:val="22"/>
          <w:szCs w:val="22"/>
        </w:rPr>
      </w:pPr>
      <w:r>
        <w:rPr>
          <w:rFonts w:hint="eastAsia" w:hAnsi="宋体"/>
          <w:sz w:val="22"/>
          <w:szCs w:val="22"/>
        </w:rPr>
        <w:t>45.1谈判文件</w:t>
      </w:r>
    </w:p>
    <w:p w14:paraId="0905435F">
      <w:pPr>
        <w:tabs>
          <w:tab w:val="clear" w:pos="426"/>
        </w:tabs>
        <w:spacing w:line="360" w:lineRule="exact"/>
        <w:ind w:firstLine="440" w:firstLineChars="200"/>
        <w:rPr>
          <w:rFonts w:hint="eastAsia" w:hAnsi="宋体"/>
          <w:sz w:val="22"/>
          <w:szCs w:val="22"/>
        </w:rPr>
      </w:pPr>
      <w:r>
        <w:rPr>
          <w:rFonts w:hint="eastAsia" w:hAnsi="宋体"/>
          <w:sz w:val="22"/>
          <w:szCs w:val="22"/>
        </w:rPr>
        <w:t>45.1.1公开招标失败项目转为单一来源谈判方式采购的，原招标文件转为谈判文件。</w:t>
      </w:r>
    </w:p>
    <w:p w14:paraId="29F64A10">
      <w:pPr>
        <w:tabs>
          <w:tab w:val="clear" w:pos="426"/>
        </w:tabs>
        <w:spacing w:line="360" w:lineRule="exact"/>
        <w:ind w:firstLine="440" w:firstLineChars="200"/>
        <w:rPr>
          <w:rFonts w:hint="eastAsia" w:hAnsi="宋体"/>
          <w:sz w:val="22"/>
          <w:szCs w:val="22"/>
        </w:rPr>
      </w:pPr>
      <w:r>
        <w:rPr>
          <w:rFonts w:hint="eastAsia" w:hAnsi="宋体"/>
          <w:sz w:val="22"/>
          <w:szCs w:val="22"/>
        </w:rPr>
        <w:t>45.2谈判小组</w:t>
      </w:r>
    </w:p>
    <w:p w14:paraId="68840447">
      <w:pPr>
        <w:tabs>
          <w:tab w:val="clear" w:pos="426"/>
        </w:tabs>
        <w:spacing w:line="360" w:lineRule="exact"/>
        <w:ind w:firstLine="440" w:firstLineChars="200"/>
        <w:rPr>
          <w:rFonts w:hint="eastAsia" w:hAnsi="宋体"/>
          <w:sz w:val="22"/>
          <w:szCs w:val="22"/>
        </w:rPr>
      </w:pPr>
      <w:r>
        <w:rPr>
          <w:rFonts w:hint="eastAsia" w:hAnsi="宋体"/>
          <w:sz w:val="22"/>
          <w:szCs w:val="22"/>
        </w:rPr>
        <w:t>45.2.1公开招标失败项目转为单一来源谈判方式采购后，评标委员会转为谈判小组，专家可重新抽取也可继续采用评标委员会内专家。</w:t>
      </w:r>
    </w:p>
    <w:p w14:paraId="2BA5080A">
      <w:pPr>
        <w:tabs>
          <w:tab w:val="clear" w:pos="426"/>
        </w:tabs>
        <w:spacing w:line="360" w:lineRule="exact"/>
        <w:ind w:firstLine="440" w:firstLineChars="200"/>
        <w:rPr>
          <w:rFonts w:hint="eastAsia" w:hAnsi="宋体"/>
          <w:sz w:val="22"/>
          <w:szCs w:val="22"/>
        </w:rPr>
      </w:pPr>
      <w:r>
        <w:rPr>
          <w:rFonts w:hint="eastAsia" w:hAnsi="宋体"/>
          <w:sz w:val="22"/>
          <w:szCs w:val="22"/>
        </w:rPr>
        <w:t>45.2.2谈判前，谈判小组将对单一来源供应商的谈判应答文件进行审查，</w:t>
      </w:r>
      <w:r>
        <w:rPr>
          <w:rFonts w:hint="eastAsia" w:hAnsi="宋体"/>
          <w:bCs/>
          <w:sz w:val="22"/>
          <w:szCs w:val="22"/>
        </w:rPr>
        <w:t>当谈判应答文件出现下列情况之一的将视为无效，按无效标或废标处理，不得进入谈判，</w:t>
      </w:r>
      <w:r>
        <w:rPr>
          <w:rFonts w:hint="eastAsia" w:hAnsi="宋体"/>
          <w:sz w:val="22"/>
          <w:szCs w:val="22"/>
        </w:rPr>
        <w:t>具体内容见原招标文件中“资格、符合性评审条款</w:t>
      </w:r>
      <w:r>
        <w:rPr>
          <w:rFonts w:hint="eastAsia" w:hAnsi="宋体"/>
          <w:bCs/>
          <w:sz w:val="22"/>
          <w:szCs w:val="22"/>
        </w:rPr>
        <w:t>”</w:t>
      </w:r>
      <w:r>
        <w:rPr>
          <w:rFonts w:hint="eastAsia" w:hAnsi="宋体"/>
          <w:sz w:val="22"/>
          <w:szCs w:val="22"/>
        </w:rPr>
        <w:t>部分以及谈判邀请中相应的变动部分。</w:t>
      </w:r>
    </w:p>
    <w:p w14:paraId="75321EDA">
      <w:pPr>
        <w:tabs>
          <w:tab w:val="clear" w:pos="426"/>
        </w:tabs>
        <w:spacing w:line="360" w:lineRule="exact"/>
        <w:ind w:firstLine="440" w:firstLineChars="200"/>
        <w:rPr>
          <w:rFonts w:hint="eastAsia" w:hAnsi="宋体"/>
          <w:sz w:val="22"/>
          <w:szCs w:val="22"/>
        </w:rPr>
      </w:pPr>
      <w:r>
        <w:rPr>
          <w:rFonts w:hint="eastAsia" w:hAnsi="宋体"/>
          <w:sz w:val="22"/>
          <w:szCs w:val="22"/>
        </w:rPr>
        <w:t>45.3谈判程序</w:t>
      </w:r>
    </w:p>
    <w:p w14:paraId="1ED68C61">
      <w:pPr>
        <w:tabs>
          <w:tab w:val="clear" w:pos="426"/>
        </w:tabs>
        <w:spacing w:line="360" w:lineRule="exact"/>
        <w:ind w:firstLine="440" w:firstLineChars="200"/>
        <w:rPr>
          <w:rFonts w:hint="eastAsia" w:hAnsi="宋体"/>
          <w:sz w:val="22"/>
          <w:szCs w:val="22"/>
        </w:rPr>
      </w:pPr>
      <w:r>
        <w:rPr>
          <w:rFonts w:hint="eastAsia" w:hAnsi="宋体"/>
          <w:sz w:val="22"/>
          <w:szCs w:val="22"/>
        </w:rPr>
        <w:t>45.3.1参加谈判的供应商和谈判小组成员填写谈判登记表，并交验证明文件（法定代表人证明书、法人授权委托书、被授权的谈判代表身份证原件）。</w:t>
      </w:r>
    </w:p>
    <w:p w14:paraId="27D43065">
      <w:pPr>
        <w:tabs>
          <w:tab w:val="clear" w:pos="426"/>
        </w:tabs>
        <w:spacing w:line="360" w:lineRule="exact"/>
        <w:ind w:firstLine="440" w:firstLineChars="200"/>
        <w:rPr>
          <w:rFonts w:hint="eastAsia" w:hAnsi="宋体"/>
          <w:sz w:val="22"/>
          <w:szCs w:val="22"/>
        </w:rPr>
      </w:pPr>
      <w:r>
        <w:rPr>
          <w:rFonts w:hint="eastAsia" w:hAnsi="宋体"/>
          <w:sz w:val="22"/>
          <w:szCs w:val="22"/>
        </w:rPr>
        <w:t>45.3.2谈判小组主持人宣布谈判规则和谈判纪律。</w:t>
      </w:r>
    </w:p>
    <w:p w14:paraId="12514D4A">
      <w:pPr>
        <w:tabs>
          <w:tab w:val="clear" w:pos="426"/>
        </w:tabs>
        <w:spacing w:line="360" w:lineRule="exact"/>
        <w:ind w:firstLine="440" w:firstLineChars="200"/>
        <w:rPr>
          <w:rFonts w:hint="eastAsia" w:hAnsi="宋体"/>
          <w:sz w:val="22"/>
          <w:szCs w:val="22"/>
        </w:rPr>
      </w:pPr>
      <w:r>
        <w:rPr>
          <w:rFonts w:hint="eastAsia" w:hAnsi="宋体"/>
          <w:sz w:val="22"/>
          <w:szCs w:val="22"/>
        </w:rPr>
        <w:t>45.3.3在谈判中，谈判小组将就以下谈判内容跟供应商进行谈判：</w:t>
      </w:r>
    </w:p>
    <w:p w14:paraId="540EC502">
      <w:pPr>
        <w:tabs>
          <w:tab w:val="clear" w:pos="426"/>
        </w:tabs>
        <w:spacing w:line="360" w:lineRule="exact"/>
        <w:ind w:firstLine="440" w:firstLineChars="200"/>
        <w:rPr>
          <w:rFonts w:hint="eastAsia" w:hAnsi="宋体"/>
          <w:sz w:val="22"/>
          <w:szCs w:val="22"/>
        </w:rPr>
      </w:pPr>
      <w:r>
        <w:rPr>
          <w:rFonts w:hint="eastAsia" w:hAnsi="宋体"/>
          <w:sz w:val="22"/>
          <w:szCs w:val="22"/>
        </w:rPr>
        <w:t>（1）项目方案；</w:t>
      </w:r>
    </w:p>
    <w:p w14:paraId="55A8AF3F">
      <w:pPr>
        <w:tabs>
          <w:tab w:val="clear" w:pos="426"/>
        </w:tabs>
        <w:spacing w:line="360" w:lineRule="exact"/>
        <w:ind w:firstLine="440" w:firstLineChars="200"/>
        <w:rPr>
          <w:rFonts w:hint="eastAsia" w:hAnsi="宋体"/>
          <w:sz w:val="22"/>
          <w:szCs w:val="22"/>
        </w:rPr>
      </w:pPr>
      <w:r>
        <w:rPr>
          <w:rFonts w:hint="eastAsia" w:hAnsi="宋体"/>
          <w:sz w:val="22"/>
          <w:szCs w:val="22"/>
        </w:rPr>
        <w:t>（2）报价；</w:t>
      </w:r>
    </w:p>
    <w:p w14:paraId="4357F5B4">
      <w:pPr>
        <w:tabs>
          <w:tab w:val="clear" w:pos="426"/>
        </w:tabs>
        <w:spacing w:line="360" w:lineRule="exact"/>
        <w:ind w:firstLine="440" w:firstLineChars="200"/>
        <w:rPr>
          <w:rFonts w:hint="eastAsia" w:hAnsi="宋体"/>
          <w:sz w:val="22"/>
          <w:szCs w:val="22"/>
        </w:rPr>
      </w:pPr>
      <w:r>
        <w:rPr>
          <w:rFonts w:hint="eastAsia" w:hAnsi="宋体"/>
          <w:sz w:val="22"/>
          <w:szCs w:val="22"/>
        </w:rPr>
        <w:t>（3）其它相关事项。</w:t>
      </w:r>
    </w:p>
    <w:p w14:paraId="2079D0DC">
      <w:pPr>
        <w:tabs>
          <w:tab w:val="clear" w:pos="426"/>
        </w:tabs>
        <w:spacing w:line="360" w:lineRule="exact"/>
        <w:ind w:firstLine="440" w:firstLineChars="200"/>
        <w:rPr>
          <w:rFonts w:hint="eastAsia" w:hAnsi="宋体"/>
          <w:sz w:val="22"/>
          <w:szCs w:val="22"/>
        </w:rPr>
      </w:pPr>
      <w:r>
        <w:rPr>
          <w:rFonts w:hint="eastAsia" w:hAnsi="宋体"/>
          <w:sz w:val="22"/>
          <w:szCs w:val="22"/>
        </w:rPr>
        <w:t>原招标文件或谈判邀请文件有实质性变动的，谈判小组应当通过采购代理机构通知供应商。</w:t>
      </w:r>
    </w:p>
    <w:p w14:paraId="7C4E52EC">
      <w:pPr>
        <w:tabs>
          <w:tab w:val="clear" w:pos="426"/>
        </w:tabs>
        <w:spacing w:line="360" w:lineRule="exact"/>
        <w:ind w:firstLine="440" w:firstLineChars="200"/>
        <w:rPr>
          <w:rFonts w:hint="eastAsia" w:hAnsi="宋体"/>
          <w:sz w:val="22"/>
          <w:szCs w:val="22"/>
        </w:rPr>
      </w:pPr>
      <w:r>
        <w:rPr>
          <w:rFonts w:hint="eastAsia" w:hAnsi="宋体"/>
          <w:sz w:val="22"/>
          <w:szCs w:val="22"/>
        </w:rPr>
        <w:t>45.3.4谈判小组可以用书面形式要求供应商对其谈判应答文件含义不明确的内容作必要的澄清或者说明，重要问题供应商应以书面形式进行澄清、说明。</w:t>
      </w:r>
    </w:p>
    <w:p w14:paraId="63D0211E">
      <w:pPr>
        <w:tabs>
          <w:tab w:val="clear" w:pos="426"/>
        </w:tabs>
        <w:spacing w:line="360" w:lineRule="exact"/>
        <w:ind w:firstLine="440" w:firstLineChars="200"/>
        <w:rPr>
          <w:rFonts w:hint="eastAsia" w:hAnsi="宋体"/>
          <w:sz w:val="22"/>
          <w:szCs w:val="22"/>
        </w:rPr>
      </w:pPr>
      <w:r>
        <w:rPr>
          <w:rFonts w:hint="eastAsia" w:hAnsi="宋体"/>
          <w:sz w:val="22"/>
          <w:szCs w:val="22"/>
        </w:rPr>
        <w:t>45.3.5 允许供应商在谈判结束之前根据谈判小组提出的内容进行澄清、修改或完善，或对项目方案进行相应的调整。</w:t>
      </w:r>
    </w:p>
    <w:p w14:paraId="42935FA1">
      <w:pPr>
        <w:tabs>
          <w:tab w:val="clear" w:pos="426"/>
        </w:tabs>
        <w:spacing w:line="360" w:lineRule="exact"/>
        <w:ind w:firstLine="440" w:firstLineChars="200"/>
        <w:rPr>
          <w:rFonts w:hint="eastAsia" w:hAnsi="宋体"/>
          <w:sz w:val="22"/>
          <w:szCs w:val="22"/>
        </w:rPr>
      </w:pPr>
      <w:r>
        <w:rPr>
          <w:rFonts w:hint="eastAsia" w:hAnsi="宋体"/>
          <w:sz w:val="22"/>
          <w:szCs w:val="22"/>
        </w:rPr>
        <w:t>45.3.6供应商对谈判应答文件进行修改，都应形成文字材料，并经供应商谈判授权人签字认可。</w:t>
      </w:r>
    </w:p>
    <w:p w14:paraId="2AC87443">
      <w:pPr>
        <w:tabs>
          <w:tab w:val="clear" w:pos="426"/>
        </w:tabs>
        <w:spacing w:line="360" w:lineRule="exact"/>
        <w:ind w:firstLine="440" w:firstLineChars="200"/>
        <w:rPr>
          <w:rFonts w:hint="eastAsia" w:hAnsi="宋体"/>
          <w:sz w:val="22"/>
          <w:szCs w:val="22"/>
        </w:rPr>
      </w:pPr>
      <w:r>
        <w:rPr>
          <w:rFonts w:hint="eastAsia" w:hAnsi="宋体"/>
          <w:sz w:val="22"/>
          <w:szCs w:val="22"/>
        </w:rPr>
        <w:t>45.3.7谈判小组与单一来源供应商进行谈判。供应商有两次更改机会；供应商应在规定的时间内提出最后更改及书面承诺。</w:t>
      </w:r>
    </w:p>
    <w:p w14:paraId="672100D5">
      <w:pPr>
        <w:tabs>
          <w:tab w:val="clear" w:pos="426"/>
        </w:tabs>
        <w:spacing w:line="360" w:lineRule="exact"/>
        <w:ind w:firstLine="440" w:firstLineChars="200"/>
        <w:rPr>
          <w:rFonts w:hint="eastAsia" w:hAnsi="宋体"/>
          <w:sz w:val="22"/>
          <w:szCs w:val="22"/>
        </w:rPr>
      </w:pPr>
      <w:r>
        <w:rPr>
          <w:rFonts w:hint="eastAsia" w:hAnsi="宋体"/>
          <w:sz w:val="22"/>
          <w:szCs w:val="22"/>
        </w:rPr>
        <w:t>45.3.8有下列情形之一的，供应商的谈判结果作废标处理，具体内容见原招标文件中不符合“资格、符合性评审条款”部分以及谈判邀请中相应的变动部分。</w:t>
      </w:r>
    </w:p>
    <w:p w14:paraId="7829EB0E">
      <w:pPr>
        <w:tabs>
          <w:tab w:val="clear" w:pos="426"/>
        </w:tabs>
        <w:spacing w:line="360" w:lineRule="exact"/>
        <w:ind w:firstLine="440" w:firstLineChars="200"/>
        <w:rPr>
          <w:rFonts w:hint="eastAsia" w:hAnsi="宋体"/>
          <w:sz w:val="22"/>
          <w:szCs w:val="22"/>
        </w:rPr>
      </w:pPr>
      <w:r>
        <w:rPr>
          <w:rFonts w:hint="eastAsia" w:hAnsi="宋体"/>
          <w:sz w:val="22"/>
          <w:szCs w:val="22"/>
        </w:rPr>
        <w:t>45.3.9谈判结束后，谈判小组根据供应商提供的谈判应答文件、谈判过程中产生的相关资料，对供应商谈判应答文件进行评估与比较，提出书面评审意见。</w:t>
      </w:r>
    </w:p>
    <w:p w14:paraId="7B2B65B4">
      <w:pPr>
        <w:tabs>
          <w:tab w:val="clear" w:pos="426"/>
        </w:tabs>
        <w:spacing w:line="360" w:lineRule="exact"/>
        <w:ind w:firstLine="440" w:firstLineChars="200"/>
        <w:rPr>
          <w:rFonts w:hint="eastAsia" w:hAnsi="宋体"/>
          <w:sz w:val="22"/>
          <w:szCs w:val="22"/>
        </w:rPr>
      </w:pPr>
      <w:r>
        <w:rPr>
          <w:rFonts w:hint="eastAsia" w:hAnsi="宋体"/>
          <w:sz w:val="22"/>
          <w:szCs w:val="22"/>
        </w:rPr>
        <w:t>45.3.10谈判小组将对谈判过程进行记录，以存档备查。</w:t>
      </w:r>
    </w:p>
    <w:p w14:paraId="4AE9A0B4">
      <w:pPr>
        <w:tabs>
          <w:tab w:val="clear" w:pos="426"/>
        </w:tabs>
        <w:spacing w:line="360" w:lineRule="exact"/>
        <w:ind w:firstLine="440" w:firstLineChars="200"/>
        <w:rPr>
          <w:rFonts w:hint="eastAsia" w:hAnsi="宋体"/>
          <w:sz w:val="22"/>
          <w:szCs w:val="22"/>
        </w:rPr>
      </w:pPr>
      <w:r>
        <w:rPr>
          <w:rFonts w:hint="eastAsia" w:hAnsi="宋体"/>
          <w:sz w:val="22"/>
          <w:szCs w:val="22"/>
        </w:rPr>
        <w:t>45.4评标方法和定标原则</w:t>
      </w:r>
    </w:p>
    <w:p w14:paraId="7FC6EC08">
      <w:pPr>
        <w:tabs>
          <w:tab w:val="clear" w:pos="426"/>
        </w:tabs>
        <w:spacing w:line="360" w:lineRule="exact"/>
        <w:ind w:firstLine="440" w:firstLineChars="200"/>
        <w:rPr>
          <w:rFonts w:hint="eastAsia" w:hAnsi="宋体"/>
          <w:sz w:val="22"/>
          <w:szCs w:val="22"/>
        </w:rPr>
      </w:pPr>
      <w:r>
        <w:rPr>
          <w:rFonts w:hint="eastAsia" w:hAnsi="宋体"/>
          <w:sz w:val="22"/>
          <w:szCs w:val="22"/>
        </w:rPr>
        <w:t>45.4.1单一来源谈判采用最低评标价法。原招标文件若采用</w:t>
      </w:r>
      <w:r>
        <w:rPr>
          <w:rFonts w:hint="eastAsia" w:hAnsi="宋体"/>
          <w:bCs/>
          <w:sz w:val="22"/>
          <w:szCs w:val="22"/>
        </w:rPr>
        <w:t>最低评标价法以外的评标方法，转为单一来源谈判后，评标方法改为</w:t>
      </w:r>
      <w:r>
        <w:rPr>
          <w:rFonts w:hint="eastAsia" w:hAnsi="宋体"/>
          <w:sz w:val="22"/>
          <w:szCs w:val="22"/>
        </w:rPr>
        <w:t>最低评标价法。谈判小组对谈判应答文件进行评审和比较，对供应商最终的方案、服务和投资等谈判结果按本通用条款第37.1.1的</w:t>
      </w:r>
      <w:r>
        <w:rPr>
          <w:rFonts w:hint="eastAsia" w:hAnsi="宋体"/>
          <w:bCs/>
          <w:sz w:val="22"/>
          <w:szCs w:val="22"/>
        </w:rPr>
        <w:t>最低评标价法</w:t>
      </w:r>
      <w:r>
        <w:rPr>
          <w:rFonts w:hint="eastAsia" w:hAnsi="宋体"/>
          <w:sz w:val="22"/>
          <w:szCs w:val="22"/>
        </w:rPr>
        <w:t>进行评审。</w:t>
      </w:r>
    </w:p>
    <w:p w14:paraId="0D59FC86">
      <w:pPr>
        <w:tabs>
          <w:tab w:val="clear" w:pos="426"/>
        </w:tabs>
        <w:spacing w:line="360" w:lineRule="exact"/>
        <w:ind w:firstLine="440" w:firstLineChars="200"/>
        <w:rPr>
          <w:rFonts w:hint="eastAsia" w:hAnsi="宋体"/>
          <w:sz w:val="22"/>
          <w:szCs w:val="22"/>
        </w:rPr>
      </w:pPr>
      <w:r>
        <w:rPr>
          <w:rFonts w:hint="eastAsia" w:hAnsi="宋体"/>
          <w:sz w:val="22"/>
          <w:szCs w:val="22"/>
        </w:rPr>
        <w:t>45.4.2谈判小组向采购代理机构提交书面评标报告，并推荐中标候选人或确定中标供应商。</w:t>
      </w:r>
    </w:p>
    <w:p w14:paraId="50395FD8">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200" w:name="_Toc530152530"/>
      <w:bookmarkStart w:id="201" w:name="_Toc14427262"/>
      <w:bookmarkStart w:id="202" w:name="_Toc18049"/>
      <w:bookmarkStart w:id="203" w:name="_Toc529280589"/>
      <w:r>
        <w:rPr>
          <w:rFonts w:hint="eastAsia" w:hAnsi="宋体"/>
          <w:sz w:val="22"/>
          <w:szCs w:val="22"/>
        </w:rPr>
        <w:t>第九章合同的授予与备案</w:t>
      </w:r>
      <w:bookmarkEnd w:id="200"/>
      <w:bookmarkEnd w:id="201"/>
      <w:bookmarkEnd w:id="202"/>
      <w:bookmarkEnd w:id="203"/>
    </w:p>
    <w:p w14:paraId="441EC007">
      <w:pPr>
        <w:tabs>
          <w:tab w:val="clear" w:pos="426"/>
        </w:tabs>
        <w:spacing w:line="360" w:lineRule="exact"/>
        <w:ind w:firstLine="440" w:firstLineChars="200"/>
        <w:rPr>
          <w:rFonts w:hint="eastAsia" w:hAnsi="宋体"/>
          <w:sz w:val="22"/>
          <w:szCs w:val="22"/>
        </w:rPr>
      </w:pPr>
      <w:r>
        <w:rPr>
          <w:rFonts w:hint="eastAsia" w:hAnsi="宋体"/>
          <w:sz w:val="22"/>
          <w:szCs w:val="22"/>
        </w:rPr>
        <w:t>46．履约担保</w:t>
      </w:r>
    </w:p>
    <w:p w14:paraId="6AB9AF39">
      <w:pPr>
        <w:tabs>
          <w:tab w:val="clear" w:pos="426"/>
        </w:tabs>
        <w:spacing w:line="360" w:lineRule="exact"/>
        <w:ind w:firstLine="440" w:firstLineChars="200"/>
        <w:rPr>
          <w:rFonts w:hint="eastAsia" w:hAnsi="宋体"/>
          <w:sz w:val="22"/>
          <w:szCs w:val="22"/>
        </w:rPr>
      </w:pPr>
      <w:r>
        <w:rPr>
          <w:rFonts w:hint="eastAsia" w:hAnsi="宋体"/>
          <w:sz w:val="22"/>
          <w:szCs w:val="22"/>
        </w:rPr>
        <w:t>46.1  本项目履约担保的相关要求：详见“投标须知前附表”。</w:t>
      </w:r>
    </w:p>
    <w:p w14:paraId="70840003">
      <w:pPr>
        <w:tabs>
          <w:tab w:val="clear" w:pos="426"/>
        </w:tabs>
        <w:spacing w:line="360" w:lineRule="exact"/>
        <w:ind w:firstLine="440" w:firstLineChars="200"/>
        <w:rPr>
          <w:rFonts w:hint="eastAsia" w:hAnsi="宋体"/>
          <w:sz w:val="22"/>
          <w:szCs w:val="22"/>
        </w:rPr>
      </w:pPr>
      <w:r>
        <w:rPr>
          <w:rFonts w:hint="eastAsia" w:hAnsi="宋体"/>
          <w:sz w:val="22"/>
          <w:szCs w:val="22"/>
        </w:rPr>
        <w:t>46.2  在签订合同前，中标供应商应按规定向采购人提交履约担保，采用履约保函形式的可参照使用本招标文件提供的格式。</w:t>
      </w:r>
    </w:p>
    <w:p w14:paraId="130158EC">
      <w:pPr>
        <w:tabs>
          <w:tab w:val="clear" w:pos="426"/>
        </w:tabs>
        <w:spacing w:line="360" w:lineRule="exact"/>
        <w:ind w:firstLine="440" w:firstLineChars="200"/>
        <w:rPr>
          <w:rFonts w:hint="eastAsia" w:hAnsi="宋体"/>
          <w:sz w:val="22"/>
          <w:szCs w:val="22"/>
        </w:rPr>
      </w:pPr>
      <w:r>
        <w:rPr>
          <w:rFonts w:hint="eastAsia" w:hAnsi="宋体"/>
          <w:sz w:val="22"/>
          <w:szCs w:val="22"/>
        </w:rPr>
        <w:t>46.3  联合体中标的，其履约担保由联合体牵头人提交，并应符合本节第42.1条、第45.2条的规定。</w:t>
      </w:r>
    </w:p>
    <w:p w14:paraId="35BD0384">
      <w:pPr>
        <w:tabs>
          <w:tab w:val="clear" w:pos="426"/>
        </w:tabs>
        <w:spacing w:line="360" w:lineRule="exact"/>
        <w:ind w:firstLine="440" w:firstLineChars="200"/>
        <w:rPr>
          <w:rFonts w:hint="eastAsia" w:hAnsi="宋体"/>
          <w:sz w:val="22"/>
          <w:szCs w:val="22"/>
        </w:rPr>
      </w:pPr>
      <w:r>
        <w:rPr>
          <w:rFonts w:hint="eastAsia" w:hAnsi="宋体"/>
          <w:sz w:val="22"/>
          <w:szCs w:val="22"/>
        </w:rPr>
        <w:t>46.4  如果中标供应商拒不提交本节第42.1条、第42.2条要求的履约担保的，采购人可取消其中标资格，并没收其投标担保。</w:t>
      </w:r>
    </w:p>
    <w:p w14:paraId="2F3CB81F">
      <w:pPr>
        <w:tabs>
          <w:tab w:val="clear" w:pos="426"/>
        </w:tabs>
        <w:spacing w:line="360" w:lineRule="exact"/>
        <w:ind w:firstLine="440" w:firstLineChars="200"/>
        <w:rPr>
          <w:rFonts w:hint="eastAsia" w:hAnsi="宋体"/>
          <w:sz w:val="22"/>
          <w:szCs w:val="22"/>
        </w:rPr>
      </w:pPr>
      <w:r>
        <w:rPr>
          <w:rFonts w:hint="eastAsia" w:hAnsi="宋体"/>
          <w:sz w:val="22"/>
          <w:szCs w:val="22"/>
        </w:rPr>
        <w:t>47．签订合同</w:t>
      </w:r>
    </w:p>
    <w:p w14:paraId="47703695">
      <w:pPr>
        <w:tabs>
          <w:tab w:val="clear" w:pos="426"/>
        </w:tabs>
        <w:spacing w:line="360" w:lineRule="exact"/>
        <w:ind w:firstLine="440" w:firstLineChars="200"/>
        <w:rPr>
          <w:rFonts w:hint="eastAsia" w:hAnsi="宋体"/>
          <w:sz w:val="22"/>
          <w:szCs w:val="22"/>
        </w:rPr>
      </w:pPr>
      <w:r>
        <w:rPr>
          <w:rFonts w:hint="eastAsia" w:hAnsi="宋体"/>
          <w:sz w:val="22"/>
          <w:szCs w:val="22"/>
        </w:rPr>
        <w:t>47.1  采购人和中标供应商应当按“投标须知前附表”的规定，依据招标文件和中标供应商的投标文件订立书面合同。</w:t>
      </w:r>
    </w:p>
    <w:p w14:paraId="36EACA3F">
      <w:pPr>
        <w:tabs>
          <w:tab w:val="clear" w:pos="426"/>
        </w:tabs>
        <w:spacing w:line="360" w:lineRule="exact"/>
        <w:ind w:firstLine="440" w:firstLineChars="200"/>
        <w:rPr>
          <w:rFonts w:hint="eastAsia" w:hAnsi="宋体"/>
          <w:sz w:val="22"/>
          <w:szCs w:val="22"/>
        </w:rPr>
      </w:pPr>
      <w:r>
        <w:rPr>
          <w:rFonts w:hint="eastAsia" w:hAnsi="宋体"/>
          <w:sz w:val="22"/>
          <w:szCs w:val="22"/>
        </w:rPr>
        <w:t>47.2  中标供应商无正当理由拒签合同的，或者在签订合同时向采购人提出附加条件或者更改合同实质性内容的，采购人可取消其中标资格，并没收其投标担保；给采购人的损失超过其投标担保数额的，中标供应商应当对超过部分予以赔偿。</w:t>
      </w:r>
    </w:p>
    <w:p w14:paraId="685D9DBD">
      <w:pPr>
        <w:pStyle w:val="3"/>
        <w:numPr>
          <w:ilvl w:val="3"/>
          <w:numId w:val="0"/>
        </w:numPr>
        <w:shd w:val="clear" w:color="auto" w:fill="auto"/>
        <w:tabs>
          <w:tab w:val="clear" w:pos="1680"/>
        </w:tabs>
        <w:spacing w:line="360" w:lineRule="exact"/>
        <w:ind w:firstLine="440" w:firstLineChars="200"/>
        <w:rPr>
          <w:rFonts w:hint="eastAsia" w:hAnsi="宋体"/>
          <w:sz w:val="22"/>
          <w:szCs w:val="22"/>
        </w:rPr>
      </w:pPr>
      <w:bookmarkStart w:id="204" w:name="_Toc14427263"/>
      <w:bookmarkStart w:id="205" w:name="_Toc530152531"/>
      <w:bookmarkStart w:id="206" w:name="_Toc529280590"/>
      <w:bookmarkStart w:id="207" w:name="_Toc3658"/>
      <w:r>
        <w:rPr>
          <w:rFonts w:hint="eastAsia" w:hAnsi="宋体"/>
          <w:sz w:val="22"/>
          <w:szCs w:val="22"/>
        </w:rPr>
        <w:t>第十章质疑受理</w:t>
      </w:r>
      <w:bookmarkEnd w:id="204"/>
      <w:bookmarkEnd w:id="205"/>
      <w:bookmarkEnd w:id="206"/>
      <w:bookmarkEnd w:id="207"/>
    </w:p>
    <w:p w14:paraId="6A79471B">
      <w:pPr>
        <w:tabs>
          <w:tab w:val="clear" w:pos="426"/>
        </w:tabs>
        <w:spacing w:line="360" w:lineRule="exact"/>
        <w:ind w:firstLine="440" w:firstLineChars="200"/>
        <w:rPr>
          <w:rFonts w:hint="eastAsia" w:hAnsi="宋体"/>
          <w:sz w:val="22"/>
          <w:szCs w:val="22"/>
        </w:rPr>
      </w:pPr>
      <w:r>
        <w:rPr>
          <w:rFonts w:hint="eastAsia" w:hAnsi="宋体"/>
          <w:sz w:val="22"/>
          <w:szCs w:val="22"/>
        </w:rPr>
        <w:t>48.质疑受理机构</w:t>
      </w:r>
    </w:p>
    <w:p w14:paraId="49A9C2C8">
      <w:pPr>
        <w:tabs>
          <w:tab w:val="clear" w:pos="426"/>
        </w:tabs>
        <w:spacing w:line="360" w:lineRule="exact"/>
        <w:ind w:firstLine="440" w:firstLineChars="200"/>
        <w:rPr>
          <w:rFonts w:hint="eastAsia" w:hAnsi="宋体"/>
          <w:sz w:val="22"/>
          <w:szCs w:val="22"/>
        </w:rPr>
      </w:pPr>
      <w:r>
        <w:rPr>
          <w:rFonts w:hint="eastAsia" w:hAnsi="宋体"/>
          <w:sz w:val="22"/>
          <w:szCs w:val="22"/>
        </w:rPr>
        <w:t>采购代理机构及采购人负责受理和答复质疑。</w:t>
      </w:r>
    </w:p>
    <w:p w14:paraId="10A242AF">
      <w:pPr>
        <w:tabs>
          <w:tab w:val="clear" w:pos="426"/>
        </w:tabs>
        <w:spacing w:line="360" w:lineRule="exact"/>
        <w:ind w:firstLine="440" w:firstLineChars="200"/>
        <w:rPr>
          <w:rFonts w:hint="eastAsia" w:hAnsi="宋体"/>
          <w:sz w:val="22"/>
          <w:szCs w:val="22"/>
        </w:rPr>
      </w:pPr>
      <w:r>
        <w:rPr>
          <w:rFonts w:hint="eastAsia" w:hAnsi="宋体"/>
          <w:sz w:val="22"/>
          <w:szCs w:val="22"/>
        </w:rPr>
        <w:t>49.质疑处理原则</w:t>
      </w:r>
    </w:p>
    <w:p w14:paraId="3BE4E6C0">
      <w:pPr>
        <w:tabs>
          <w:tab w:val="clear" w:pos="426"/>
        </w:tabs>
        <w:spacing w:line="360" w:lineRule="exact"/>
        <w:ind w:firstLine="440" w:firstLineChars="200"/>
        <w:rPr>
          <w:rFonts w:hint="eastAsia" w:hAnsi="宋体"/>
          <w:sz w:val="22"/>
          <w:szCs w:val="22"/>
        </w:rPr>
      </w:pPr>
      <w:r>
        <w:rPr>
          <w:rFonts w:hint="eastAsia" w:hAnsi="宋体"/>
          <w:sz w:val="22"/>
          <w:szCs w:val="22"/>
        </w:rPr>
        <w:t>49.1质疑处理遵循公平、公正、规范、高效的原则。</w:t>
      </w:r>
    </w:p>
    <w:p w14:paraId="57752FE9">
      <w:pPr>
        <w:tabs>
          <w:tab w:val="clear" w:pos="426"/>
        </w:tabs>
        <w:spacing w:line="360" w:lineRule="exact"/>
        <w:ind w:firstLine="440" w:firstLineChars="200"/>
        <w:rPr>
          <w:rFonts w:hint="eastAsia" w:hAnsi="宋体"/>
          <w:sz w:val="22"/>
          <w:szCs w:val="22"/>
        </w:rPr>
      </w:pPr>
      <w:r>
        <w:rPr>
          <w:rFonts w:hint="eastAsia" w:hAnsi="宋体"/>
          <w:sz w:val="22"/>
          <w:szCs w:val="22"/>
        </w:rPr>
        <w:t>49.2供应商质疑实行实名制和“谁质疑，谁举证”的原则，质疑应有具体的事项及事实根据。</w:t>
      </w:r>
    </w:p>
    <w:p w14:paraId="45BBE785">
      <w:pPr>
        <w:tabs>
          <w:tab w:val="clear" w:pos="426"/>
        </w:tabs>
        <w:spacing w:line="360" w:lineRule="exact"/>
        <w:ind w:firstLine="440" w:firstLineChars="200"/>
        <w:rPr>
          <w:rFonts w:hint="eastAsia" w:hAnsi="宋体"/>
          <w:sz w:val="22"/>
          <w:szCs w:val="22"/>
        </w:rPr>
      </w:pPr>
      <w:r>
        <w:rPr>
          <w:rFonts w:hint="eastAsia" w:hAnsi="宋体"/>
          <w:sz w:val="22"/>
          <w:szCs w:val="22"/>
        </w:rPr>
        <w:t>50.质疑受理的时效和范围</w:t>
      </w:r>
    </w:p>
    <w:p w14:paraId="54ADA60B">
      <w:pPr>
        <w:tabs>
          <w:tab w:val="clear" w:pos="426"/>
        </w:tabs>
        <w:spacing w:line="360" w:lineRule="exact"/>
        <w:ind w:firstLine="440" w:firstLineChars="200"/>
        <w:rPr>
          <w:rFonts w:hint="eastAsia" w:hAnsi="宋体"/>
          <w:sz w:val="22"/>
          <w:szCs w:val="22"/>
        </w:rPr>
      </w:pPr>
      <w:r>
        <w:rPr>
          <w:rFonts w:hint="eastAsia" w:hAnsi="宋体"/>
          <w:sz w:val="22"/>
          <w:szCs w:val="22"/>
        </w:rPr>
        <w:t>50.1供应商认为采购文件、采购过程和中标、成交结果使自己权益受到损害的，可以在知道或者应知其权益受到损害之日起7个工作日内，以书面形式向采购代理机构提出质疑。</w:t>
      </w:r>
    </w:p>
    <w:p w14:paraId="24C7CDD6">
      <w:pPr>
        <w:tabs>
          <w:tab w:val="clear" w:pos="426"/>
        </w:tabs>
        <w:spacing w:line="360" w:lineRule="exact"/>
        <w:ind w:firstLine="440" w:firstLineChars="200"/>
        <w:rPr>
          <w:rFonts w:hint="eastAsia" w:hAnsi="宋体"/>
          <w:sz w:val="22"/>
          <w:szCs w:val="22"/>
        </w:rPr>
      </w:pPr>
      <w:r>
        <w:rPr>
          <w:rFonts w:hint="eastAsia" w:hAnsi="宋体"/>
          <w:sz w:val="22"/>
          <w:szCs w:val="22"/>
        </w:rPr>
        <w:t>50.2供应商对采购文件有疑问的，采购代理机构及采购人按答疑程序处理；供应商对采购文件有异议的，按质疑程序处理。</w:t>
      </w:r>
    </w:p>
    <w:p w14:paraId="20305C6B">
      <w:pPr>
        <w:tabs>
          <w:tab w:val="clear" w:pos="426"/>
        </w:tabs>
        <w:spacing w:line="360" w:lineRule="exact"/>
        <w:ind w:firstLine="440" w:firstLineChars="200"/>
        <w:rPr>
          <w:rFonts w:hint="eastAsia" w:hAnsi="宋体"/>
          <w:sz w:val="22"/>
          <w:szCs w:val="22"/>
        </w:rPr>
      </w:pPr>
      <w:r>
        <w:rPr>
          <w:rFonts w:hint="eastAsia" w:hAnsi="宋体"/>
          <w:sz w:val="22"/>
          <w:szCs w:val="22"/>
        </w:rPr>
        <w:t>51.质疑条件</w:t>
      </w:r>
    </w:p>
    <w:p w14:paraId="7A5627E5">
      <w:pPr>
        <w:tabs>
          <w:tab w:val="clear" w:pos="426"/>
        </w:tabs>
        <w:spacing w:line="360" w:lineRule="exact"/>
        <w:ind w:firstLine="440" w:firstLineChars="200"/>
        <w:rPr>
          <w:rFonts w:hint="eastAsia" w:hAnsi="宋体"/>
          <w:sz w:val="22"/>
          <w:szCs w:val="22"/>
        </w:rPr>
      </w:pPr>
      <w:r>
        <w:rPr>
          <w:rFonts w:hint="eastAsia" w:hAnsi="宋体"/>
          <w:sz w:val="22"/>
          <w:szCs w:val="22"/>
        </w:rPr>
        <w:t>51.1提出质疑的应是直接参与相应采购项目的供应商。以联合体形式参与的，由联合体共同提出；</w:t>
      </w:r>
    </w:p>
    <w:p w14:paraId="564570C7">
      <w:pPr>
        <w:tabs>
          <w:tab w:val="clear" w:pos="426"/>
        </w:tabs>
        <w:spacing w:line="360" w:lineRule="exact"/>
        <w:ind w:firstLine="440" w:firstLineChars="200"/>
        <w:rPr>
          <w:rFonts w:hint="eastAsia" w:hAnsi="宋体"/>
          <w:sz w:val="22"/>
          <w:szCs w:val="22"/>
        </w:rPr>
      </w:pPr>
      <w:r>
        <w:rPr>
          <w:rFonts w:hint="eastAsia" w:hAnsi="宋体"/>
          <w:sz w:val="22"/>
          <w:szCs w:val="22"/>
        </w:rPr>
        <w:t>51.2提供质疑的项目名称和编号、质疑供应商的单位名称、详细地址、邮政编码、联系人及联系电话等基本情况；</w:t>
      </w:r>
    </w:p>
    <w:p w14:paraId="41047469">
      <w:pPr>
        <w:tabs>
          <w:tab w:val="clear" w:pos="426"/>
        </w:tabs>
        <w:spacing w:line="360" w:lineRule="exact"/>
        <w:ind w:firstLine="440" w:firstLineChars="200"/>
        <w:rPr>
          <w:rFonts w:hint="eastAsia" w:hAnsi="宋体"/>
          <w:sz w:val="22"/>
          <w:szCs w:val="22"/>
        </w:rPr>
      </w:pPr>
      <w:r>
        <w:rPr>
          <w:rFonts w:hint="eastAsia" w:hAnsi="宋体"/>
          <w:sz w:val="22"/>
          <w:szCs w:val="22"/>
        </w:rPr>
        <w:t>51.3有质疑的具体事项、请求及理由，并附相关证据材料；</w:t>
      </w:r>
    </w:p>
    <w:p w14:paraId="62F2AC1F">
      <w:pPr>
        <w:tabs>
          <w:tab w:val="clear" w:pos="426"/>
        </w:tabs>
        <w:spacing w:line="360" w:lineRule="exact"/>
        <w:ind w:firstLine="440" w:firstLineChars="200"/>
        <w:rPr>
          <w:rFonts w:hint="eastAsia" w:hAnsi="宋体"/>
          <w:sz w:val="22"/>
          <w:szCs w:val="22"/>
        </w:rPr>
      </w:pPr>
      <w:r>
        <w:rPr>
          <w:rFonts w:hint="eastAsia" w:hAnsi="宋体"/>
          <w:sz w:val="22"/>
          <w:szCs w:val="22"/>
        </w:rPr>
        <w:t>51.4质疑书加盖公章，被授权人进行质疑的同时提交法人授权委托书；</w:t>
      </w:r>
    </w:p>
    <w:p w14:paraId="12C20226">
      <w:pPr>
        <w:tabs>
          <w:tab w:val="clear" w:pos="426"/>
        </w:tabs>
        <w:spacing w:line="360" w:lineRule="exact"/>
        <w:ind w:firstLine="440" w:firstLineChars="200"/>
        <w:rPr>
          <w:rFonts w:hint="eastAsia" w:hAnsi="宋体"/>
          <w:sz w:val="22"/>
          <w:szCs w:val="22"/>
        </w:rPr>
      </w:pPr>
      <w:r>
        <w:rPr>
          <w:rFonts w:hint="eastAsia" w:hAnsi="宋体"/>
          <w:sz w:val="22"/>
          <w:szCs w:val="22"/>
        </w:rPr>
        <w:t>51.5质疑材料中有外文资料的，应一并附上中文译本，并以中文译本为准。</w:t>
      </w:r>
    </w:p>
    <w:p w14:paraId="37D919F6">
      <w:pPr>
        <w:tabs>
          <w:tab w:val="clear" w:pos="426"/>
        </w:tabs>
        <w:spacing w:line="360" w:lineRule="exact"/>
        <w:ind w:firstLine="440" w:firstLineChars="200"/>
        <w:rPr>
          <w:rFonts w:hint="eastAsia" w:hAnsi="宋体"/>
          <w:sz w:val="22"/>
          <w:szCs w:val="22"/>
        </w:rPr>
      </w:pPr>
      <w:r>
        <w:rPr>
          <w:rFonts w:hint="eastAsia" w:hAnsi="宋体"/>
          <w:sz w:val="22"/>
          <w:szCs w:val="22"/>
        </w:rPr>
        <w:t>51.6质疑不得超过质疑受理的时效和范围。</w:t>
      </w:r>
    </w:p>
    <w:p w14:paraId="1EC5C803">
      <w:pPr>
        <w:tabs>
          <w:tab w:val="clear" w:pos="426"/>
        </w:tabs>
        <w:spacing w:line="360" w:lineRule="exact"/>
        <w:ind w:firstLine="440" w:firstLineChars="200"/>
        <w:rPr>
          <w:rFonts w:hint="eastAsia" w:hAnsi="宋体"/>
          <w:sz w:val="22"/>
          <w:szCs w:val="22"/>
        </w:rPr>
      </w:pPr>
      <w:r>
        <w:rPr>
          <w:rFonts w:hint="eastAsia" w:hAnsi="宋体"/>
          <w:sz w:val="22"/>
          <w:szCs w:val="22"/>
        </w:rPr>
        <w:t>不符合上述条件的，我采购代理机构不予受理。</w:t>
      </w:r>
    </w:p>
    <w:p w14:paraId="2496E62C">
      <w:pPr>
        <w:tabs>
          <w:tab w:val="clear" w:pos="426"/>
        </w:tabs>
        <w:spacing w:line="360" w:lineRule="exact"/>
        <w:ind w:firstLine="440" w:firstLineChars="200"/>
        <w:rPr>
          <w:rFonts w:hint="eastAsia" w:hAnsi="宋体"/>
          <w:sz w:val="22"/>
          <w:szCs w:val="22"/>
        </w:rPr>
      </w:pPr>
      <w:r>
        <w:rPr>
          <w:rFonts w:hint="eastAsia" w:hAnsi="宋体"/>
          <w:sz w:val="22"/>
          <w:szCs w:val="22"/>
        </w:rPr>
        <w:t>52.受理质疑办理程序</w:t>
      </w:r>
    </w:p>
    <w:p w14:paraId="4C08D99C">
      <w:pPr>
        <w:tabs>
          <w:tab w:val="clear" w:pos="426"/>
        </w:tabs>
        <w:spacing w:line="360" w:lineRule="exact"/>
        <w:ind w:firstLine="440" w:firstLineChars="200"/>
        <w:rPr>
          <w:rFonts w:hint="eastAsia" w:hAnsi="宋体"/>
          <w:sz w:val="22"/>
          <w:szCs w:val="22"/>
        </w:rPr>
      </w:pPr>
      <w:r>
        <w:rPr>
          <w:rFonts w:hint="eastAsia" w:hAnsi="宋体"/>
          <w:sz w:val="22"/>
          <w:szCs w:val="22"/>
        </w:rPr>
        <w:t>52.1先与质疑供应商进行沟通，以消除因误解或对采购规则和程序的不了解而引起的质疑。对沟通情况满意的，供应商撤回质疑，质疑处理程序终止。</w:t>
      </w:r>
    </w:p>
    <w:p w14:paraId="0A911549">
      <w:pPr>
        <w:tabs>
          <w:tab w:val="clear" w:pos="426"/>
        </w:tabs>
        <w:spacing w:line="360" w:lineRule="exact"/>
        <w:ind w:firstLine="440" w:firstLineChars="200"/>
        <w:rPr>
          <w:rFonts w:hint="eastAsia" w:hAnsi="宋体"/>
          <w:sz w:val="22"/>
          <w:szCs w:val="22"/>
        </w:rPr>
      </w:pPr>
      <w:r>
        <w:rPr>
          <w:rFonts w:hint="eastAsia" w:hAnsi="宋体"/>
          <w:sz w:val="22"/>
          <w:szCs w:val="22"/>
        </w:rPr>
        <w:t>52.2处理质疑一般进行书面审查；必要时听取各方当事人的陈述和申辩、进行相关调查；组织原评标委员会或谈判小组进行复议。</w:t>
      </w:r>
    </w:p>
    <w:p w14:paraId="7AEA3C4D">
      <w:pPr>
        <w:tabs>
          <w:tab w:val="clear" w:pos="426"/>
        </w:tabs>
        <w:spacing w:line="360" w:lineRule="exact"/>
        <w:ind w:firstLine="440" w:firstLineChars="200"/>
        <w:rPr>
          <w:rFonts w:hint="eastAsia" w:hAnsi="宋体"/>
          <w:sz w:val="22"/>
          <w:szCs w:val="22"/>
        </w:rPr>
      </w:pPr>
      <w:r>
        <w:rPr>
          <w:rFonts w:hint="eastAsia" w:hAnsi="宋体"/>
          <w:sz w:val="22"/>
          <w:szCs w:val="22"/>
        </w:rPr>
        <w:t>52.3在质疑处理期间，采购代理机构视情形决定暂停采购活动。</w:t>
      </w:r>
    </w:p>
    <w:p w14:paraId="07184B50">
      <w:pPr>
        <w:tabs>
          <w:tab w:val="clear" w:pos="426"/>
        </w:tabs>
        <w:spacing w:line="360" w:lineRule="exact"/>
        <w:ind w:firstLine="440" w:firstLineChars="200"/>
        <w:rPr>
          <w:rFonts w:hint="eastAsia" w:hAnsi="宋体"/>
          <w:sz w:val="22"/>
          <w:szCs w:val="22"/>
        </w:rPr>
      </w:pPr>
      <w:r>
        <w:rPr>
          <w:rFonts w:hint="eastAsia" w:hAnsi="宋体"/>
          <w:sz w:val="22"/>
          <w:szCs w:val="22"/>
        </w:rPr>
        <w:t>52.4采购代理机构原则上在质疑受理之日起7个工作日内书面答复质疑供应商。答复函以直接领取、传真或邮寄方式送达。</w:t>
      </w:r>
    </w:p>
    <w:p w14:paraId="4A0E00EC">
      <w:pPr>
        <w:tabs>
          <w:tab w:val="clear" w:pos="426"/>
        </w:tabs>
        <w:spacing w:line="360" w:lineRule="exact"/>
        <w:ind w:firstLine="440" w:firstLineChars="200"/>
        <w:rPr>
          <w:rFonts w:hint="eastAsia" w:hAnsi="宋体"/>
          <w:sz w:val="22"/>
          <w:szCs w:val="22"/>
        </w:rPr>
      </w:pPr>
      <w:r>
        <w:rPr>
          <w:rFonts w:hint="eastAsia" w:hAnsi="宋体"/>
          <w:sz w:val="22"/>
          <w:szCs w:val="22"/>
        </w:rPr>
        <w:t>52.5供应商向采购代理机构提出质疑后，在质疑处理期限内，不得同时向其他方面提起同一质疑。质疑供应商如已就同一事项提起投诉、提请行政复议或诉讼的，质疑程序终止。</w:t>
      </w:r>
    </w:p>
    <w:p w14:paraId="164634CE">
      <w:pPr>
        <w:tabs>
          <w:tab w:val="clear" w:pos="426"/>
        </w:tabs>
        <w:spacing w:line="360" w:lineRule="exact"/>
        <w:ind w:firstLine="440" w:firstLineChars="200"/>
        <w:rPr>
          <w:rFonts w:hint="eastAsia" w:hAnsi="宋体"/>
          <w:sz w:val="22"/>
          <w:szCs w:val="22"/>
        </w:rPr>
      </w:pPr>
      <w:r>
        <w:rPr>
          <w:rFonts w:hint="eastAsia" w:hAnsi="宋体"/>
          <w:sz w:val="22"/>
          <w:szCs w:val="22"/>
        </w:rPr>
        <w:t>53.相关责任与义务</w:t>
      </w:r>
    </w:p>
    <w:p w14:paraId="1E6478DD">
      <w:pPr>
        <w:tabs>
          <w:tab w:val="clear" w:pos="426"/>
        </w:tabs>
        <w:spacing w:line="360" w:lineRule="exact"/>
        <w:ind w:firstLine="440" w:firstLineChars="200"/>
        <w:rPr>
          <w:rFonts w:hint="eastAsia" w:hAnsi="宋体"/>
          <w:sz w:val="22"/>
          <w:szCs w:val="22"/>
        </w:rPr>
      </w:pPr>
      <w:r>
        <w:rPr>
          <w:rFonts w:hint="eastAsia" w:hAnsi="宋体"/>
          <w:sz w:val="22"/>
          <w:szCs w:val="22"/>
        </w:rPr>
        <w:t>53.1采购人、评标专家和相关供应商等当事人应积极配合采购代理机构进行质疑调查，如实反映情况，及时提供证明材料。</w:t>
      </w:r>
    </w:p>
    <w:p w14:paraId="0F7D6857">
      <w:pPr>
        <w:tabs>
          <w:tab w:val="clear" w:pos="426"/>
        </w:tabs>
        <w:spacing w:line="360" w:lineRule="exact"/>
        <w:ind w:firstLine="440" w:firstLineChars="200"/>
        <w:rPr>
          <w:rFonts w:hint="eastAsia" w:hAnsi="宋体"/>
          <w:sz w:val="22"/>
          <w:szCs w:val="22"/>
        </w:rPr>
      </w:pPr>
      <w:r>
        <w:rPr>
          <w:rFonts w:hint="eastAsia" w:hAnsi="宋体"/>
          <w:sz w:val="22"/>
          <w:szCs w:val="22"/>
        </w:rPr>
        <w:t>53.2质疑供应商有下列情形之一的，属于虚假、恶意质疑，采购代理机构将有权力将质疑供应商虚假、恶意质疑的行为上报相关监督管理部门，并视情节提请相关监督管理部门给予一定年限内禁止参与相关采购活动资格或其他处罚：</w:t>
      </w:r>
    </w:p>
    <w:p w14:paraId="591891F8">
      <w:pPr>
        <w:tabs>
          <w:tab w:val="clear" w:pos="426"/>
        </w:tabs>
        <w:spacing w:line="360" w:lineRule="exact"/>
        <w:ind w:firstLine="440" w:firstLineChars="200"/>
        <w:rPr>
          <w:rFonts w:hint="eastAsia" w:hAnsi="宋体"/>
          <w:sz w:val="22"/>
          <w:szCs w:val="22"/>
        </w:rPr>
      </w:pPr>
      <w:r>
        <w:rPr>
          <w:rFonts w:hint="eastAsia" w:hAnsi="宋体"/>
          <w:sz w:val="22"/>
          <w:szCs w:val="22"/>
        </w:rPr>
        <w:t>53.2.1捏造事实或提供虚假证明材料的；</w:t>
      </w:r>
    </w:p>
    <w:p w14:paraId="1EA4B20F">
      <w:pPr>
        <w:tabs>
          <w:tab w:val="clear" w:pos="426"/>
        </w:tabs>
        <w:spacing w:line="360" w:lineRule="exact"/>
        <w:ind w:firstLine="440" w:firstLineChars="200"/>
        <w:rPr>
          <w:rFonts w:hint="eastAsia" w:hAnsi="宋体"/>
          <w:sz w:val="22"/>
          <w:szCs w:val="22"/>
        </w:rPr>
      </w:pPr>
      <w:r>
        <w:rPr>
          <w:rFonts w:hint="eastAsia" w:hAnsi="宋体"/>
          <w:sz w:val="22"/>
          <w:szCs w:val="22"/>
        </w:rPr>
        <w:t>53.2.2假冒他人名义进行质疑的；</w:t>
      </w:r>
    </w:p>
    <w:p w14:paraId="2F4FB08F">
      <w:pPr>
        <w:tabs>
          <w:tab w:val="clear" w:pos="426"/>
        </w:tabs>
        <w:spacing w:line="360" w:lineRule="exact"/>
        <w:ind w:firstLine="440" w:firstLineChars="200"/>
        <w:rPr>
          <w:rFonts w:hint="eastAsia" w:hAnsi="宋体"/>
          <w:sz w:val="22"/>
          <w:szCs w:val="22"/>
        </w:rPr>
      </w:pPr>
      <w:r>
        <w:rPr>
          <w:rFonts w:hint="eastAsia" w:hAnsi="宋体"/>
          <w:sz w:val="22"/>
          <w:szCs w:val="22"/>
        </w:rPr>
        <w:t>53.2.3拒不配合进行有关调查、情节严重的。</w:t>
      </w:r>
    </w:p>
    <w:p w14:paraId="1F351FE3">
      <w:pPr>
        <w:tabs>
          <w:tab w:val="clear" w:pos="426"/>
        </w:tabs>
        <w:spacing w:line="360" w:lineRule="exact"/>
        <w:ind w:firstLine="440" w:firstLineChars="200"/>
        <w:rPr>
          <w:rFonts w:hint="eastAsia" w:hAnsi="宋体"/>
          <w:b/>
          <w:sz w:val="22"/>
          <w:szCs w:val="22"/>
        </w:rPr>
      </w:pPr>
      <w:r>
        <w:rPr>
          <w:rFonts w:hint="eastAsia" w:hAnsi="宋体"/>
          <w:sz w:val="22"/>
          <w:szCs w:val="22"/>
        </w:rPr>
        <w:t>54．</w:t>
      </w:r>
      <w:r>
        <w:rPr>
          <w:rFonts w:hint="eastAsia" w:hAnsi="宋体"/>
          <w:b/>
          <w:sz w:val="22"/>
          <w:szCs w:val="22"/>
        </w:rPr>
        <w:t>其他</w:t>
      </w:r>
    </w:p>
    <w:p w14:paraId="54151B4F">
      <w:pPr>
        <w:tabs>
          <w:tab w:val="clear" w:pos="426"/>
        </w:tabs>
        <w:spacing w:line="360" w:lineRule="exact"/>
        <w:ind w:firstLine="440" w:firstLineChars="200"/>
        <w:rPr>
          <w:rFonts w:hint="eastAsia" w:hAnsi="宋体"/>
          <w:sz w:val="22"/>
          <w:szCs w:val="22"/>
        </w:rPr>
      </w:pPr>
      <w:r>
        <w:rPr>
          <w:rFonts w:hint="eastAsia" w:hAnsi="宋体"/>
          <w:sz w:val="22"/>
          <w:szCs w:val="22"/>
        </w:rPr>
        <w:t>54.1  本招标文件的解释权归采购代理机构所有，采购代理机构在征得采购人或相关主管部门同意后，有权在法律允许范围内调整本次招标活动的细节及保留最终解释权。</w:t>
      </w:r>
    </w:p>
    <w:p w14:paraId="48C5895B">
      <w:pPr>
        <w:tabs>
          <w:tab w:val="clear" w:pos="426"/>
        </w:tabs>
        <w:spacing w:line="360" w:lineRule="exact"/>
        <w:ind w:firstLine="440" w:firstLineChars="200"/>
        <w:rPr>
          <w:rFonts w:hint="eastAsia" w:hAnsi="宋体"/>
          <w:sz w:val="22"/>
          <w:szCs w:val="22"/>
        </w:rPr>
      </w:pPr>
      <w:r>
        <w:rPr>
          <w:rFonts w:hint="eastAsia" w:hAnsi="宋体"/>
          <w:sz w:val="22"/>
          <w:szCs w:val="22"/>
        </w:rPr>
        <w:t>54.2 采购代理机构向投标供应商提供的资料和数据，是采购代理机构现有的能供投标供应商利用的资料，采购代理机构对投标供应商由此而作出的推论、理解和结论概不负责。</w:t>
      </w:r>
    </w:p>
    <w:p w14:paraId="5D3331DD">
      <w:pPr>
        <w:tabs>
          <w:tab w:val="clear" w:pos="426"/>
        </w:tabs>
        <w:spacing w:line="360" w:lineRule="exact"/>
        <w:ind w:firstLine="440" w:firstLineChars="200"/>
        <w:rPr>
          <w:rFonts w:hint="eastAsia" w:hAnsi="宋体"/>
          <w:sz w:val="22"/>
          <w:szCs w:val="22"/>
        </w:rPr>
      </w:pPr>
      <w:r>
        <w:rPr>
          <w:rFonts w:hint="eastAsia" w:hAnsi="宋体"/>
          <w:sz w:val="22"/>
          <w:szCs w:val="22"/>
        </w:rPr>
        <w:t>54.3 如果投标供应商实质上不符合投标资格，即使已购买招标文件、参加投标并缴纳各种费用，采购代理机构或采购人可以随时取消其投标或中标资格，采购代理机构或采购人对该投标供应商的一切损失概不责任。</w:t>
      </w:r>
    </w:p>
    <w:p w14:paraId="100CC1E8">
      <w:pPr>
        <w:tabs>
          <w:tab w:val="clear" w:pos="426"/>
        </w:tabs>
        <w:spacing w:line="360" w:lineRule="exact"/>
        <w:ind w:firstLine="440" w:firstLineChars="200"/>
        <w:rPr>
          <w:rFonts w:hint="eastAsia" w:hAnsi="宋体"/>
          <w:sz w:val="22"/>
          <w:szCs w:val="22"/>
        </w:rPr>
      </w:pPr>
      <w:r>
        <w:rPr>
          <w:rFonts w:hint="eastAsia" w:hAnsi="宋体"/>
          <w:sz w:val="22"/>
          <w:szCs w:val="22"/>
        </w:rPr>
        <w:t>54.4 中标无效的，发出的中标通知书和签订的合同自始没有法律约束力，但不影响合同中存在的有关解决争议方法的条款的效力。</w:t>
      </w:r>
    </w:p>
    <w:p w14:paraId="547793DB">
      <w:pPr>
        <w:tabs>
          <w:tab w:val="clear" w:pos="426"/>
        </w:tabs>
        <w:spacing w:line="360" w:lineRule="exact"/>
        <w:ind w:firstLine="440" w:firstLineChars="200"/>
        <w:rPr>
          <w:rFonts w:hint="eastAsia" w:hAnsi="宋体"/>
          <w:sz w:val="22"/>
          <w:szCs w:val="22"/>
        </w:rPr>
      </w:pPr>
      <w:r>
        <w:rPr>
          <w:rFonts w:hint="eastAsia" w:hAnsi="宋体"/>
          <w:sz w:val="22"/>
          <w:szCs w:val="22"/>
        </w:rPr>
        <w:t>54.5 本招标文件所有的附件与本招标文件具有同等效力。</w:t>
      </w:r>
    </w:p>
    <w:p w14:paraId="0A7029B4">
      <w:pPr>
        <w:tabs>
          <w:tab w:val="clear" w:pos="426"/>
        </w:tabs>
        <w:ind w:left="424" w:leftChars="202" w:firstLine="440" w:firstLineChars="200"/>
        <w:rPr>
          <w:sz w:val="22"/>
        </w:rPr>
      </w:pPr>
    </w:p>
    <w:sectPr>
      <w:headerReference r:id="rId8" w:type="first"/>
      <w:footerReference r:id="rId10" w:type="first"/>
      <w:headerReference r:id="rId7" w:type="default"/>
      <w:footerReference r:id="rId9" w:type="default"/>
      <w:pgSz w:w="11906" w:h="16838"/>
      <w:pgMar w:top="1134" w:right="1134" w:bottom="1134" w:left="1418" w:header="851" w:footer="992" w:gutter="0"/>
      <w:pgBorders>
        <w:top w:val="none" w:sz="0" w:space="0"/>
        <w:left w:val="none" w:sz="0" w:space="0"/>
        <w:bottom w:val="none" w:sz="0" w:space="0"/>
        <w:right w:val="none" w:sz="0" w:space="0"/>
      </w:pgBorders>
      <w:cols w:space="720" w:num="1"/>
      <w:titlePg/>
      <w:docGrid w:type="lines" w:linePitch="46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87F54C-69B4-47B3-BD08-8BD9FA9FEE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914922A-7C2F-4458-874E-7C6236B49641}"/>
  </w:font>
  <w:font w:name="Arial">
    <w:panose1 w:val="020B0604020202020204"/>
    <w:charset w:val="00"/>
    <w:family w:val="swiss"/>
    <w:pitch w:val="default"/>
    <w:sig w:usb0="E0002EFF" w:usb1="C000785B" w:usb2="00000009" w:usb3="00000000" w:csb0="400001FF" w:csb1="FFFF0000"/>
    <w:embedRegular r:id="rId3" w:fontKey="{5E0B9A96-C4F9-4C21-B6B0-01F3CE5BD005}"/>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Courier New">
    <w:panose1 w:val="02070309020205020404"/>
    <w:charset w:val="00"/>
    <w:family w:val="modern"/>
    <w:pitch w:val="default"/>
    <w:sig w:usb0="E0002EFF" w:usb1="C0007843" w:usb2="00000009" w:usb3="00000000" w:csb0="400001FF" w:csb1="FFFF0000"/>
  </w:font>
  <w:font w:name="长城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FEF21075-5401-4377-8DD8-48937CC15A21}"/>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embedRegular r:id="rId5" w:fontKey="{2A43397C-BB95-4BFB-AA76-F58879AFF3CA}"/>
  </w:font>
  <w:font w:name="微软雅黑">
    <w:panose1 w:val="020B0503020204020204"/>
    <w:charset w:val="86"/>
    <w:family w:val="swiss"/>
    <w:pitch w:val="default"/>
    <w:sig w:usb0="80000287" w:usb1="2ACF3C50" w:usb2="00000016" w:usb3="00000000" w:csb0="0004001F" w:csb1="00000000"/>
    <w:embedRegular r:id="rId6" w:fontKey="{73EA0F14-40EC-49AE-9C73-18349845F3CE}"/>
  </w:font>
  <w:font w:name="Helvetica">
    <w:altName w:val="Arial"/>
    <w:panose1 w:val="020B0604020202020204"/>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7" w:fontKey="{CE605512-B6B5-4E99-BA26-8CE8E0405506}"/>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华康简标题宋">
    <w:altName w:val="宋体"/>
    <w:panose1 w:val="00000000000000000000"/>
    <w:charset w:val="86"/>
    <w:family w:val="modern"/>
    <w:pitch w:val="default"/>
    <w:sig w:usb0="00000000" w:usb1="00000000" w:usb2="00000010" w:usb3="00000000" w:csb0="00040000" w:csb1="00000000"/>
  </w:font>
  <w:font w:name="微软雅黑 Light">
    <w:panose1 w:val="020B0502040204020203"/>
    <w:charset w:val="86"/>
    <w:family w:val="swiss"/>
    <w:pitch w:val="default"/>
    <w:sig w:usb0="80000287" w:usb1="2ACF0010" w:usb2="00000016" w:usb3="00000000" w:csb0="0004001F" w:csb1="00000000"/>
  </w:font>
  <w:font w:name="仿宋体">
    <w:altName w:val="宋体"/>
    <w:panose1 w:val="00000000000000000000"/>
    <w:charset w:val="86"/>
    <w:family w:val="roman"/>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0B704">
    <w:pPr>
      <w:pStyle w:val="54"/>
      <w:rPr>
        <w:rStyle w:val="90"/>
      </w:rPr>
    </w:pPr>
    <w:r>
      <w:rPr>
        <w:rStyle w:val="90"/>
      </w:rPr>
      <w:fldChar w:fldCharType="begin"/>
    </w:r>
    <w:r>
      <w:rPr>
        <w:rStyle w:val="90"/>
      </w:rPr>
      <w:instrText xml:space="preserve">PAGE  </w:instrText>
    </w:r>
    <w:r>
      <w:rPr>
        <w:rStyle w:val="90"/>
      </w:rPr>
      <w:fldChar w:fldCharType="separate"/>
    </w:r>
    <w:r>
      <w:rPr>
        <w:rStyle w:val="90"/>
      </w:rPr>
      <w:t>65</w:t>
    </w:r>
    <w:r>
      <w:rPr>
        <w:rStyle w:val="90"/>
      </w:rPr>
      <w:fldChar w:fldCharType="end"/>
    </w:r>
  </w:p>
  <w:p w14:paraId="2FD9D93D">
    <w:pPr>
      <w:pStyle w:val="5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8C97D">
    <w:pPr>
      <w:pStyle w:val="54"/>
      <w:tabs>
        <w:tab w:val="right" w:pos="9180"/>
        <w:tab w:val="clear" w:pos="426"/>
        <w:tab w:val="clear" w:pos="8306"/>
      </w:tabs>
      <w:ind w:left="-523" w:leftChars="-249" w:right="-868" w:firstLine="630" w:firstLineChars="300"/>
      <w:rPr>
        <w:rFonts w:hint="eastAsia" w:ascii="仿宋" w:hAnsi="仿宋" w:eastAsia="仿宋"/>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F172982">
                          <w:pPr>
                            <w:pStyle w:val="54"/>
                            <w:tabs>
                              <w:tab w:val="clear" w:pos="426"/>
                            </w:tabs>
                          </w:pPr>
                          <w:r>
                            <w:fldChar w:fldCharType="begin"/>
                          </w:r>
                          <w:r>
                            <w:instrText xml:space="preserve"> PAGE  \* MERGEFORMAT </w:instrText>
                          </w:r>
                          <w:r>
                            <w:fldChar w:fldCharType="separate"/>
                          </w:r>
                          <w:r>
                            <w:t>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0F172982">
                    <w:pPr>
                      <w:pStyle w:val="54"/>
                      <w:tabs>
                        <w:tab w:val="clear" w:pos="426"/>
                      </w:tabs>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ACA76">
    <w:pPr>
      <w:pStyle w:val="54"/>
      <w:jc w:val="center"/>
    </w:pPr>
    <w:r>
      <w:fldChar w:fldCharType="begin"/>
    </w:r>
    <w:r>
      <w:instrText xml:space="preserve">PAGE   \* MERGEFORMAT</w:instrText>
    </w:r>
    <w:r>
      <w:fldChar w:fldCharType="separate"/>
    </w:r>
    <w:r>
      <w:rPr>
        <w:lang w:val="zh-CN"/>
      </w:rPr>
      <w:t>32</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4C226">
    <w:pPr>
      <w:pStyle w:val="54"/>
      <w:jc w:val="center"/>
    </w:pPr>
    <w:r>
      <w:fldChar w:fldCharType="begin"/>
    </w:r>
    <w:r>
      <w:instrText xml:space="preserve"> PAGE   \* MERGEFORMAT </w:instrText>
    </w:r>
    <w:r>
      <w:fldChar w:fldCharType="separate"/>
    </w:r>
    <w:r>
      <w:rPr>
        <w:lang w:val="zh-CN"/>
      </w:rPr>
      <w:t>11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3A03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7DAA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9D3C3D"/>
    <w:multiLevelType w:val="multilevel"/>
    <w:tmpl w:val="9C9D3C3D"/>
    <w:lvl w:ilvl="0" w:tentative="0">
      <w:start w:val="1"/>
      <w:numFmt w:val="decimal"/>
      <w:pStyle w:val="156"/>
      <w:lvlText w:val="%1)"/>
      <w:lvlJc w:val="left"/>
      <w:pPr>
        <w:tabs>
          <w:tab w:val="left" w:pos="0"/>
        </w:tabs>
        <w:ind w:left="420" w:hanging="420"/>
      </w:pPr>
      <w:rPr>
        <w:rFonts w:hint="default"/>
      </w:rPr>
    </w:lvl>
    <w:lvl w:ilvl="1" w:tentative="0">
      <w:start w:val="1"/>
      <w:numFmt w:val="bullet"/>
      <w:lvlText w:val=""/>
      <w:lvlJc w:val="left"/>
      <w:pPr>
        <w:tabs>
          <w:tab w:val="left" w:pos="0"/>
        </w:tabs>
        <w:ind w:left="1260" w:hanging="420"/>
      </w:pPr>
      <w:rPr>
        <w:rFonts w:hint="default" w:ascii="Wingdings" w:hAnsi="Wingdings"/>
      </w:rPr>
    </w:lvl>
    <w:lvl w:ilvl="2" w:tentative="0">
      <w:start w:val="1"/>
      <w:numFmt w:val="bullet"/>
      <w:lvlText w:val=""/>
      <w:lvlJc w:val="left"/>
      <w:pPr>
        <w:tabs>
          <w:tab w:val="left" w:pos="0"/>
        </w:tabs>
        <w:ind w:left="1680" w:hanging="420"/>
      </w:pPr>
      <w:rPr>
        <w:rFonts w:hint="default" w:ascii="Wingdings" w:hAnsi="Wingdings"/>
      </w:rPr>
    </w:lvl>
    <w:lvl w:ilvl="3" w:tentative="0">
      <w:start w:val="1"/>
      <w:numFmt w:val="bullet"/>
      <w:lvlText w:val=""/>
      <w:lvlJc w:val="left"/>
      <w:pPr>
        <w:tabs>
          <w:tab w:val="left" w:pos="0"/>
        </w:tabs>
        <w:ind w:left="2100" w:hanging="420"/>
      </w:pPr>
      <w:rPr>
        <w:rFonts w:hint="default" w:ascii="Wingdings" w:hAnsi="Wingdings"/>
      </w:rPr>
    </w:lvl>
    <w:lvl w:ilvl="4" w:tentative="0">
      <w:start w:val="1"/>
      <w:numFmt w:val="bullet"/>
      <w:lvlText w:val=""/>
      <w:lvlJc w:val="left"/>
      <w:pPr>
        <w:tabs>
          <w:tab w:val="left" w:pos="0"/>
        </w:tabs>
        <w:ind w:left="2520" w:hanging="420"/>
      </w:pPr>
      <w:rPr>
        <w:rFonts w:hint="default" w:ascii="Wingdings" w:hAnsi="Wingdings"/>
      </w:rPr>
    </w:lvl>
    <w:lvl w:ilvl="5" w:tentative="0">
      <w:start w:val="1"/>
      <w:numFmt w:val="bullet"/>
      <w:lvlText w:val=""/>
      <w:lvlJc w:val="left"/>
      <w:pPr>
        <w:tabs>
          <w:tab w:val="left" w:pos="0"/>
        </w:tabs>
        <w:ind w:left="2940" w:hanging="420"/>
      </w:pPr>
      <w:rPr>
        <w:rFonts w:hint="default" w:ascii="Wingdings" w:hAnsi="Wingdings"/>
      </w:rPr>
    </w:lvl>
    <w:lvl w:ilvl="6" w:tentative="0">
      <w:start w:val="1"/>
      <w:numFmt w:val="bullet"/>
      <w:lvlText w:val=""/>
      <w:lvlJc w:val="left"/>
      <w:pPr>
        <w:tabs>
          <w:tab w:val="left" w:pos="0"/>
        </w:tabs>
        <w:ind w:left="3360" w:hanging="420"/>
      </w:pPr>
      <w:rPr>
        <w:rFonts w:hint="default" w:ascii="Wingdings" w:hAnsi="Wingdings"/>
      </w:rPr>
    </w:lvl>
    <w:lvl w:ilvl="7" w:tentative="0">
      <w:start w:val="1"/>
      <w:numFmt w:val="bullet"/>
      <w:lvlText w:val=""/>
      <w:lvlJc w:val="left"/>
      <w:pPr>
        <w:tabs>
          <w:tab w:val="left" w:pos="0"/>
        </w:tabs>
        <w:ind w:left="3780" w:hanging="420"/>
      </w:pPr>
      <w:rPr>
        <w:rFonts w:hint="default" w:ascii="Wingdings" w:hAnsi="Wingdings"/>
      </w:rPr>
    </w:lvl>
    <w:lvl w:ilvl="8" w:tentative="0">
      <w:start w:val="1"/>
      <w:numFmt w:val="bullet"/>
      <w:lvlText w:val=""/>
      <w:lvlJc w:val="left"/>
      <w:pPr>
        <w:tabs>
          <w:tab w:val="left" w:pos="0"/>
        </w:tabs>
        <w:ind w:left="4200" w:hanging="420"/>
      </w:pPr>
      <w:rPr>
        <w:rFonts w:hint="default" w:ascii="Wingdings" w:hAnsi="Wingdings"/>
      </w:rPr>
    </w:lvl>
  </w:abstractNum>
  <w:abstractNum w:abstractNumId="1">
    <w:nsid w:val="9DF148B3"/>
    <w:multiLevelType w:val="multilevel"/>
    <w:tmpl w:val="9DF148B3"/>
    <w:lvl w:ilvl="0" w:tentative="0">
      <w:start w:val="1"/>
      <w:numFmt w:val="chineseCountingThousand"/>
      <w:pStyle w:val="391"/>
      <w:suff w:val="space"/>
      <w:lvlText w:val="第%1章"/>
      <w:lvlJc w:val="left"/>
      <w:pPr>
        <w:tabs>
          <w:tab w:val="left" w:pos="0"/>
        </w:tabs>
        <w:ind w:left="284" w:hanging="284"/>
      </w:pPr>
      <w:rPr>
        <w:rFonts w:hint="eastAsia" w:ascii="黑体" w:hAnsi="黑体" w:eastAsia="黑体"/>
        <w:sz w:val="30"/>
      </w:rPr>
    </w:lvl>
    <w:lvl w:ilvl="1" w:tentative="0">
      <w:start w:val="1"/>
      <w:numFmt w:val="decimal"/>
      <w:isLgl/>
      <w:suff w:val="space"/>
      <w:lvlText w:val="%1.%2"/>
      <w:lvlJc w:val="left"/>
      <w:pPr>
        <w:tabs>
          <w:tab w:val="left" w:pos="0"/>
        </w:tabs>
        <w:ind w:left="284" w:hanging="284"/>
      </w:pPr>
      <w:rPr>
        <w:rFonts w:hint="eastAsia" w:ascii="黑体" w:hAnsi="黑体" w:eastAsia="黑体"/>
        <w:sz w:val="28"/>
      </w:rPr>
    </w:lvl>
    <w:lvl w:ilvl="2" w:tentative="0">
      <w:start w:val="1"/>
      <w:numFmt w:val="decimal"/>
      <w:isLgl/>
      <w:suff w:val="space"/>
      <w:lvlText w:val="%1.%2.%3"/>
      <w:lvlJc w:val="left"/>
      <w:pPr>
        <w:tabs>
          <w:tab w:val="left" w:pos="0"/>
        </w:tabs>
        <w:ind w:left="284" w:hanging="284"/>
      </w:pPr>
      <w:rPr>
        <w:rFonts w:hint="eastAsia" w:ascii="黑体" w:hAnsi="黑体" w:eastAsia="黑体"/>
        <w:sz w:val="26"/>
      </w:rPr>
    </w:lvl>
    <w:lvl w:ilvl="3" w:tentative="0">
      <w:start w:val="1"/>
      <w:numFmt w:val="decimal"/>
      <w:isLgl/>
      <w:suff w:val="space"/>
      <w:lvlText w:val="%1.%2.%3.%4"/>
      <w:lvlJc w:val="left"/>
      <w:pPr>
        <w:tabs>
          <w:tab w:val="left" w:pos="0"/>
        </w:tabs>
        <w:ind w:left="284" w:hanging="284"/>
      </w:pPr>
      <w:rPr>
        <w:rFonts w:hint="eastAsia" w:ascii="黑体" w:hAnsi="黑体" w:eastAsia="黑体"/>
        <w:sz w:val="24"/>
      </w:rPr>
    </w:lvl>
    <w:lvl w:ilvl="4" w:tentative="0">
      <w:start w:val="1"/>
      <w:numFmt w:val="none"/>
      <w:suff w:val="space"/>
      <w:lvlText w:val=""/>
      <w:lvlJc w:val="left"/>
      <w:pPr>
        <w:tabs>
          <w:tab w:val="left" w:pos="0"/>
        </w:tabs>
        <w:ind w:left="0" w:firstLine="0"/>
      </w:pPr>
      <w:rPr>
        <w:rFonts w:hint="eastAsia"/>
      </w:rPr>
    </w:lvl>
    <w:lvl w:ilvl="5" w:tentative="0">
      <w:start w:val="1"/>
      <w:numFmt w:val="none"/>
      <w:suff w:val="nothing"/>
      <w:lvlText w:val=""/>
      <w:lvlJc w:val="left"/>
      <w:pPr>
        <w:tabs>
          <w:tab w:val="left" w:pos="0"/>
        </w:tabs>
        <w:ind w:left="0" w:firstLine="0"/>
      </w:pPr>
      <w:rPr>
        <w:rFonts w:hint="eastAsia"/>
      </w:rPr>
    </w:lvl>
    <w:lvl w:ilvl="6" w:tentative="0">
      <w:start w:val="1"/>
      <w:numFmt w:val="none"/>
      <w:suff w:val="nothing"/>
      <w:lvlText w:val=""/>
      <w:lvlJc w:val="left"/>
      <w:pPr>
        <w:tabs>
          <w:tab w:val="left" w:pos="0"/>
        </w:tabs>
        <w:ind w:left="0" w:firstLine="0"/>
      </w:pPr>
      <w:rPr>
        <w:rFonts w:hint="eastAsia"/>
      </w:rPr>
    </w:lvl>
    <w:lvl w:ilvl="7" w:tentative="0">
      <w:start w:val="1"/>
      <w:numFmt w:val="none"/>
      <w:suff w:val="nothing"/>
      <w:lvlText w:val=""/>
      <w:lvlJc w:val="left"/>
      <w:pPr>
        <w:tabs>
          <w:tab w:val="left" w:pos="0"/>
        </w:tabs>
        <w:ind w:left="0" w:firstLine="0"/>
      </w:pPr>
      <w:rPr>
        <w:rFonts w:hint="eastAsia"/>
      </w:rPr>
    </w:lvl>
    <w:lvl w:ilvl="8" w:tentative="0">
      <w:start w:val="1"/>
      <w:numFmt w:val="none"/>
      <w:suff w:val="nothing"/>
      <w:lvlText w:val=""/>
      <w:lvlJc w:val="left"/>
      <w:pPr>
        <w:tabs>
          <w:tab w:val="left" w:pos="0"/>
        </w:tabs>
        <w:ind w:left="0" w:firstLine="0"/>
      </w:pPr>
      <w:rPr>
        <w:rFonts w:hint="eastAsia"/>
      </w:rPr>
    </w:lvl>
  </w:abstractNum>
  <w:abstractNum w:abstractNumId="2">
    <w:nsid w:val="9F175D3E"/>
    <w:multiLevelType w:val="multilevel"/>
    <w:tmpl w:val="9F175D3E"/>
    <w:lvl w:ilvl="0" w:tentative="0">
      <w:start w:val="1"/>
      <w:numFmt w:val="bullet"/>
      <w:pStyle w:val="175"/>
      <w:lvlText w:val=""/>
      <w:lvlJc w:val="left"/>
      <w:pPr>
        <w:tabs>
          <w:tab w:val="left" w:pos="0"/>
        </w:tabs>
        <w:ind w:left="420" w:hanging="420"/>
      </w:pPr>
      <w:rPr>
        <w:rFonts w:hint="default" w:ascii="Wingdings" w:hAnsi="Wingdings"/>
      </w:rPr>
    </w:lvl>
    <w:lvl w:ilvl="1" w:tentative="0">
      <w:start w:val="1"/>
      <w:numFmt w:val="bullet"/>
      <w:lvlText w:val=""/>
      <w:lvlJc w:val="left"/>
      <w:pPr>
        <w:tabs>
          <w:tab w:val="left" w:pos="0"/>
        </w:tabs>
        <w:ind w:left="840" w:hanging="420"/>
      </w:pPr>
      <w:rPr>
        <w:rFonts w:hint="default" w:ascii="Wingdings" w:hAnsi="Wingdings"/>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3">
    <w:nsid w:val="AC0D3E71"/>
    <w:multiLevelType w:val="multilevel"/>
    <w:tmpl w:val="AC0D3E71"/>
    <w:lvl w:ilvl="0" w:tentative="0">
      <w:start w:val="1"/>
      <w:numFmt w:val="chineseCountingThousand"/>
      <w:pStyle w:val="271"/>
      <w:lvlText w:val="第%1章"/>
      <w:lvlJc w:val="left"/>
      <w:pPr>
        <w:tabs>
          <w:tab w:val="left" w:pos="340"/>
        </w:tabs>
        <w:ind w:left="0" w:firstLine="0"/>
      </w:pPr>
      <w:rPr>
        <w:rFonts w:hint="eastAsia"/>
      </w:rPr>
    </w:lvl>
    <w:lvl w:ilvl="1" w:tentative="0">
      <w:start w:val="1"/>
      <w:numFmt w:val="decimal"/>
      <w:pStyle w:val="272"/>
      <w:isLgl/>
      <w:suff w:val="space"/>
      <w:lvlText w:val="%1.%2"/>
      <w:lvlJc w:val="left"/>
      <w:pPr>
        <w:tabs>
          <w:tab w:val="left" w:pos="0"/>
        </w:tabs>
        <w:ind w:left="0" w:firstLine="0"/>
      </w:pPr>
      <w:rPr>
        <w:rFonts w:hint="eastAsia"/>
      </w:rPr>
    </w:lvl>
    <w:lvl w:ilvl="2" w:tentative="0">
      <w:start w:val="1"/>
      <w:numFmt w:val="decimal"/>
      <w:pStyle w:val="273"/>
      <w:isLgl/>
      <w:suff w:val="space"/>
      <w:lvlText w:val="%1.%2.%3"/>
      <w:lvlJc w:val="left"/>
      <w:pPr>
        <w:tabs>
          <w:tab w:val="left" w:pos="0"/>
        </w:tabs>
        <w:ind w:left="0" w:firstLine="0"/>
      </w:pPr>
      <w:rPr>
        <w:rFonts w:hint="eastAsia"/>
      </w:rPr>
    </w:lvl>
    <w:lvl w:ilvl="3" w:tentative="0">
      <w:start w:val="1"/>
      <w:numFmt w:val="decimal"/>
      <w:pStyle w:val="274"/>
      <w:isLgl/>
      <w:suff w:val="space"/>
      <w:lvlText w:val="%1.%2.%3.%4"/>
      <w:lvlJc w:val="left"/>
      <w:pPr>
        <w:tabs>
          <w:tab w:val="left" w:pos="0"/>
        </w:tabs>
        <w:ind w:left="0" w:firstLine="0"/>
      </w:pPr>
      <w:rPr>
        <w:b w:val="0"/>
        <w:bCs w:val="0"/>
        <w:i w:val="0"/>
        <w:iCs w:val="0"/>
        <w:caps w:val="0"/>
        <w:smallCaps w:val="0"/>
        <w:strike w:val="0"/>
        <w:dstrike w:val="0"/>
        <w:vanish w:val="0"/>
        <w:color w:val="000000"/>
        <w:spacing w:val="0"/>
        <w:position w:val="0"/>
        <w:u w:val="none"/>
        <w:vertAlign w:val="baseline"/>
      </w:rPr>
    </w:lvl>
    <w:lvl w:ilvl="4" w:tentative="0">
      <w:start w:val="1"/>
      <w:numFmt w:val="decimal"/>
      <w:pStyle w:val="275"/>
      <w:isLgl/>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4">
    <w:nsid w:val="B150720D"/>
    <w:multiLevelType w:val="multilevel"/>
    <w:tmpl w:val="B150720D"/>
    <w:lvl w:ilvl="0" w:tentative="0">
      <w:start w:val="1"/>
      <w:numFmt w:val="bullet"/>
      <w:pStyle w:val="180"/>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B4E76765"/>
    <w:multiLevelType w:val="singleLevel"/>
    <w:tmpl w:val="B4E76765"/>
    <w:lvl w:ilvl="0" w:tentative="0">
      <w:start w:val="1"/>
      <w:numFmt w:val="decimal"/>
      <w:pStyle w:val="35"/>
      <w:lvlText w:val="%1."/>
      <w:lvlJc w:val="left"/>
      <w:pPr>
        <w:tabs>
          <w:tab w:val="left" w:pos="1200"/>
        </w:tabs>
        <w:ind w:left="1200" w:hanging="360"/>
      </w:pPr>
    </w:lvl>
  </w:abstractNum>
  <w:abstractNum w:abstractNumId="6">
    <w:nsid w:val="B5028AB8"/>
    <w:multiLevelType w:val="singleLevel"/>
    <w:tmpl w:val="B5028AB8"/>
    <w:lvl w:ilvl="0" w:tentative="0">
      <w:start w:val="1"/>
      <w:numFmt w:val="decimal"/>
      <w:suff w:val="nothing"/>
      <w:lvlText w:val="%1．"/>
      <w:lvlJc w:val="left"/>
      <w:pPr>
        <w:ind w:left="0" w:firstLine="0"/>
      </w:pPr>
      <w:rPr>
        <w:rFonts w:hint="default" w:ascii="宋体" w:hAnsi="宋体" w:cs="宋体"/>
        <w:sz w:val="22"/>
        <w:szCs w:val="22"/>
      </w:rPr>
    </w:lvl>
  </w:abstractNum>
  <w:abstractNum w:abstractNumId="7">
    <w:nsid w:val="B985D9C8"/>
    <w:multiLevelType w:val="multilevel"/>
    <w:tmpl w:val="B985D9C8"/>
    <w:lvl w:ilvl="0" w:tentative="0">
      <w:start w:val="1"/>
      <w:numFmt w:val="chineseCountingThousand"/>
      <w:pStyle w:val="183"/>
      <w:lvlText w:val="第%1章"/>
      <w:lvlJc w:val="left"/>
      <w:pPr>
        <w:tabs>
          <w:tab w:val="left" w:pos="1440"/>
        </w:tabs>
        <w:ind w:left="0" w:firstLine="0"/>
      </w:pPr>
      <w:rPr>
        <w:rFonts w:hint="eastAsia"/>
      </w:rPr>
    </w:lvl>
    <w:lvl w:ilvl="1" w:tentative="0">
      <w:start w:val="1"/>
      <w:numFmt w:val="decimal"/>
      <w:pStyle w:val="184"/>
      <w:isLgl/>
      <w:lvlText w:val="%1.%2"/>
      <w:lvlJc w:val="left"/>
      <w:pPr>
        <w:tabs>
          <w:tab w:val="left" w:pos="720"/>
        </w:tabs>
        <w:ind w:left="0" w:firstLine="0"/>
      </w:pPr>
      <w:rPr>
        <w:rFonts w:hint="eastAsia"/>
      </w:rPr>
    </w:lvl>
    <w:lvl w:ilvl="2" w:tentative="0">
      <w:start w:val="1"/>
      <w:numFmt w:val="decimal"/>
      <w:pStyle w:val="185"/>
      <w:isLgl/>
      <w:suff w:val="space"/>
      <w:lvlText w:val="%1.%2.%3"/>
      <w:lvlJc w:val="left"/>
      <w:pPr>
        <w:tabs>
          <w:tab w:val="left" w:pos="0"/>
        </w:tabs>
        <w:ind w:left="0" w:firstLine="0"/>
      </w:pPr>
      <w:rPr>
        <w:rFonts w:hint="eastAsia"/>
      </w:rPr>
    </w:lvl>
    <w:lvl w:ilvl="3" w:tentative="0">
      <w:start w:val="1"/>
      <w:numFmt w:val="decimal"/>
      <w:lvlText w:val=""/>
      <w:lvlJc w:val="left"/>
      <w:pPr>
        <w:tabs>
          <w:tab w:val="left" w:pos="360"/>
        </w:tabs>
        <w:ind w:left="0" w:firstLine="0"/>
      </w:pPr>
      <w:rPr>
        <w:rFonts w:hint="eastAsia"/>
      </w:rPr>
    </w:lvl>
    <w:lvl w:ilvl="4" w:tentative="0">
      <w:start w:val="1"/>
      <w:numFmt w:val="decimal"/>
      <w:lvlText w:val=""/>
      <w:lvlJc w:val="left"/>
      <w:pPr>
        <w:tabs>
          <w:tab w:val="left" w:pos="360"/>
        </w:tabs>
        <w:ind w:left="0" w:firstLine="0"/>
      </w:pPr>
      <w:rPr>
        <w:rFonts w:hint="eastAsia"/>
      </w:rPr>
    </w:lvl>
    <w:lvl w:ilvl="5" w:tentative="0">
      <w:start w:val="1"/>
      <w:numFmt w:val="decimal"/>
      <w:lvlText w:val=""/>
      <w:lvlJc w:val="left"/>
      <w:pPr>
        <w:tabs>
          <w:tab w:val="left" w:pos="360"/>
        </w:tabs>
        <w:ind w:left="0" w:firstLine="0"/>
      </w:pPr>
      <w:rPr>
        <w:rFonts w:hint="eastAsia"/>
      </w:rPr>
    </w:lvl>
    <w:lvl w:ilvl="6" w:tentative="0">
      <w:start w:val="1"/>
      <w:numFmt w:val="decimal"/>
      <w:lvlText w:val=""/>
      <w:lvlJc w:val="left"/>
      <w:pPr>
        <w:tabs>
          <w:tab w:val="left" w:pos="360"/>
        </w:tabs>
        <w:ind w:left="0" w:firstLine="0"/>
      </w:pPr>
      <w:rPr>
        <w:rFonts w:hint="eastAsia"/>
      </w:rPr>
    </w:lvl>
    <w:lvl w:ilvl="7" w:tentative="0">
      <w:start w:val="1"/>
      <w:numFmt w:val="decimal"/>
      <w:lvlText w:val=""/>
      <w:lvlJc w:val="left"/>
      <w:pPr>
        <w:tabs>
          <w:tab w:val="left" w:pos="360"/>
        </w:tabs>
        <w:ind w:left="0" w:firstLine="0"/>
      </w:pPr>
      <w:rPr>
        <w:rFonts w:hint="eastAsia"/>
      </w:rPr>
    </w:lvl>
    <w:lvl w:ilvl="8" w:tentative="0">
      <w:start w:val="1"/>
      <w:numFmt w:val="decimal"/>
      <w:lvlText w:val=""/>
      <w:lvlJc w:val="left"/>
      <w:pPr>
        <w:tabs>
          <w:tab w:val="left" w:pos="360"/>
        </w:tabs>
        <w:ind w:left="0" w:firstLine="0"/>
      </w:pPr>
      <w:rPr>
        <w:rFonts w:hint="eastAsia"/>
      </w:rPr>
    </w:lvl>
  </w:abstractNum>
  <w:abstractNum w:abstractNumId="8">
    <w:nsid w:val="B9B1C257"/>
    <w:multiLevelType w:val="multilevel"/>
    <w:tmpl w:val="B9B1C257"/>
    <w:lvl w:ilvl="0" w:tentative="0">
      <w:start w:val="1"/>
      <w:numFmt w:val="bullet"/>
      <w:lvlText w:val=""/>
      <w:lvlJc w:val="left"/>
      <w:pPr>
        <w:tabs>
          <w:tab w:val="left" w:pos="0"/>
        </w:tabs>
        <w:ind w:left="420" w:hanging="420"/>
      </w:pPr>
      <w:rPr>
        <w:rFonts w:hint="default" w:ascii="Wingdings" w:hAnsi="Wingdings"/>
      </w:rPr>
    </w:lvl>
    <w:lvl w:ilvl="1" w:tentative="0">
      <w:start w:val="1"/>
      <w:numFmt w:val="decimal"/>
      <w:pStyle w:val="290"/>
      <w:lvlText w:val="%2)"/>
      <w:lvlJc w:val="left"/>
      <w:pPr>
        <w:tabs>
          <w:tab w:val="left" w:pos="0"/>
        </w:tabs>
        <w:ind w:left="840" w:hanging="420"/>
      </w:pPr>
      <w:rPr>
        <w:rFonts w:hint="default"/>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9">
    <w:nsid w:val="C26D0BD1"/>
    <w:multiLevelType w:val="singleLevel"/>
    <w:tmpl w:val="C26D0BD1"/>
    <w:lvl w:ilvl="0" w:tentative="0">
      <w:start w:val="1"/>
      <w:numFmt w:val="bullet"/>
      <w:pStyle w:val="210"/>
      <w:lvlText w:val=""/>
      <w:lvlJc w:val="left"/>
      <w:pPr>
        <w:tabs>
          <w:tab w:val="left" w:pos="360"/>
        </w:tabs>
        <w:ind w:left="360" w:hanging="360"/>
      </w:pPr>
      <w:rPr>
        <w:rFonts w:hint="default" w:ascii="Wingdings" w:hAnsi="Wingdings"/>
      </w:rPr>
    </w:lvl>
  </w:abstractNum>
  <w:abstractNum w:abstractNumId="10">
    <w:nsid w:val="C4527E8E"/>
    <w:multiLevelType w:val="multilevel"/>
    <w:tmpl w:val="C4527E8E"/>
    <w:lvl w:ilvl="0" w:tentative="0">
      <w:start w:val="1"/>
      <w:numFmt w:val="decimal"/>
      <w:pStyle w:val="288"/>
      <w:lvlText w:val="%1)"/>
      <w:lvlJc w:val="left"/>
      <w:pPr>
        <w:tabs>
          <w:tab w:val="left" w:pos="0"/>
        </w:tabs>
        <w:ind w:left="420"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1">
    <w:nsid w:val="D04EF464"/>
    <w:multiLevelType w:val="multilevel"/>
    <w:tmpl w:val="D04EF464"/>
    <w:lvl w:ilvl="0" w:tentative="0">
      <w:start w:val="1"/>
      <w:numFmt w:val="decimal"/>
      <w:pStyle w:val="361"/>
      <w:suff w:val="nothing"/>
      <w:lvlText w:val="%1."/>
      <w:lvlJc w:val="left"/>
      <w:pPr>
        <w:tabs>
          <w:tab w:val="left" w:pos="0"/>
        </w:tabs>
        <w:ind w:left="180" w:firstLine="0"/>
      </w:pPr>
      <w:rPr>
        <w:rFonts w:hint="eastAsia" w:ascii="宋体" w:hAnsi="宋体" w:eastAsia="宋体"/>
        <w:b w:val="0"/>
        <w:i w:val="0"/>
        <w:caps w:val="0"/>
        <w:smallCaps w:val="0"/>
        <w:strike w:val="0"/>
        <w:dstrike w:val="0"/>
        <w:vanish w:val="0"/>
        <w:color w:val="000000"/>
        <w:spacing w:val="0"/>
        <w:position w:val="0"/>
        <w:sz w:val="24"/>
        <w:szCs w:val="24"/>
        <w:vertAlign w:val="baseline"/>
      </w:rPr>
    </w:lvl>
    <w:lvl w:ilvl="1" w:tentative="0">
      <w:start w:val="1"/>
      <w:numFmt w:val="decimal"/>
      <w:pStyle w:val="362"/>
      <w:suff w:val="nothing"/>
      <w:lvlText w:val="%1.%2"/>
      <w:lvlJc w:val="left"/>
      <w:pPr>
        <w:tabs>
          <w:tab w:val="left" w:pos="0"/>
        </w:tabs>
        <w:ind w:left="4736" w:hanging="3836"/>
      </w:pPr>
      <w:rPr>
        <w:rFonts w:hint="eastAsia" w:ascii="Times New Roman" w:hAnsi="Times New Roman" w:cs="Times New Roman"/>
        <w:b w:val="0"/>
        <w:bCs w:val="0"/>
        <w:i w:val="0"/>
        <w:iCs w:val="0"/>
        <w:caps w:val="0"/>
        <w:smallCaps w:val="0"/>
        <w:strike w:val="0"/>
        <w:dstrike w:val="0"/>
        <w:vanish w:val="0"/>
        <w:color w:val="000000"/>
        <w:spacing w:val="0"/>
        <w:position w:val="0"/>
        <w:sz w:val="24"/>
        <w:szCs w:val="24"/>
        <w:u w:val="none"/>
        <w:vertAlign w:val="baseline"/>
      </w:rPr>
    </w:lvl>
    <w:lvl w:ilvl="2" w:tentative="0">
      <w:start w:val="1"/>
      <w:numFmt w:val="decimal"/>
      <w:pStyle w:val="363"/>
      <w:suff w:val="nothing"/>
      <w:lvlText w:val="%3）"/>
      <w:lvlJc w:val="left"/>
      <w:pPr>
        <w:tabs>
          <w:tab w:val="left" w:pos="0"/>
        </w:tabs>
        <w:ind w:left="890" w:hanging="170"/>
      </w:pPr>
      <w:rPr>
        <w:b w:val="0"/>
        <w:i w:val="0"/>
        <w:strike w:val="0"/>
        <w:dstrike w:val="0"/>
        <w:color w:val="000000"/>
      </w:rPr>
    </w:lvl>
    <w:lvl w:ilvl="3" w:tentative="0">
      <w:start w:val="1"/>
      <w:numFmt w:val="decimal"/>
      <w:pStyle w:val="364"/>
      <w:suff w:val="nothing"/>
      <w:lvlText w:val="%1.%2.%3.%4"/>
      <w:lvlJc w:val="left"/>
      <w:pPr>
        <w:tabs>
          <w:tab w:val="left" w:pos="0"/>
        </w:tabs>
        <w:ind w:left="284" w:hanging="227"/>
      </w:pPr>
      <w:rPr>
        <w:rFonts w:hint="eastAsia"/>
        <w:b w:val="0"/>
        <w:i w:val="0"/>
      </w:rPr>
    </w:lvl>
    <w:lvl w:ilvl="4" w:tentative="0">
      <w:start w:val="1"/>
      <w:numFmt w:val="decimal"/>
      <w:pStyle w:val="365"/>
      <w:suff w:val="nothing"/>
      <w:lvlText w:val="%1.%2.%3.%4.%5"/>
      <w:lvlJc w:val="left"/>
      <w:pPr>
        <w:tabs>
          <w:tab w:val="left" w:pos="0"/>
        </w:tabs>
        <w:ind w:left="397" w:hanging="340"/>
      </w:pPr>
      <w:rPr>
        <w:rFonts w:hint="eastAsia" w:ascii="宋体" w:hAnsi="宋体" w:eastAsia="宋体"/>
        <w:b w:val="0"/>
        <w:i w:val="0"/>
        <w:caps w:val="0"/>
        <w:small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abstractNum w:abstractNumId="12">
    <w:nsid w:val="D3185048"/>
    <w:multiLevelType w:val="multilevel"/>
    <w:tmpl w:val="D3185048"/>
    <w:lvl w:ilvl="0" w:tentative="0">
      <w:start w:val="1"/>
      <w:numFmt w:val="decimal"/>
      <w:pStyle w:val="266"/>
      <w:suff w:val="space"/>
      <w:lvlText w:val="%1"/>
      <w:lvlJc w:val="left"/>
      <w:pPr>
        <w:tabs>
          <w:tab w:val="left" w:pos="0"/>
        </w:tabs>
        <w:ind w:left="0" w:firstLine="0"/>
      </w:pPr>
      <w:rPr>
        <w:rFonts w:hint="eastAsia"/>
      </w:rPr>
    </w:lvl>
    <w:lvl w:ilvl="1" w:tentative="0">
      <w:start w:val="1"/>
      <w:numFmt w:val="decimal"/>
      <w:pStyle w:val="267"/>
      <w:suff w:val="space"/>
      <w:lvlText w:val="%1.%2"/>
      <w:lvlJc w:val="left"/>
      <w:pPr>
        <w:tabs>
          <w:tab w:val="left" w:pos="0"/>
        </w:tabs>
        <w:ind w:left="0" w:firstLine="0"/>
      </w:pPr>
      <w:rPr>
        <w:rFonts w:hint="eastAsia"/>
      </w:rPr>
    </w:lvl>
    <w:lvl w:ilvl="2" w:tentative="0">
      <w:start w:val="1"/>
      <w:numFmt w:val="decimal"/>
      <w:pStyle w:val="268"/>
      <w:suff w:val="space"/>
      <w:lvlText w:val="%1.%2.%3"/>
      <w:lvlJc w:val="left"/>
      <w:pPr>
        <w:tabs>
          <w:tab w:val="left" w:pos="0"/>
        </w:tabs>
        <w:ind w:left="0" w:firstLine="0"/>
      </w:pPr>
      <w:rPr>
        <w:rFonts w:hint="eastAsia"/>
      </w:rPr>
    </w:lvl>
    <w:lvl w:ilvl="3" w:tentative="0">
      <w:start w:val="1"/>
      <w:numFmt w:val="decimal"/>
      <w:pStyle w:val="269"/>
      <w:suff w:val="space"/>
      <w:lvlText w:val="%1.%2.%3.%4"/>
      <w:lvlJc w:val="left"/>
      <w:pPr>
        <w:tabs>
          <w:tab w:val="left" w:pos="0"/>
        </w:tabs>
        <w:ind w:left="0" w:firstLine="0"/>
      </w:pPr>
      <w:rPr>
        <w:rFonts w:hint="eastAsia"/>
      </w:rPr>
    </w:lvl>
    <w:lvl w:ilvl="4" w:tentative="0">
      <w:start w:val="1"/>
      <w:numFmt w:val="decimal"/>
      <w:pStyle w:val="270"/>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3">
    <w:nsid w:val="DCA6C445"/>
    <w:multiLevelType w:val="multilevel"/>
    <w:tmpl w:val="DCA6C445"/>
    <w:lvl w:ilvl="0" w:tentative="0">
      <w:start w:val="1"/>
      <w:numFmt w:val="decimal"/>
      <w:pStyle w:val="278"/>
      <w:lvlText w:val="%1)"/>
      <w:lvlJc w:val="left"/>
      <w:pPr>
        <w:tabs>
          <w:tab w:val="left" w:pos="0"/>
        </w:tabs>
        <w:ind w:left="620" w:hanging="420"/>
      </w:pPr>
    </w:lvl>
    <w:lvl w:ilvl="1" w:tentative="0">
      <w:start w:val="1"/>
      <w:numFmt w:val="lowerLetter"/>
      <w:lvlText w:val="%2)"/>
      <w:lvlJc w:val="left"/>
      <w:pPr>
        <w:tabs>
          <w:tab w:val="left" w:pos="0"/>
        </w:tabs>
        <w:ind w:left="1040" w:hanging="420"/>
      </w:pPr>
    </w:lvl>
    <w:lvl w:ilvl="2" w:tentative="0">
      <w:start w:val="1"/>
      <w:numFmt w:val="lowerRoman"/>
      <w:lvlText w:val="%3."/>
      <w:lvlJc w:val="right"/>
      <w:pPr>
        <w:tabs>
          <w:tab w:val="left" w:pos="0"/>
        </w:tabs>
        <w:ind w:left="1460" w:hanging="420"/>
      </w:pPr>
    </w:lvl>
    <w:lvl w:ilvl="3" w:tentative="0">
      <w:start w:val="1"/>
      <w:numFmt w:val="decimal"/>
      <w:lvlText w:val="%4."/>
      <w:lvlJc w:val="left"/>
      <w:pPr>
        <w:tabs>
          <w:tab w:val="left" w:pos="0"/>
        </w:tabs>
        <w:ind w:left="1880" w:hanging="420"/>
      </w:pPr>
    </w:lvl>
    <w:lvl w:ilvl="4" w:tentative="0">
      <w:start w:val="1"/>
      <w:numFmt w:val="lowerLetter"/>
      <w:lvlText w:val="%5)"/>
      <w:lvlJc w:val="left"/>
      <w:pPr>
        <w:tabs>
          <w:tab w:val="left" w:pos="0"/>
        </w:tabs>
        <w:ind w:left="2300" w:hanging="420"/>
      </w:pPr>
    </w:lvl>
    <w:lvl w:ilvl="5" w:tentative="0">
      <w:start w:val="1"/>
      <w:numFmt w:val="lowerRoman"/>
      <w:lvlText w:val="%6."/>
      <w:lvlJc w:val="right"/>
      <w:pPr>
        <w:tabs>
          <w:tab w:val="left" w:pos="0"/>
        </w:tabs>
        <w:ind w:left="2720" w:hanging="420"/>
      </w:pPr>
    </w:lvl>
    <w:lvl w:ilvl="6" w:tentative="0">
      <w:start w:val="1"/>
      <w:numFmt w:val="decimal"/>
      <w:lvlText w:val="%7."/>
      <w:lvlJc w:val="left"/>
      <w:pPr>
        <w:tabs>
          <w:tab w:val="left" w:pos="0"/>
        </w:tabs>
        <w:ind w:left="3140" w:hanging="420"/>
      </w:pPr>
    </w:lvl>
    <w:lvl w:ilvl="7" w:tentative="0">
      <w:start w:val="1"/>
      <w:numFmt w:val="lowerLetter"/>
      <w:lvlText w:val="%8)"/>
      <w:lvlJc w:val="left"/>
      <w:pPr>
        <w:tabs>
          <w:tab w:val="left" w:pos="0"/>
        </w:tabs>
        <w:ind w:left="3560" w:hanging="420"/>
      </w:pPr>
    </w:lvl>
    <w:lvl w:ilvl="8" w:tentative="0">
      <w:start w:val="1"/>
      <w:numFmt w:val="lowerRoman"/>
      <w:lvlText w:val="%9."/>
      <w:lvlJc w:val="right"/>
      <w:pPr>
        <w:tabs>
          <w:tab w:val="left" w:pos="0"/>
        </w:tabs>
        <w:ind w:left="3980" w:hanging="420"/>
      </w:pPr>
    </w:lvl>
  </w:abstractNum>
  <w:abstractNum w:abstractNumId="14">
    <w:nsid w:val="E4C626FC"/>
    <w:multiLevelType w:val="singleLevel"/>
    <w:tmpl w:val="E4C626FC"/>
    <w:lvl w:ilvl="0" w:tentative="0">
      <w:start w:val="1"/>
      <w:numFmt w:val="decimal"/>
      <w:pStyle w:val="46"/>
      <w:lvlText w:val="%1."/>
      <w:lvlJc w:val="left"/>
      <w:pPr>
        <w:tabs>
          <w:tab w:val="left" w:pos="1620"/>
        </w:tabs>
        <w:ind w:left="1620" w:hanging="360"/>
      </w:pPr>
    </w:lvl>
  </w:abstractNum>
  <w:abstractNum w:abstractNumId="15">
    <w:nsid w:val="00000004"/>
    <w:multiLevelType w:val="multilevel"/>
    <w:tmpl w:val="00000004"/>
    <w:lvl w:ilvl="0" w:tentative="0">
      <w:start w:val="1"/>
      <w:numFmt w:val="decimal"/>
      <w:lvlText w:val="%1."/>
      <w:lvlJc w:val="left"/>
      <w:pPr>
        <w:tabs>
          <w:tab w:val="left" w:pos="0"/>
        </w:tabs>
        <w:ind w:left="0" w:firstLine="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5"/>
      <w:lvlText w:val="%4."/>
      <w:lvlJc w:val="left"/>
      <w:pPr>
        <w:tabs>
          <w:tab w:val="left" w:pos="1680"/>
        </w:tabs>
        <w:ind w:left="1680" w:hanging="420"/>
      </w:pPr>
    </w:lvl>
    <w:lvl w:ilvl="4" w:tentative="0">
      <w:start w:val="1"/>
      <w:numFmt w:val="lowerLetter"/>
      <w:pStyle w:val="6"/>
      <w:lvlText w:val="%5)"/>
      <w:lvlJc w:val="left"/>
      <w:pPr>
        <w:tabs>
          <w:tab w:val="left" w:pos="2100"/>
        </w:tabs>
        <w:ind w:left="2100" w:hanging="420"/>
      </w:pPr>
    </w:lvl>
    <w:lvl w:ilvl="5" w:tentative="0">
      <w:start w:val="1"/>
      <w:numFmt w:val="lowerRoman"/>
      <w:pStyle w:val="8"/>
      <w:lvlText w:val="%6."/>
      <w:lvlJc w:val="right"/>
      <w:pPr>
        <w:tabs>
          <w:tab w:val="left" w:pos="2520"/>
        </w:tabs>
        <w:ind w:left="2520" w:hanging="420"/>
      </w:pPr>
    </w:lvl>
    <w:lvl w:ilvl="6" w:tentative="0">
      <w:start w:val="1"/>
      <w:numFmt w:val="decimal"/>
      <w:pStyle w:val="9"/>
      <w:lvlText w:val="%7."/>
      <w:lvlJc w:val="left"/>
      <w:pPr>
        <w:tabs>
          <w:tab w:val="left" w:pos="2940"/>
        </w:tabs>
        <w:ind w:left="2940" w:hanging="420"/>
      </w:pPr>
    </w:lvl>
    <w:lvl w:ilvl="7" w:tentative="0">
      <w:start w:val="1"/>
      <w:numFmt w:val="lowerLetter"/>
      <w:pStyle w:val="10"/>
      <w:lvlText w:val="%8)"/>
      <w:lvlJc w:val="left"/>
      <w:pPr>
        <w:tabs>
          <w:tab w:val="left" w:pos="3360"/>
        </w:tabs>
        <w:ind w:left="3360" w:hanging="420"/>
      </w:pPr>
    </w:lvl>
    <w:lvl w:ilvl="8" w:tentative="0">
      <w:start w:val="1"/>
      <w:numFmt w:val="lowerRoman"/>
      <w:pStyle w:val="11"/>
      <w:lvlText w:val="%9."/>
      <w:lvlJc w:val="right"/>
      <w:pPr>
        <w:tabs>
          <w:tab w:val="left" w:pos="3780"/>
        </w:tabs>
        <w:ind w:left="3780" w:hanging="420"/>
      </w:pPr>
    </w:lvl>
  </w:abstractNum>
  <w:abstractNum w:abstractNumId="16">
    <w:nsid w:val="0000000F"/>
    <w:multiLevelType w:val="multilevel"/>
    <w:tmpl w:val="0000000F"/>
    <w:lvl w:ilvl="0" w:tentative="0">
      <w:start w:val="0"/>
      <w:numFmt w:val="decimal"/>
      <w:pStyle w:val="530"/>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053BEEC5"/>
    <w:multiLevelType w:val="multilevel"/>
    <w:tmpl w:val="053BEEC5"/>
    <w:lvl w:ilvl="0" w:tentative="0">
      <w:start w:val="1"/>
      <w:numFmt w:val="chineseCountingThousand"/>
      <w:pStyle w:val="153"/>
      <w:lvlText w:val="第%1章"/>
      <w:lvlJc w:val="left"/>
      <w:pPr>
        <w:tabs>
          <w:tab w:val="left" w:pos="0"/>
        </w:tabs>
        <w:ind w:left="420" w:hanging="420"/>
      </w:pPr>
      <w:rPr>
        <w:rFonts w:hint="eastAsia"/>
      </w:rPr>
    </w:lvl>
    <w:lvl w:ilvl="1" w:tentative="0">
      <w:start w:val="1"/>
      <w:numFmt w:val="decimal"/>
      <w:lvlText w:val="1.%2"/>
      <w:lvlJc w:val="left"/>
      <w:pPr>
        <w:tabs>
          <w:tab w:val="left" w:pos="0"/>
        </w:tabs>
        <w:ind w:left="420" w:hanging="420"/>
      </w:pPr>
      <w:rPr>
        <w:rFonts w:hint="default" w:ascii="Calibri Light" w:hAnsi="Calibri Light" w:eastAsia="宋体" w:cs="Calibri"/>
        <w:sz w:val="32"/>
        <w:szCs w:val="32"/>
      </w:rPr>
    </w:lvl>
    <w:lvl w:ilvl="2" w:tentative="0">
      <w:start w:val="1"/>
      <w:numFmt w:val="decimal"/>
      <w:lvlText w:val="1.1.%3"/>
      <w:lvlJc w:val="left"/>
      <w:pPr>
        <w:tabs>
          <w:tab w:val="left" w:pos="0"/>
        </w:tabs>
        <w:ind w:left="420" w:firstLine="147"/>
      </w:pPr>
      <w:rPr>
        <w:rFonts w:hint="eastAsia"/>
      </w:r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8">
    <w:nsid w:val="0AE64B02"/>
    <w:multiLevelType w:val="multilevel"/>
    <w:tmpl w:val="0AE64B02"/>
    <w:lvl w:ilvl="0" w:tentative="0">
      <w:start w:val="1"/>
      <w:numFmt w:val="decimal"/>
      <w:pStyle w:val="151"/>
      <w:lvlText w:val="图4-%1."/>
      <w:lvlJc w:val="center"/>
      <w:pPr>
        <w:tabs>
          <w:tab w:val="left" w:pos="737"/>
        </w:tabs>
        <w:ind w:left="737" w:hanging="449"/>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1235B5CB"/>
    <w:multiLevelType w:val="multilevel"/>
    <w:tmpl w:val="1235B5CB"/>
    <w:lvl w:ilvl="0" w:tentative="0">
      <w:start w:val="1"/>
      <w:numFmt w:val="bullet"/>
      <w:pStyle w:val="260"/>
      <w:lvlText w:val=""/>
      <w:lvlJc w:val="left"/>
      <w:pPr>
        <w:tabs>
          <w:tab w:val="left" w:pos="0"/>
        </w:tabs>
        <w:ind w:left="900" w:hanging="420"/>
      </w:pPr>
      <w:rPr>
        <w:rFonts w:hint="default" w:ascii="Wingdings" w:hAnsi="Wingdings"/>
      </w:rPr>
    </w:lvl>
    <w:lvl w:ilvl="1" w:tentative="0">
      <w:start w:val="1"/>
      <w:numFmt w:val="bullet"/>
      <w:lvlText w:val=""/>
      <w:lvlJc w:val="left"/>
      <w:pPr>
        <w:tabs>
          <w:tab w:val="left" w:pos="0"/>
        </w:tabs>
        <w:ind w:left="1320" w:hanging="420"/>
      </w:pPr>
      <w:rPr>
        <w:rFonts w:hint="default" w:ascii="Wingdings" w:hAnsi="Wingdings"/>
      </w:rPr>
    </w:lvl>
    <w:lvl w:ilvl="2" w:tentative="0">
      <w:start w:val="1"/>
      <w:numFmt w:val="bullet"/>
      <w:lvlText w:val=""/>
      <w:lvlJc w:val="left"/>
      <w:pPr>
        <w:tabs>
          <w:tab w:val="left" w:pos="0"/>
        </w:tabs>
        <w:ind w:left="1740" w:hanging="420"/>
      </w:pPr>
      <w:rPr>
        <w:rFonts w:hint="default" w:ascii="Wingdings" w:hAnsi="Wingdings"/>
      </w:rPr>
    </w:lvl>
    <w:lvl w:ilvl="3" w:tentative="0">
      <w:start w:val="1"/>
      <w:numFmt w:val="bullet"/>
      <w:lvlText w:val=""/>
      <w:lvlJc w:val="left"/>
      <w:pPr>
        <w:tabs>
          <w:tab w:val="left" w:pos="0"/>
        </w:tabs>
        <w:ind w:left="2160" w:hanging="420"/>
      </w:pPr>
      <w:rPr>
        <w:rFonts w:hint="default" w:ascii="Wingdings" w:hAnsi="Wingdings"/>
      </w:rPr>
    </w:lvl>
    <w:lvl w:ilvl="4" w:tentative="0">
      <w:start w:val="1"/>
      <w:numFmt w:val="bullet"/>
      <w:lvlText w:val=""/>
      <w:lvlJc w:val="left"/>
      <w:pPr>
        <w:tabs>
          <w:tab w:val="left" w:pos="0"/>
        </w:tabs>
        <w:ind w:left="2580" w:hanging="420"/>
      </w:pPr>
      <w:rPr>
        <w:rFonts w:hint="default" w:ascii="Wingdings" w:hAnsi="Wingdings"/>
      </w:rPr>
    </w:lvl>
    <w:lvl w:ilvl="5" w:tentative="0">
      <w:start w:val="1"/>
      <w:numFmt w:val="bullet"/>
      <w:lvlText w:val=""/>
      <w:lvlJc w:val="left"/>
      <w:pPr>
        <w:tabs>
          <w:tab w:val="left" w:pos="0"/>
        </w:tabs>
        <w:ind w:left="3000" w:hanging="420"/>
      </w:pPr>
      <w:rPr>
        <w:rFonts w:hint="default" w:ascii="Wingdings" w:hAnsi="Wingdings"/>
      </w:rPr>
    </w:lvl>
    <w:lvl w:ilvl="6" w:tentative="0">
      <w:start w:val="1"/>
      <w:numFmt w:val="bullet"/>
      <w:lvlText w:val=""/>
      <w:lvlJc w:val="left"/>
      <w:pPr>
        <w:tabs>
          <w:tab w:val="left" w:pos="0"/>
        </w:tabs>
        <w:ind w:left="3420" w:hanging="420"/>
      </w:pPr>
      <w:rPr>
        <w:rFonts w:hint="default" w:ascii="Wingdings" w:hAnsi="Wingdings"/>
      </w:rPr>
    </w:lvl>
    <w:lvl w:ilvl="7" w:tentative="0">
      <w:start w:val="1"/>
      <w:numFmt w:val="bullet"/>
      <w:lvlText w:val=""/>
      <w:lvlJc w:val="left"/>
      <w:pPr>
        <w:tabs>
          <w:tab w:val="left" w:pos="0"/>
        </w:tabs>
        <w:ind w:left="3840" w:hanging="420"/>
      </w:pPr>
      <w:rPr>
        <w:rFonts w:hint="default" w:ascii="Wingdings" w:hAnsi="Wingdings"/>
      </w:rPr>
    </w:lvl>
    <w:lvl w:ilvl="8" w:tentative="0">
      <w:start w:val="1"/>
      <w:numFmt w:val="bullet"/>
      <w:lvlText w:val=""/>
      <w:lvlJc w:val="left"/>
      <w:pPr>
        <w:tabs>
          <w:tab w:val="left" w:pos="0"/>
        </w:tabs>
        <w:ind w:left="4260" w:hanging="420"/>
      </w:pPr>
      <w:rPr>
        <w:rFonts w:hint="default" w:ascii="Wingdings" w:hAnsi="Wingdings"/>
      </w:rPr>
    </w:lvl>
  </w:abstractNum>
  <w:abstractNum w:abstractNumId="20">
    <w:nsid w:val="15E07CC4"/>
    <w:multiLevelType w:val="singleLevel"/>
    <w:tmpl w:val="15E07CC4"/>
    <w:lvl w:ilvl="0" w:tentative="0">
      <w:start w:val="2"/>
      <w:numFmt w:val="decimal"/>
      <w:suff w:val="nothing"/>
      <w:lvlText w:val="（%1）"/>
      <w:lvlJc w:val="left"/>
    </w:lvl>
  </w:abstractNum>
  <w:abstractNum w:abstractNumId="21">
    <w:nsid w:val="1EC1F55B"/>
    <w:multiLevelType w:val="multilevel"/>
    <w:tmpl w:val="1EC1F55B"/>
    <w:lvl w:ilvl="0" w:tentative="0">
      <w:start w:val="5"/>
      <w:numFmt w:val="decimal"/>
      <w:lvlText w:val="%1"/>
      <w:lvlJc w:val="left"/>
      <w:pPr>
        <w:tabs>
          <w:tab w:val="left" w:pos="425"/>
        </w:tabs>
        <w:ind w:left="425" w:hanging="425"/>
      </w:pPr>
      <w:rPr>
        <w:rFonts w:hint="eastAsia"/>
      </w:rPr>
    </w:lvl>
    <w:lvl w:ilvl="1" w:tentative="0">
      <w:start w:val="1"/>
      <w:numFmt w:val="decimal"/>
      <w:pStyle w:val="150"/>
      <w:lvlText w:val="%1.%2"/>
      <w:lvlJc w:val="left"/>
      <w:pPr>
        <w:tabs>
          <w:tab w:val="left" w:pos="510"/>
        </w:tabs>
        <w:ind w:left="420" w:hanging="420"/>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2">
    <w:nsid w:val="226B47A1"/>
    <w:multiLevelType w:val="multilevel"/>
    <w:tmpl w:val="226B47A1"/>
    <w:lvl w:ilvl="0" w:tentative="0">
      <w:start w:val="1"/>
      <w:numFmt w:val="decimal"/>
      <w:pStyle w:val="187"/>
      <w:lvlText w:val="%1."/>
      <w:lvlJc w:val="left"/>
      <w:pPr>
        <w:tabs>
          <w:tab w:val="left" w:pos="900"/>
        </w:tabs>
        <w:ind w:left="9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28FE580F"/>
    <w:multiLevelType w:val="singleLevel"/>
    <w:tmpl w:val="28FE580F"/>
    <w:lvl w:ilvl="0" w:tentative="0">
      <w:start w:val="1"/>
      <w:numFmt w:val="decimal"/>
      <w:pStyle w:val="63"/>
      <w:lvlText w:val="%1."/>
      <w:lvlJc w:val="left"/>
      <w:pPr>
        <w:tabs>
          <w:tab w:val="left" w:pos="2040"/>
        </w:tabs>
        <w:ind w:left="2040" w:hanging="360"/>
      </w:pPr>
    </w:lvl>
  </w:abstractNum>
  <w:abstractNum w:abstractNumId="24">
    <w:nsid w:val="2D4C6A2F"/>
    <w:multiLevelType w:val="singleLevel"/>
    <w:tmpl w:val="2D4C6A2F"/>
    <w:lvl w:ilvl="0" w:tentative="0">
      <w:start w:val="1"/>
      <w:numFmt w:val="bullet"/>
      <w:pStyle w:val="31"/>
      <w:lvlText w:val=""/>
      <w:lvlJc w:val="left"/>
      <w:pPr>
        <w:tabs>
          <w:tab w:val="left" w:pos="1200"/>
        </w:tabs>
        <w:ind w:left="1200" w:hanging="360"/>
      </w:pPr>
      <w:rPr>
        <w:rFonts w:hint="default" w:ascii="Wingdings" w:hAnsi="Wingdings"/>
      </w:rPr>
    </w:lvl>
  </w:abstractNum>
  <w:abstractNum w:abstractNumId="25">
    <w:nsid w:val="404F81CC"/>
    <w:multiLevelType w:val="singleLevel"/>
    <w:tmpl w:val="404F81CC"/>
    <w:lvl w:ilvl="0" w:tentative="0">
      <w:start w:val="1"/>
      <w:numFmt w:val="decimal"/>
      <w:pStyle w:val="19"/>
      <w:lvlText w:val="%1."/>
      <w:lvlJc w:val="left"/>
      <w:pPr>
        <w:tabs>
          <w:tab w:val="left" w:pos="360"/>
        </w:tabs>
        <w:ind w:left="360" w:hanging="360"/>
      </w:pPr>
    </w:lvl>
  </w:abstractNum>
  <w:abstractNum w:abstractNumId="26">
    <w:nsid w:val="499CB997"/>
    <w:multiLevelType w:val="singleLevel"/>
    <w:tmpl w:val="499CB997"/>
    <w:lvl w:ilvl="0" w:tentative="0">
      <w:start w:val="1"/>
      <w:numFmt w:val="bullet"/>
      <w:pStyle w:val="16"/>
      <w:lvlText w:val=""/>
      <w:lvlJc w:val="left"/>
      <w:pPr>
        <w:tabs>
          <w:tab w:val="left" w:pos="1620"/>
        </w:tabs>
        <w:ind w:left="1620" w:hanging="360"/>
      </w:pPr>
      <w:rPr>
        <w:rFonts w:hint="default" w:ascii="Wingdings" w:hAnsi="Wingdings"/>
      </w:rPr>
    </w:lvl>
  </w:abstractNum>
  <w:abstractNum w:abstractNumId="27">
    <w:nsid w:val="4C296137"/>
    <w:multiLevelType w:val="singleLevel"/>
    <w:tmpl w:val="4C296137"/>
    <w:lvl w:ilvl="0" w:tentative="0">
      <w:start w:val="1"/>
      <w:numFmt w:val="bullet"/>
      <w:pStyle w:val="39"/>
      <w:lvlText w:val=""/>
      <w:lvlJc w:val="left"/>
      <w:pPr>
        <w:tabs>
          <w:tab w:val="left" w:pos="780"/>
        </w:tabs>
        <w:ind w:left="780" w:hanging="360"/>
      </w:pPr>
      <w:rPr>
        <w:rFonts w:hint="default" w:ascii="Wingdings" w:hAnsi="Wingdings"/>
      </w:rPr>
    </w:lvl>
  </w:abstractNum>
  <w:abstractNum w:abstractNumId="28">
    <w:nsid w:val="54C72B21"/>
    <w:multiLevelType w:val="multilevel"/>
    <w:tmpl w:val="54C72B21"/>
    <w:lvl w:ilvl="0" w:tentative="0">
      <w:start w:val="1"/>
      <w:numFmt w:val="bullet"/>
      <w:pStyle w:val="154"/>
      <w:lvlText w:val=""/>
      <w:lvlJc w:val="left"/>
      <w:pPr>
        <w:tabs>
          <w:tab w:val="left" w:pos="0"/>
        </w:tabs>
        <w:ind w:left="780" w:hanging="420"/>
      </w:pPr>
      <w:rPr>
        <w:rFonts w:hint="default" w:ascii="Wingdings" w:hAnsi="Wingdings"/>
      </w:rPr>
    </w:lvl>
    <w:lvl w:ilvl="1" w:tentative="0">
      <w:start w:val="1"/>
      <w:numFmt w:val="bullet"/>
      <w:lvlText w:val=""/>
      <w:lvlJc w:val="left"/>
      <w:pPr>
        <w:tabs>
          <w:tab w:val="left" w:pos="0"/>
        </w:tabs>
        <w:ind w:left="1200" w:hanging="420"/>
      </w:pPr>
      <w:rPr>
        <w:rFonts w:hint="default" w:ascii="Wingdings" w:hAnsi="Wingdings"/>
      </w:rPr>
    </w:lvl>
    <w:lvl w:ilvl="2" w:tentative="0">
      <w:start w:val="1"/>
      <w:numFmt w:val="bullet"/>
      <w:lvlText w:val=""/>
      <w:lvlJc w:val="left"/>
      <w:pPr>
        <w:tabs>
          <w:tab w:val="left" w:pos="0"/>
        </w:tabs>
        <w:ind w:left="1620" w:hanging="420"/>
      </w:pPr>
      <w:rPr>
        <w:rFonts w:hint="default" w:ascii="Wingdings" w:hAnsi="Wingdings"/>
      </w:rPr>
    </w:lvl>
    <w:lvl w:ilvl="3" w:tentative="0">
      <w:start w:val="1"/>
      <w:numFmt w:val="bullet"/>
      <w:lvlText w:val=""/>
      <w:lvlJc w:val="left"/>
      <w:pPr>
        <w:tabs>
          <w:tab w:val="left" w:pos="0"/>
        </w:tabs>
        <w:ind w:left="2040" w:hanging="420"/>
      </w:pPr>
      <w:rPr>
        <w:rFonts w:hint="default" w:ascii="Wingdings" w:hAnsi="Wingdings"/>
      </w:rPr>
    </w:lvl>
    <w:lvl w:ilvl="4" w:tentative="0">
      <w:start w:val="1"/>
      <w:numFmt w:val="bullet"/>
      <w:lvlText w:val=""/>
      <w:lvlJc w:val="left"/>
      <w:pPr>
        <w:tabs>
          <w:tab w:val="left" w:pos="0"/>
        </w:tabs>
        <w:ind w:left="2460" w:hanging="420"/>
      </w:pPr>
      <w:rPr>
        <w:rFonts w:hint="default" w:ascii="Wingdings" w:hAnsi="Wingdings"/>
      </w:rPr>
    </w:lvl>
    <w:lvl w:ilvl="5" w:tentative="0">
      <w:start w:val="1"/>
      <w:numFmt w:val="bullet"/>
      <w:lvlText w:val=""/>
      <w:lvlJc w:val="left"/>
      <w:pPr>
        <w:tabs>
          <w:tab w:val="left" w:pos="0"/>
        </w:tabs>
        <w:ind w:left="2880" w:hanging="420"/>
      </w:pPr>
      <w:rPr>
        <w:rFonts w:hint="default" w:ascii="Wingdings" w:hAnsi="Wingdings"/>
      </w:rPr>
    </w:lvl>
    <w:lvl w:ilvl="6" w:tentative="0">
      <w:start w:val="1"/>
      <w:numFmt w:val="bullet"/>
      <w:lvlText w:val=""/>
      <w:lvlJc w:val="left"/>
      <w:pPr>
        <w:tabs>
          <w:tab w:val="left" w:pos="0"/>
        </w:tabs>
        <w:ind w:left="3300" w:hanging="420"/>
      </w:pPr>
      <w:rPr>
        <w:rFonts w:hint="default" w:ascii="Wingdings" w:hAnsi="Wingdings"/>
      </w:rPr>
    </w:lvl>
    <w:lvl w:ilvl="7" w:tentative="0">
      <w:start w:val="1"/>
      <w:numFmt w:val="bullet"/>
      <w:lvlText w:val=""/>
      <w:lvlJc w:val="left"/>
      <w:pPr>
        <w:tabs>
          <w:tab w:val="left" w:pos="0"/>
        </w:tabs>
        <w:ind w:left="3720" w:hanging="420"/>
      </w:pPr>
      <w:rPr>
        <w:rFonts w:hint="default" w:ascii="Wingdings" w:hAnsi="Wingdings"/>
      </w:rPr>
    </w:lvl>
    <w:lvl w:ilvl="8" w:tentative="0">
      <w:start w:val="1"/>
      <w:numFmt w:val="bullet"/>
      <w:lvlText w:val=""/>
      <w:lvlJc w:val="left"/>
      <w:pPr>
        <w:tabs>
          <w:tab w:val="left" w:pos="0"/>
        </w:tabs>
        <w:ind w:left="4140" w:hanging="420"/>
      </w:pPr>
      <w:rPr>
        <w:rFonts w:hint="default" w:ascii="Wingdings" w:hAnsi="Wingdings"/>
      </w:rPr>
    </w:lvl>
  </w:abstractNum>
  <w:abstractNum w:abstractNumId="29">
    <w:nsid w:val="59F52AF8"/>
    <w:multiLevelType w:val="multilevel"/>
    <w:tmpl w:val="59F52AF8"/>
    <w:lvl w:ilvl="0" w:tentative="0">
      <w:start w:val="1"/>
      <w:numFmt w:val="decimal"/>
      <w:pStyle w:val="283"/>
      <w:lvlText w:val="%1)"/>
      <w:lvlJc w:val="left"/>
      <w:pPr>
        <w:tabs>
          <w:tab w:val="left" w:pos="0"/>
        </w:tabs>
        <w:ind w:left="982" w:hanging="420"/>
      </w:pPr>
    </w:lvl>
    <w:lvl w:ilvl="1" w:tentative="0">
      <w:start w:val="1"/>
      <w:numFmt w:val="lowerLetter"/>
      <w:pStyle w:val="280"/>
      <w:lvlText w:val="%2)"/>
      <w:lvlJc w:val="left"/>
      <w:pPr>
        <w:tabs>
          <w:tab w:val="left" w:pos="0"/>
        </w:tabs>
        <w:ind w:left="1402" w:hanging="420"/>
      </w:pPr>
    </w:lvl>
    <w:lvl w:ilvl="2" w:tentative="0">
      <w:start w:val="1"/>
      <w:numFmt w:val="lowerRoman"/>
      <w:pStyle w:val="281"/>
      <w:lvlText w:val="%3."/>
      <w:lvlJc w:val="right"/>
      <w:pPr>
        <w:tabs>
          <w:tab w:val="left" w:pos="0"/>
        </w:tabs>
        <w:ind w:left="1822" w:hanging="420"/>
      </w:pPr>
    </w:lvl>
    <w:lvl w:ilvl="3" w:tentative="0">
      <w:start w:val="1"/>
      <w:numFmt w:val="decimal"/>
      <w:lvlText w:val="%4."/>
      <w:lvlJc w:val="left"/>
      <w:pPr>
        <w:tabs>
          <w:tab w:val="left" w:pos="0"/>
        </w:tabs>
        <w:ind w:left="2242" w:hanging="420"/>
      </w:pPr>
    </w:lvl>
    <w:lvl w:ilvl="4" w:tentative="0">
      <w:start w:val="1"/>
      <w:numFmt w:val="lowerLetter"/>
      <w:lvlText w:val="%5)"/>
      <w:lvlJc w:val="left"/>
      <w:pPr>
        <w:tabs>
          <w:tab w:val="left" w:pos="0"/>
        </w:tabs>
        <w:ind w:left="2662" w:hanging="420"/>
      </w:pPr>
    </w:lvl>
    <w:lvl w:ilvl="5" w:tentative="0">
      <w:start w:val="1"/>
      <w:numFmt w:val="lowerRoman"/>
      <w:lvlText w:val="%6."/>
      <w:lvlJc w:val="right"/>
      <w:pPr>
        <w:tabs>
          <w:tab w:val="left" w:pos="0"/>
        </w:tabs>
        <w:ind w:left="3082" w:hanging="420"/>
      </w:pPr>
    </w:lvl>
    <w:lvl w:ilvl="6" w:tentative="0">
      <w:start w:val="1"/>
      <w:numFmt w:val="decimal"/>
      <w:lvlText w:val="%7."/>
      <w:lvlJc w:val="left"/>
      <w:pPr>
        <w:tabs>
          <w:tab w:val="left" w:pos="0"/>
        </w:tabs>
        <w:ind w:left="3502" w:hanging="420"/>
      </w:pPr>
    </w:lvl>
    <w:lvl w:ilvl="7" w:tentative="0">
      <w:start w:val="1"/>
      <w:numFmt w:val="lowerLetter"/>
      <w:lvlText w:val="%8)"/>
      <w:lvlJc w:val="left"/>
      <w:pPr>
        <w:tabs>
          <w:tab w:val="left" w:pos="0"/>
        </w:tabs>
        <w:ind w:left="3922" w:hanging="420"/>
      </w:pPr>
    </w:lvl>
    <w:lvl w:ilvl="8" w:tentative="0">
      <w:start w:val="1"/>
      <w:numFmt w:val="lowerRoman"/>
      <w:lvlText w:val="%9."/>
      <w:lvlJc w:val="right"/>
      <w:pPr>
        <w:tabs>
          <w:tab w:val="left" w:pos="0"/>
        </w:tabs>
        <w:ind w:left="4342" w:hanging="420"/>
      </w:pPr>
    </w:lvl>
  </w:abstractNum>
  <w:abstractNum w:abstractNumId="30">
    <w:nsid w:val="5B5AF7FA"/>
    <w:multiLevelType w:val="multilevel"/>
    <w:tmpl w:val="5B5AF7FA"/>
    <w:lvl w:ilvl="0" w:tentative="0">
      <w:start w:val="1"/>
      <w:numFmt w:val="decimal"/>
      <w:pStyle w:val="285"/>
      <w:lvlText w:val="%1)"/>
      <w:lvlJc w:val="left"/>
      <w:pPr>
        <w:tabs>
          <w:tab w:val="left" w:pos="0"/>
        </w:tabs>
        <w:ind w:left="980" w:hanging="420"/>
      </w:pPr>
      <w:rPr>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1400" w:hanging="420"/>
      </w:pPr>
    </w:lvl>
    <w:lvl w:ilvl="2" w:tentative="0">
      <w:start w:val="1"/>
      <w:numFmt w:val="lowerRoman"/>
      <w:lvlText w:val="%3."/>
      <w:lvlJc w:val="right"/>
      <w:pPr>
        <w:tabs>
          <w:tab w:val="left" w:pos="0"/>
        </w:tabs>
        <w:ind w:left="1820" w:hanging="420"/>
      </w:pPr>
    </w:lvl>
    <w:lvl w:ilvl="3" w:tentative="0">
      <w:start w:val="1"/>
      <w:numFmt w:val="decimal"/>
      <w:lvlText w:val="%4."/>
      <w:lvlJc w:val="left"/>
      <w:pPr>
        <w:tabs>
          <w:tab w:val="left" w:pos="0"/>
        </w:tabs>
        <w:ind w:left="2240" w:hanging="420"/>
      </w:pPr>
    </w:lvl>
    <w:lvl w:ilvl="4" w:tentative="0">
      <w:start w:val="1"/>
      <w:numFmt w:val="lowerLetter"/>
      <w:lvlText w:val="%5)"/>
      <w:lvlJc w:val="left"/>
      <w:pPr>
        <w:tabs>
          <w:tab w:val="left" w:pos="0"/>
        </w:tabs>
        <w:ind w:left="2660" w:hanging="420"/>
      </w:pPr>
    </w:lvl>
    <w:lvl w:ilvl="5" w:tentative="0">
      <w:start w:val="1"/>
      <w:numFmt w:val="lowerRoman"/>
      <w:lvlText w:val="%6."/>
      <w:lvlJc w:val="right"/>
      <w:pPr>
        <w:tabs>
          <w:tab w:val="left" w:pos="0"/>
        </w:tabs>
        <w:ind w:left="3080" w:hanging="420"/>
      </w:pPr>
    </w:lvl>
    <w:lvl w:ilvl="6" w:tentative="0">
      <w:start w:val="1"/>
      <w:numFmt w:val="decimal"/>
      <w:lvlText w:val="%7."/>
      <w:lvlJc w:val="left"/>
      <w:pPr>
        <w:tabs>
          <w:tab w:val="left" w:pos="0"/>
        </w:tabs>
        <w:ind w:left="3500" w:hanging="420"/>
      </w:pPr>
    </w:lvl>
    <w:lvl w:ilvl="7" w:tentative="0">
      <w:start w:val="1"/>
      <w:numFmt w:val="lowerLetter"/>
      <w:lvlText w:val="%8)"/>
      <w:lvlJc w:val="left"/>
      <w:pPr>
        <w:tabs>
          <w:tab w:val="left" w:pos="0"/>
        </w:tabs>
        <w:ind w:left="3920" w:hanging="420"/>
      </w:pPr>
    </w:lvl>
    <w:lvl w:ilvl="8" w:tentative="0">
      <w:start w:val="1"/>
      <w:numFmt w:val="lowerRoman"/>
      <w:lvlText w:val="%9."/>
      <w:lvlJc w:val="right"/>
      <w:pPr>
        <w:tabs>
          <w:tab w:val="left" w:pos="0"/>
        </w:tabs>
        <w:ind w:left="4340" w:hanging="420"/>
      </w:pPr>
    </w:lvl>
  </w:abstractNum>
  <w:abstractNum w:abstractNumId="31">
    <w:nsid w:val="5D34656E"/>
    <w:multiLevelType w:val="multilevel"/>
    <w:tmpl w:val="5D34656E"/>
    <w:lvl w:ilvl="0" w:tentative="0">
      <w:start w:val="1"/>
      <w:numFmt w:val="bullet"/>
      <w:pStyle w:val="14"/>
      <w:lvlText w:val=""/>
      <w:lvlJc w:val="left"/>
      <w:pPr>
        <w:tabs>
          <w:tab w:val="left" w:pos="0"/>
        </w:tabs>
        <w:ind w:left="988" w:hanging="420"/>
      </w:pPr>
      <w:rPr>
        <w:rFonts w:hint="default" w:ascii="Wingdings" w:hAnsi="Wingdings"/>
      </w:rPr>
    </w:lvl>
    <w:lvl w:ilvl="1" w:tentative="0">
      <w:start w:val="1"/>
      <w:numFmt w:val="bullet"/>
      <w:lvlText w:val=""/>
      <w:lvlJc w:val="left"/>
      <w:pPr>
        <w:tabs>
          <w:tab w:val="left" w:pos="0"/>
        </w:tabs>
        <w:ind w:left="1400" w:hanging="420"/>
      </w:pPr>
      <w:rPr>
        <w:rFonts w:hint="default" w:ascii="Wingdings" w:hAnsi="Wingdings"/>
      </w:rPr>
    </w:lvl>
    <w:lvl w:ilvl="2" w:tentative="0">
      <w:start w:val="1"/>
      <w:numFmt w:val="bullet"/>
      <w:lvlText w:val=""/>
      <w:lvlJc w:val="left"/>
      <w:pPr>
        <w:tabs>
          <w:tab w:val="left" w:pos="0"/>
        </w:tabs>
        <w:ind w:left="1820" w:hanging="420"/>
      </w:pPr>
      <w:rPr>
        <w:rFonts w:hint="default" w:ascii="Wingdings" w:hAnsi="Wingdings"/>
      </w:rPr>
    </w:lvl>
    <w:lvl w:ilvl="3" w:tentative="0">
      <w:start w:val="1"/>
      <w:numFmt w:val="bullet"/>
      <w:lvlText w:val=""/>
      <w:lvlJc w:val="left"/>
      <w:pPr>
        <w:tabs>
          <w:tab w:val="left" w:pos="0"/>
        </w:tabs>
        <w:ind w:left="2240" w:hanging="420"/>
      </w:pPr>
      <w:rPr>
        <w:rFonts w:hint="default" w:ascii="Wingdings" w:hAnsi="Wingdings"/>
      </w:rPr>
    </w:lvl>
    <w:lvl w:ilvl="4" w:tentative="0">
      <w:start w:val="1"/>
      <w:numFmt w:val="bullet"/>
      <w:lvlText w:val=""/>
      <w:lvlJc w:val="left"/>
      <w:pPr>
        <w:tabs>
          <w:tab w:val="left" w:pos="0"/>
        </w:tabs>
        <w:ind w:left="2660" w:hanging="420"/>
      </w:pPr>
      <w:rPr>
        <w:rFonts w:hint="default" w:ascii="Wingdings" w:hAnsi="Wingdings"/>
      </w:rPr>
    </w:lvl>
    <w:lvl w:ilvl="5" w:tentative="0">
      <w:start w:val="1"/>
      <w:numFmt w:val="bullet"/>
      <w:lvlText w:val=""/>
      <w:lvlJc w:val="left"/>
      <w:pPr>
        <w:tabs>
          <w:tab w:val="left" w:pos="0"/>
        </w:tabs>
        <w:ind w:left="3080" w:hanging="420"/>
      </w:pPr>
      <w:rPr>
        <w:rFonts w:hint="default" w:ascii="Wingdings" w:hAnsi="Wingdings"/>
      </w:rPr>
    </w:lvl>
    <w:lvl w:ilvl="6" w:tentative="0">
      <w:start w:val="1"/>
      <w:numFmt w:val="bullet"/>
      <w:lvlText w:val=""/>
      <w:lvlJc w:val="left"/>
      <w:pPr>
        <w:tabs>
          <w:tab w:val="left" w:pos="0"/>
        </w:tabs>
        <w:ind w:left="3500" w:hanging="420"/>
      </w:pPr>
      <w:rPr>
        <w:rFonts w:hint="default" w:ascii="Wingdings" w:hAnsi="Wingdings"/>
      </w:rPr>
    </w:lvl>
    <w:lvl w:ilvl="7" w:tentative="0">
      <w:start w:val="1"/>
      <w:numFmt w:val="bullet"/>
      <w:lvlText w:val=""/>
      <w:lvlJc w:val="left"/>
      <w:pPr>
        <w:tabs>
          <w:tab w:val="left" w:pos="0"/>
        </w:tabs>
        <w:ind w:left="3920" w:hanging="420"/>
      </w:pPr>
      <w:rPr>
        <w:rFonts w:hint="default" w:ascii="Wingdings" w:hAnsi="Wingdings"/>
      </w:rPr>
    </w:lvl>
    <w:lvl w:ilvl="8" w:tentative="0">
      <w:start w:val="1"/>
      <w:numFmt w:val="bullet"/>
      <w:lvlText w:val=""/>
      <w:lvlJc w:val="left"/>
      <w:pPr>
        <w:tabs>
          <w:tab w:val="left" w:pos="0"/>
        </w:tabs>
        <w:ind w:left="4340" w:hanging="420"/>
      </w:pPr>
      <w:rPr>
        <w:rFonts w:hint="default" w:ascii="Wingdings" w:hAnsi="Wingdings"/>
      </w:rPr>
    </w:lvl>
  </w:abstractNum>
  <w:abstractNum w:abstractNumId="32">
    <w:nsid w:val="797F14BE"/>
    <w:multiLevelType w:val="singleLevel"/>
    <w:tmpl w:val="797F14BE"/>
    <w:lvl w:ilvl="0" w:tentative="0">
      <w:start w:val="1"/>
      <w:numFmt w:val="bullet"/>
      <w:pStyle w:val="45"/>
      <w:lvlText w:val=""/>
      <w:lvlJc w:val="left"/>
      <w:pPr>
        <w:tabs>
          <w:tab w:val="left" w:pos="2040"/>
        </w:tabs>
        <w:ind w:left="2040" w:hanging="360"/>
      </w:pPr>
      <w:rPr>
        <w:rFonts w:hint="default" w:ascii="Wingdings" w:hAnsi="Wingdings"/>
      </w:rPr>
    </w:lvl>
  </w:abstractNum>
  <w:num w:numId="1">
    <w:abstractNumId w:val="15"/>
  </w:num>
  <w:num w:numId="2">
    <w:abstractNumId w:val="31"/>
  </w:num>
  <w:num w:numId="3">
    <w:abstractNumId w:val="26"/>
  </w:num>
  <w:num w:numId="4">
    <w:abstractNumId w:val="25"/>
  </w:num>
  <w:num w:numId="5">
    <w:abstractNumId w:val="24"/>
  </w:num>
  <w:num w:numId="6">
    <w:abstractNumId w:val="5"/>
  </w:num>
  <w:num w:numId="7">
    <w:abstractNumId w:val="27"/>
  </w:num>
  <w:num w:numId="8">
    <w:abstractNumId w:val="32"/>
  </w:num>
  <w:num w:numId="9">
    <w:abstractNumId w:val="14"/>
  </w:num>
  <w:num w:numId="10">
    <w:abstractNumId w:val="23"/>
  </w:num>
  <w:num w:numId="11">
    <w:abstractNumId w:val="21"/>
  </w:num>
  <w:num w:numId="12">
    <w:abstractNumId w:val="18"/>
  </w:num>
  <w:num w:numId="13">
    <w:abstractNumId w:val="17"/>
  </w:num>
  <w:num w:numId="14">
    <w:abstractNumId w:val="28"/>
  </w:num>
  <w:num w:numId="15">
    <w:abstractNumId w:val="0"/>
  </w:num>
  <w:num w:numId="16">
    <w:abstractNumId w:val="2"/>
  </w:num>
  <w:num w:numId="17">
    <w:abstractNumId w:val="4"/>
  </w:num>
  <w:num w:numId="18">
    <w:abstractNumId w:val="7"/>
  </w:num>
  <w:num w:numId="19">
    <w:abstractNumId w:val="22"/>
  </w:num>
  <w:num w:numId="20">
    <w:abstractNumId w:val="9"/>
  </w:num>
  <w:num w:numId="21">
    <w:abstractNumId w:val="19"/>
  </w:num>
  <w:num w:numId="22">
    <w:abstractNumId w:val="12"/>
  </w:num>
  <w:num w:numId="23">
    <w:abstractNumId w:val="3"/>
  </w:num>
  <w:num w:numId="24">
    <w:abstractNumId w:val="13"/>
  </w:num>
  <w:num w:numId="25">
    <w:abstractNumId w:val="29"/>
  </w:num>
  <w:num w:numId="26">
    <w:abstractNumId w:val="30"/>
  </w:num>
  <w:num w:numId="27">
    <w:abstractNumId w:val="10"/>
  </w:num>
  <w:num w:numId="28">
    <w:abstractNumId w:val="8"/>
  </w:num>
  <w:num w:numId="29">
    <w:abstractNumId w:val="11"/>
  </w:num>
  <w:num w:numId="30">
    <w:abstractNumId w:val="1"/>
  </w:num>
  <w:num w:numId="31">
    <w:abstractNumId w:val="16"/>
  </w:num>
  <w:num w:numId="32">
    <w:abstractNumId w:val="6"/>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TrueTypeFonts/>
  <w:saveSubsetFonts/>
  <w:bordersDoNotSurroundHeader w:val="1"/>
  <w:bordersDoNotSurroundFooter w:val="1"/>
  <w:documentProtection w:enforcement="0"/>
  <w:defaultTabStop w:val="420"/>
  <w:drawingGridHorizontalSpacing w:val="105"/>
  <w:drawingGridVerticalSpacing w:val="23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1YjMwMzc5NDFjZjhhODI4ZTBkYjRiYzdjM2IyZTAifQ=="/>
  </w:docVars>
  <w:rsids>
    <w:rsidRoot w:val="006C5683"/>
    <w:rsid w:val="000015CB"/>
    <w:rsid w:val="000017FA"/>
    <w:rsid w:val="000021E9"/>
    <w:rsid w:val="000027F1"/>
    <w:rsid w:val="00003511"/>
    <w:rsid w:val="00004873"/>
    <w:rsid w:val="00004AEC"/>
    <w:rsid w:val="00005B02"/>
    <w:rsid w:val="000060D0"/>
    <w:rsid w:val="00006D88"/>
    <w:rsid w:val="00010C75"/>
    <w:rsid w:val="00011D2E"/>
    <w:rsid w:val="000145F4"/>
    <w:rsid w:val="0001650A"/>
    <w:rsid w:val="00017A00"/>
    <w:rsid w:val="000200F4"/>
    <w:rsid w:val="00020BF0"/>
    <w:rsid w:val="00021C95"/>
    <w:rsid w:val="00022110"/>
    <w:rsid w:val="00031D0B"/>
    <w:rsid w:val="00033912"/>
    <w:rsid w:val="000355DB"/>
    <w:rsid w:val="00035638"/>
    <w:rsid w:val="00035D60"/>
    <w:rsid w:val="000379AC"/>
    <w:rsid w:val="00040351"/>
    <w:rsid w:val="0004289B"/>
    <w:rsid w:val="00043266"/>
    <w:rsid w:val="00044738"/>
    <w:rsid w:val="00045A4A"/>
    <w:rsid w:val="00047D3A"/>
    <w:rsid w:val="000518A9"/>
    <w:rsid w:val="00051F63"/>
    <w:rsid w:val="0005491F"/>
    <w:rsid w:val="00055B0A"/>
    <w:rsid w:val="00055C0E"/>
    <w:rsid w:val="000562DD"/>
    <w:rsid w:val="0006047C"/>
    <w:rsid w:val="00061424"/>
    <w:rsid w:val="00061F80"/>
    <w:rsid w:val="00062150"/>
    <w:rsid w:val="00063076"/>
    <w:rsid w:val="00063A10"/>
    <w:rsid w:val="00065D87"/>
    <w:rsid w:val="00065F3F"/>
    <w:rsid w:val="00066E2A"/>
    <w:rsid w:val="000675EA"/>
    <w:rsid w:val="00070E31"/>
    <w:rsid w:val="00073781"/>
    <w:rsid w:val="0007403B"/>
    <w:rsid w:val="000761F4"/>
    <w:rsid w:val="00076C4E"/>
    <w:rsid w:val="000775F2"/>
    <w:rsid w:val="00077C1C"/>
    <w:rsid w:val="000816F0"/>
    <w:rsid w:val="0008437A"/>
    <w:rsid w:val="0008483B"/>
    <w:rsid w:val="00086008"/>
    <w:rsid w:val="00086ED9"/>
    <w:rsid w:val="00087CC7"/>
    <w:rsid w:val="00090EAE"/>
    <w:rsid w:val="00092DD1"/>
    <w:rsid w:val="0009300C"/>
    <w:rsid w:val="000942A1"/>
    <w:rsid w:val="00094482"/>
    <w:rsid w:val="00094AC5"/>
    <w:rsid w:val="00094CE9"/>
    <w:rsid w:val="00096521"/>
    <w:rsid w:val="00096FCE"/>
    <w:rsid w:val="000A06B5"/>
    <w:rsid w:val="000A1509"/>
    <w:rsid w:val="000A1C1D"/>
    <w:rsid w:val="000A3668"/>
    <w:rsid w:val="000A4BA3"/>
    <w:rsid w:val="000A636C"/>
    <w:rsid w:val="000A65DB"/>
    <w:rsid w:val="000B054C"/>
    <w:rsid w:val="000B22EA"/>
    <w:rsid w:val="000B3A7B"/>
    <w:rsid w:val="000B67F3"/>
    <w:rsid w:val="000C0489"/>
    <w:rsid w:val="000C27F8"/>
    <w:rsid w:val="000C2925"/>
    <w:rsid w:val="000C2ED1"/>
    <w:rsid w:val="000C36E3"/>
    <w:rsid w:val="000C41A6"/>
    <w:rsid w:val="000C49EB"/>
    <w:rsid w:val="000C4EC9"/>
    <w:rsid w:val="000C5C2B"/>
    <w:rsid w:val="000C7449"/>
    <w:rsid w:val="000D05BA"/>
    <w:rsid w:val="000D3422"/>
    <w:rsid w:val="000D649C"/>
    <w:rsid w:val="000E06EB"/>
    <w:rsid w:val="000E2F6C"/>
    <w:rsid w:val="000E5A5F"/>
    <w:rsid w:val="000E5C46"/>
    <w:rsid w:val="000E7652"/>
    <w:rsid w:val="000F0838"/>
    <w:rsid w:val="000F18A9"/>
    <w:rsid w:val="000F5162"/>
    <w:rsid w:val="000F5CC5"/>
    <w:rsid w:val="000F5E31"/>
    <w:rsid w:val="000F5F2D"/>
    <w:rsid w:val="000F6D23"/>
    <w:rsid w:val="00100890"/>
    <w:rsid w:val="00100985"/>
    <w:rsid w:val="0010331A"/>
    <w:rsid w:val="0010394D"/>
    <w:rsid w:val="00104157"/>
    <w:rsid w:val="001052B1"/>
    <w:rsid w:val="001061B4"/>
    <w:rsid w:val="00107D53"/>
    <w:rsid w:val="00107EB0"/>
    <w:rsid w:val="0011106F"/>
    <w:rsid w:val="00113686"/>
    <w:rsid w:val="00113B47"/>
    <w:rsid w:val="00115450"/>
    <w:rsid w:val="00115F02"/>
    <w:rsid w:val="001166FC"/>
    <w:rsid w:val="00116B2C"/>
    <w:rsid w:val="0012044A"/>
    <w:rsid w:val="00122279"/>
    <w:rsid w:val="00122DBE"/>
    <w:rsid w:val="00122F14"/>
    <w:rsid w:val="001230F7"/>
    <w:rsid w:val="00123716"/>
    <w:rsid w:val="001264C4"/>
    <w:rsid w:val="00126858"/>
    <w:rsid w:val="00126BBC"/>
    <w:rsid w:val="00127026"/>
    <w:rsid w:val="00127E5A"/>
    <w:rsid w:val="00130483"/>
    <w:rsid w:val="00130521"/>
    <w:rsid w:val="001314E7"/>
    <w:rsid w:val="00131A80"/>
    <w:rsid w:val="00132428"/>
    <w:rsid w:val="001343B6"/>
    <w:rsid w:val="00134697"/>
    <w:rsid w:val="00134C01"/>
    <w:rsid w:val="00136AEC"/>
    <w:rsid w:val="001379AF"/>
    <w:rsid w:val="00140435"/>
    <w:rsid w:val="00140FE1"/>
    <w:rsid w:val="001413BF"/>
    <w:rsid w:val="00141882"/>
    <w:rsid w:val="00141A1B"/>
    <w:rsid w:val="00144851"/>
    <w:rsid w:val="001500F5"/>
    <w:rsid w:val="00150D74"/>
    <w:rsid w:val="00151BCC"/>
    <w:rsid w:val="00154382"/>
    <w:rsid w:val="00154962"/>
    <w:rsid w:val="00154B08"/>
    <w:rsid w:val="001569BD"/>
    <w:rsid w:val="00156BAF"/>
    <w:rsid w:val="0016088B"/>
    <w:rsid w:val="001608B6"/>
    <w:rsid w:val="001620E0"/>
    <w:rsid w:val="00162E69"/>
    <w:rsid w:val="001635E6"/>
    <w:rsid w:val="001659CA"/>
    <w:rsid w:val="00167FEB"/>
    <w:rsid w:val="00170993"/>
    <w:rsid w:val="00171DEE"/>
    <w:rsid w:val="0017394E"/>
    <w:rsid w:val="00174CFF"/>
    <w:rsid w:val="0018016B"/>
    <w:rsid w:val="00180ACA"/>
    <w:rsid w:val="001824A0"/>
    <w:rsid w:val="00182DA1"/>
    <w:rsid w:val="0018349F"/>
    <w:rsid w:val="00183BFA"/>
    <w:rsid w:val="0018428F"/>
    <w:rsid w:val="00184350"/>
    <w:rsid w:val="001843F3"/>
    <w:rsid w:val="0018549E"/>
    <w:rsid w:val="001860D3"/>
    <w:rsid w:val="001914F1"/>
    <w:rsid w:val="00191B0F"/>
    <w:rsid w:val="00192555"/>
    <w:rsid w:val="001932DD"/>
    <w:rsid w:val="0019369C"/>
    <w:rsid w:val="00194FEA"/>
    <w:rsid w:val="00195297"/>
    <w:rsid w:val="001955C7"/>
    <w:rsid w:val="001965F1"/>
    <w:rsid w:val="0019688B"/>
    <w:rsid w:val="0019695C"/>
    <w:rsid w:val="001969A0"/>
    <w:rsid w:val="001A102D"/>
    <w:rsid w:val="001A1048"/>
    <w:rsid w:val="001A16C8"/>
    <w:rsid w:val="001A2318"/>
    <w:rsid w:val="001A3552"/>
    <w:rsid w:val="001A40BB"/>
    <w:rsid w:val="001A51FD"/>
    <w:rsid w:val="001A5C59"/>
    <w:rsid w:val="001A6998"/>
    <w:rsid w:val="001A6AD1"/>
    <w:rsid w:val="001A7128"/>
    <w:rsid w:val="001A7216"/>
    <w:rsid w:val="001A797B"/>
    <w:rsid w:val="001B1008"/>
    <w:rsid w:val="001B12D5"/>
    <w:rsid w:val="001B37C0"/>
    <w:rsid w:val="001B47E7"/>
    <w:rsid w:val="001B67D7"/>
    <w:rsid w:val="001C0D27"/>
    <w:rsid w:val="001C3AD2"/>
    <w:rsid w:val="001C3FAF"/>
    <w:rsid w:val="001D1DCD"/>
    <w:rsid w:val="001D22A3"/>
    <w:rsid w:val="001D2A82"/>
    <w:rsid w:val="001D2F7C"/>
    <w:rsid w:val="001D38D1"/>
    <w:rsid w:val="001D3D19"/>
    <w:rsid w:val="001D6978"/>
    <w:rsid w:val="001D794F"/>
    <w:rsid w:val="001E1F04"/>
    <w:rsid w:val="001E2C66"/>
    <w:rsid w:val="001E3A30"/>
    <w:rsid w:val="001E53F4"/>
    <w:rsid w:val="001E5464"/>
    <w:rsid w:val="001E609A"/>
    <w:rsid w:val="001E6B73"/>
    <w:rsid w:val="001E75EF"/>
    <w:rsid w:val="001E7A5D"/>
    <w:rsid w:val="001E7D48"/>
    <w:rsid w:val="001E7D7C"/>
    <w:rsid w:val="001F20D4"/>
    <w:rsid w:val="001F5680"/>
    <w:rsid w:val="001F78BB"/>
    <w:rsid w:val="00201CD2"/>
    <w:rsid w:val="00201D97"/>
    <w:rsid w:val="0020226C"/>
    <w:rsid w:val="0020377D"/>
    <w:rsid w:val="00204419"/>
    <w:rsid w:val="00204DEC"/>
    <w:rsid w:val="00205CE6"/>
    <w:rsid w:val="002070C4"/>
    <w:rsid w:val="002073AB"/>
    <w:rsid w:val="002100D0"/>
    <w:rsid w:val="002100F4"/>
    <w:rsid w:val="002111EC"/>
    <w:rsid w:val="002126A5"/>
    <w:rsid w:val="0021375E"/>
    <w:rsid w:val="00216F17"/>
    <w:rsid w:val="002171F6"/>
    <w:rsid w:val="002205BB"/>
    <w:rsid w:val="00220AD9"/>
    <w:rsid w:val="002251B8"/>
    <w:rsid w:val="0022630B"/>
    <w:rsid w:val="00231531"/>
    <w:rsid w:val="00232170"/>
    <w:rsid w:val="002345EF"/>
    <w:rsid w:val="00236FE2"/>
    <w:rsid w:val="002371C4"/>
    <w:rsid w:val="002442D8"/>
    <w:rsid w:val="00244979"/>
    <w:rsid w:val="0024536B"/>
    <w:rsid w:val="00246E8E"/>
    <w:rsid w:val="002478CB"/>
    <w:rsid w:val="00247BA2"/>
    <w:rsid w:val="00250F84"/>
    <w:rsid w:val="00251762"/>
    <w:rsid w:val="002527B0"/>
    <w:rsid w:val="00253881"/>
    <w:rsid w:val="002546DA"/>
    <w:rsid w:val="00254FC7"/>
    <w:rsid w:val="002563D1"/>
    <w:rsid w:val="00256808"/>
    <w:rsid w:val="002579BB"/>
    <w:rsid w:val="00260505"/>
    <w:rsid w:val="002624AB"/>
    <w:rsid w:val="002641FB"/>
    <w:rsid w:val="00264F1A"/>
    <w:rsid w:val="00265C84"/>
    <w:rsid w:val="00267C7A"/>
    <w:rsid w:val="002712D5"/>
    <w:rsid w:val="00274604"/>
    <w:rsid w:val="00275A7B"/>
    <w:rsid w:val="00275F53"/>
    <w:rsid w:val="00276053"/>
    <w:rsid w:val="00276521"/>
    <w:rsid w:val="00277361"/>
    <w:rsid w:val="0028141F"/>
    <w:rsid w:val="0028145D"/>
    <w:rsid w:val="00281E98"/>
    <w:rsid w:val="00283027"/>
    <w:rsid w:val="00286E2B"/>
    <w:rsid w:val="00287754"/>
    <w:rsid w:val="00287D70"/>
    <w:rsid w:val="00291058"/>
    <w:rsid w:val="00291CE4"/>
    <w:rsid w:val="0029281A"/>
    <w:rsid w:val="00292F16"/>
    <w:rsid w:val="0029564A"/>
    <w:rsid w:val="00296E9D"/>
    <w:rsid w:val="0029708A"/>
    <w:rsid w:val="0029791C"/>
    <w:rsid w:val="002A1A37"/>
    <w:rsid w:val="002A2758"/>
    <w:rsid w:val="002A283D"/>
    <w:rsid w:val="002A41E8"/>
    <w:rsid w:val="002A472D"/>
    <w:rsid w:val="002A7241"/>
    <w:rsid w:val="002B1EB2"/>
    <w:rsid w:val="002B209F"/>
    <w:rsid w:val="002B4EB1"/>
    <w:rsid w:val="002B6A0E"/>
    <w:rsid w:val="002C0BF4"/>
    <w:rsid w:val="002C20D2"/>
    <w:rsid w:val="002C2236"/>
    <w:rsid w:val="002C244A"/>
    <w:rsid w:val="002C3899"/>
    <w:rsid w:val="002C4CCE"/>
    <w:rsid w:val="002D0511"/>
    <w:rsid w:val="002D1468"/>
    <w:rsid w:val="002D3711"/>
    <w:rsid w:val="002D3C8B"/>
    <w:rsid w:val="002D42D3"/>
    <w:rsid w:val="002D65CC"/>
    <w:rsid w:val="002D6E9A"/>
    <w:rsid w:val="002D7843"/>
    <w:rsid w:val="002E2099"/>
    <w:rsid w:val="002E2807"/>
    <w:rsid w:val="002E2834"/>
    <w:rsid w:val="002E2921"/>
    <w:rsid w:val="002E3519"/>
    <w:rsid w:val="002E51B7"/>
    <w:rsid w:val="002E646F"/>
    <w:rsid w:val="002E7118"/>
    <w:rsid w:val="002E7B1C"/>
    <w:rsid w:val="002F11E5"/>
    <w:rsid w:val="002F165B"/>
    <w:rsid w:val="002F2F4A"/>
    <w:rsid w:val="002F4E4D"/>
    <w:rsid w:val="002F6E8F"/>
    <w:rsid w:val="00303E1C"/>
    <w:rsid w:val="003057D9"/>
    <w:rsid w:val="00305A66"/>
    <w:rsid w:val="003066BF"/>
    <w:rsid w:val="00312064"/>
    <w:rsid w:val="00312722"/>
    <w:rsid w:val="0031310F"/>
    <w:rsid w:val="00320E76"/>
    <w:rsid w:val="00321570"/>
    <w:rsid w:val="00321D5A"/>
    <w:rsid w:val="00325368"/>
    <w:rsid w:val="00330C9E"/>
    <w:rsid w:val="00331378"/>
    <w:rsid w:val="0033176D"/>
    <w:rsid w:val="00331923"/>
    <w:rsid w:val="0033338D"/>
    <w:rsid w:val="0033425C"/>
    <w:rsid w:val="00334C79"/>
    <w:rsid w:val="00335A27"/>
    <w:rsid w:val="00335B0B"/>
    <w:rsid w:val="003365DB"/>
    <w:rsid w:val="003403E4"/>
    <w:rsid w:val="003404BA"/>
    <w:rsid w:val="003410C7"/>
    <w:rsid w:val="00343C42"/>
    <w:rsid w:val="00344970"/>
    <w:rsid w:val="00346259"/>
    <w:rsid w:val="003478F1"/>
    <w:rsid w:val="003504DC"/>
    <w:rsid w:val="0035081D"/>
    <w:rsid w:val="00351012"/>
    <w:rsid w:val="00351229"/>
    <w:rsid w:val="0035158F"/>
    <w:rsid w:val="0035302A"/>
    <w:rsid w:val="003546A2"/>
    <w:rsid w:val="00355AE1"/>
    <w:rsid w:val="00357827"/>
    <w:rsid w:val="003612B7"/>
    <w:rsid w:val="003614AA"/>
    <w:rsid w:val="0036283F"/>
    <w:rsid w:val="0036492D"/>
    <w:rsid w:val="00364935"/>
    <w:rsid w:val="00365B87"/>
    <w:rsid w:val="00366DC6"/>
    <w:rsid w:val="0036797B"/>
    <w:rsid w:val="003718D3"/>
    <w:rsid w:val="00371A5A"/>
    <w:rsid w:val="003748AD"/>
    <w:rsid w:val="00377A00"/>
    <w:rsid w:val="00380033"/>
    <w:rsid w:val="0038016C"/>
    <w:rsid w:val="00380A89"/>
    <w:rsid w:val="00382E2D"/>
    <w:rsid w:val="00382EE2"/>
    <w:rsid w:val="00384C59"/>
    <w:rsid w:val="003918A5"/>
    <w:rsid w:val="00391ED9"/>
    <w:rsid w:val="00393FA9"/>
    <w:rsid w:val="003949D9"/>
    <w:rsid w:val="003967C1"/>
    <w:rsid w:val="00396F92"/>
    <w:rsid w:val="00396FB1"/>
    <w:rsid w:val="003A11B6"/>
    <w:rsid w:val="003A23C5"/>
    <w:rsid w:val="003A2807"/>
    <w:rsid w:val="003A29A8"/>
    <w:rsid w:val="003A478C"/>
    <w:rsid w:val="003A69BD"/>
    <w:rsid w:val="003B2ABF"/>
    <w:rsid w:val="003B2D01"/>
    <w:rsid w:val="003C20E2"/>
    <w:rsid w:val="003C284E"/>
    <w:rsid w:val="003C30DF"/>
    <w:rsid w:val="003C532C"/>
    <w:rsid w:val="003C5917"/>
    <w:rsid w:val="003C5D58"/>
    <w:rsid w:val="003D0533"/>
    <w:rsid w:val="003D1BCB"/>
    <w:rsid w:val="003D258F"/>
    <w:rsid w:val="003D3777"/>
    <w:rsid w:val="003D428F"/>
    <w:rsid w:val="003D73B8"/>
    <w:rsid w:val="003E2663"/>
    <w:rsid w:val="003E332C"/>
    <w:rsid w:val="003E37A7"/>
    <w:rsid w:val="003E4400"/>
    <w:rsid w:val="003E470E"/>
    <w:rsid w:val="003E4ADE"/>
    <w:rsid w:val="003E568D"/>
    <w:rsid w:val="003E6FC6"/>
    <w:rsid w:val="003E7DD2"/>
    <w:rsid w:val="003F0670"/>
    <w:rsid w:val="003F1948"/>
    <w:rsid w:val="003F1B79"/>
    <w:rsid w:val="003F1F77"/>
    <w:rsid w:val="003F35D1"/>
    <w:rsid w:val="003F4A23"/>
    <w:rsid w:val="003F55CF"/>
    <w:rsid w:val="003F5B73"/>
    <w:rsid w:val="003F646F"/>
    <w:rsid w:val="003F66AC"/>
    <w:rsid w:val="00400128"/>
    <w:rsid w:val="0040029A"/>
    <w:rsid w:val="004029A6"/>
    <w:rsid w:val="00402F04"/>
    <w:rsid w:val="00404660"/>
    <w:rsid w:val="00404969"/>
    <w:rsid w:val="0040573B"/>
    <w:rsid w:val="00407177"/>
    <w:rsid w:val="00407DAD"/>
    <w:rsid w:val="00413B34"/>
    <w:rsid w:val="00413DD2"/>
    <w:rsid w:val="00414823"/>
    <w:rsid w:val="0041507C"/>
    <w:rsid w:val="00415193"/>
    <w:rsid w:val="00416E40"/>
    <w:rsid w:val="00420B0F"/>
    <w:rsid w:val="00420CE9"/>
    <w:rsid w:val="00421F60"/>
    <w:rsid w:val="004238DA"/>
    <w:rsid w:val="00424E7D"/>
    <w:rsid w:val="004278EE"/>
    <w:rsid w:val="004304A1"/>
    <w:rsid w:val="00430759"/>
    <w:rsid w:val="004308FB"/>
    <w:rsid w:val="004309DD"/>
    <w:rsid w:val="00430D70"/>
    <w:rsid w:val="00431277"/>
    <w:rsid w:val="00432341"/>
    <w:rsid w:val="004328D0"/>
    <w:rsid w:val="004338F6"/>
    <w:rsid w:val="00434697"/>
    <w:rsid w:val="0043657E"/>
    <w:rsid w:val="00436F66"/>
    <w:rsid w:val="004408C5"/>
    <w:rsid w:val="00442383"/>
    <w:rsid w:val="00443E4D"/>
    <w:rsid w:val="00445517"/>
    <w:rsid w:val="00445936"/>
    <w:rsid w:val="00445A95"/>
    <w:rsid w:val="00445E71"/>
    <w:rsid w:val="0044767F"/>
    <w:rsid w:val="004506C3"/>
    <w:rsid w:val="004512B0"/>
    <w:rsid w:val="00451554"/>
    <w:rsid w:val="0045197E"/>
    <w:rsid w:val="00452A34"/>
    <w:rsid w:val="004530B6"/>
    <w:rsid w:val="0045352A"/>
    <w:rsid w:val="00457EC8"/>
    <w:rsid w:val="00461747"/>
    <w:rsid w:val="00461FCE"/>
    <w:rsid w:val="00464E3A"/>
    <w:rsid w:val="004654FC"/>
    <w:rsid w:val="00466872"/>
    <w:rsid w:val="004707C8"/>
    <w:rsid w:val="00471610"/>
    <w:rsid w:val="004716CA"/>
    <w:rsid w:val="004722D5"/>
    <w:rsid w:val="00472487"/>
    <w:rsid w:val="004727FC"/>
    <w:rsid w:val="00474F7D"/>
    <w:rsid w:val="0047596E"/>
    <w:rsid w:val="004762AE"/>
    <w:rsid w:val="0047663E"/>
    <w:rsid w:val="004768AA"/>
    <w:rsid w:val="00477219"/>
    <w:rsid w:val="0047798F"/>
    <w:rsid w:val="00481172"/>
    <w:rsid w:val="004870C4"/>
    <w:rsid w:val="004870F6"/>
    <w:rsid w:val="00487CD6"/>
    <w:rsid w:val="004915A6"/>
    <w:rsid w:val="00492AD7"/>
    <w:rsid w:val="0049306C"/>
    <w:rsid w:val="00493A43"/>
    <w:rsid w:val="00494724"/>
    <w:rsid w:val="00494F05"/>
    <w:rsid w:val="004968E5"/>
    <w:rsid w:val="004977B4"/>
    <w:rsid w:val="004A0030"/>
    <w:rsid w:val="004A0AB8"/>
    <w:rsid w:val="004A2F26"/>
    <w:rsid w:val="004A357A"/>
    <w:rsid w:val="004A5686"/>
    <w:rsid w:val="004A6498"/>
    <w:rsid w:val="004A6E76"/>
    <w:rsid w:val="004B4632"/>
    <w:rsid w:val="004B68DD"/>
    <w:rsid w:val="004C10D9"/>
    <w:rsid w:val="004C1449"/>
    <w:rsid w:val="004C6D45"/>
    <w:rsid w:val="004C6D48"/>
    <w:rsid w:val="004C744C"/>
    <w:rsid w:val="004C77B2"/>
    <w:rsid w:val="004D11E3"/>
    <w:rsid w:val="004D26EE"/>
    <w:rsid w:val="004D3335"/>
    <w:rsid w:val="004D6193"/>
    <w:rsid w:val="004D636C"/>
    <w:rsid w:val="004E0C23"/>
    <w:rsid w:val="004E1795"/>
    <w:rsid w:val="004E2669"/>
    <w:rsid w:val="004E29FB"/>
    <w:rsid w:val="004E2A77"/>
    <w:rsid w:val="004F0A7D"/>
    <w:rsid w:val="004F182F"/>
    <w:rsid w:val="004F1A79"/>
    <w:rsid w:val="004F205C"/>
    <w:rsid w:val="004F4551"/>
    <w:rsid w:val="004F588F"/>
    <w:rsid w:val="004F6DA6"/>
    <w:rsid w:val="0050380D"/>
    <w:rsid w:val="005041DC"/>
    <w:rsid w:val="00505A8B"/>
    <w:rsid w:val="005064BA"/>
    <w:rsid w:val="00507E7D"/>
    <w:rsid w:val="005113B1"/>
    <w:rsid w:val="0051659D"/>
    <w:rsid w:val="0051715A"/>
    <w:rsid w:val="00517E7F"/>
    <w:rsid w:val="00522031"/>
    <w:rsid w:val="00522FD9"/>
    <w:rsid w:val="00523874"/>
    <w:rsid w:val="00524325"/>
    <w:rsid w:val="00524528"/>
    <w:rsid w:val="0052453B"/>
    <w:rsid w:val="0052457C"/>
    <w:rsid w:val="0052578C"/>
    <w:rsid w:val="00527316"/>
    <w:rsid w:val="005274AC"/>
    <w:rsid w:val="00527AEA"/>
    <w:rsid w:val="00530782"/>
    <w:rsid w:val="00530C1E"/>
    <w:rsid w:val="00533CE0"/>
    <w:rsid w:val="00540A35"/>
    <w:rsid w:val="00540D0B"/>
    <w:rsid w:val="00542415"/>
    <w:rsid w:val="00542A52"/>
    <w:rsid w:val="00544B50"/>
    <w:rsid w:val="0054671B"/>
    <w:rsid w:val="00546D43"/>
    <w:rsid w:val="00551018"/>
    <w:rsid w:val="005548D4"/>
    <w:rsid w:val="0055618B"/>
    <w:rsid w:val="00556E9B"/>
    <w:rsid w:val="00560838"/>
    <w:rsid w:val="005616ED"/>
    <w:rsid w:val="0056354C"/>
    <w:rsid w:val="005650DD"/>
    <w:rsid w:val="00565791"/>
    <w:rsid w:val="0056723E"/>
    <w:rsid w:val="00570399"/>
    <w:rsid w:val="0057405A"/>
    <w:rsid w:val="00574E81"/>
    <w:rsid w:val="00576909"/>
    <w:rsid w:val="005800AF"/>
    <w:rsid w:val="005814E4"/>
    <w:rsid w:val="00584001"/>
    <w:rsid w:val="00584191"/>
    <w:rsid w:val="005841CE"/>
    <w:rsid w:val="00584B9C"/>
    <w:rsid w:val="00585A00"/>
    <w:rsid w:val="0058669B"/>
    <w:rsid w:val="0058689B"/>
    <w:rsid w:val="005878D7"/>
    <w:rsid w:val="00592EF6"/>
    <w:rsid w:val="00593FB1"/>
    <w:rsid w:val="005947BE"/>
    <w:rsid w:val="005975A8"/>
    <w:rsid w:val="005A0B93"/>
    <w:rsid w:val="005A1E11"/>
    <w:rsid w:val="005A2234"/>
    <w:rsid w:val="005A2D4F"/>
    <w:rsid w:val="005A3C6F"/>
    <w:rsid w:val="005A3C80"/>
    <w:rsid w:val="005A4946"/>
    <w:rsid w:val="005A6598"/>
    <w:rsid w:val="005A6E2B"/>
    <w:rsid w:val="005B07F6"/>
    <w:rsid w:val="005B1420"/>
    <w:rsid w:val="005B179C"/>
    <w:rsid w:val="005B226C"/>
    <w:rsid w:val="005B2864"/>
    <w:rsid w:val="005B3FCB"/>
    <w:rsid w:val="005B402C"/>
    <w:rsid w:val="005B42CE"/>
    <w:rsid w:val="005B518B"/>
    <w:rsid w:val="005B5C2D"/>
    <w:rsid w:val="005B61B6"/>
    <w:rsid w:val="005B65E7"/>
    <w:rsid w:val="005C0877"/>
    <w:rsid w:val="005C3A33"/>
    <w:rsid w:val="005C3ECC"/>
    <w:rsid w:val="005C3ED5"/>
    <w:rsid w:val="005C5206"/>
    <w:rsid w:val="005C569E"/>
    <w:rsid w:val="005C58E1"/>
    <w:rsid w:val="005C733F"/>
    <w:rsid w:val="005D2327"/>
    <w:rsid w:val="005D301C"/>
    <w:rsid w:val="005D3193"/>
    <w:rsid w:val="005D35DA"/>
    <w:rsid w:val="005D5406"/>
    <w:rsid w:val="005D5FFB"/>
    <w:rsid w:val="005D6FD4"/>
    <w:rsid w:val="005D78E6"/>
    <w:rsid w:val="005E0EC1"/>
    <w:rsid w:val="005E14EB"/>
    <w:rsid w:val="005E3912"/>
    <w:rsid w:val="005E4B08"/>
    <w:rsid w:val="005F03D4"/>
    <w:rsid w:val="005F1CB9"/>
    <w:rsid w:val="005F2989"/>
    <w:rsid w:val="005F2A1C"/>
    <w:rsid w:val="005F31F4"/>
    <w:rsid w:val="005F349B"/>
    <w:rsid w:val="005F3ED4"/>
    <w:rsid w:val="0060196E"/>
    <w:rsid w:val="0060202F"/>
    <w:rsid w:val="00602C7C"/>
    <w:rsid w:val="00604F33"/>
    <w:rsid w:val="00606B81"/>
    <w:rsid w:val="00607C19"/>
    <w:rsid w:val="006100FA"/>
    <w:rsid w:val="00613C80"/>
    <w:rsid w:val="00615E12"/>
    <w:rsid w:val="00616691"/>
    <w:rsid w:val="00617512"/>
    <w:rsid w:val="006203E7"/>
    <w:rsid w:val="00621EA9"/>
    <w:rsid w:val="006220D5"/>
    <w:rsid w:val="00622324"/>
    <w:rsid w:val="00623B5A"/>
    <w:rsid w:val="006244FE"/>
    <w:rsid w:val="00625737"/>
    <w:rsid w:val="006258C9"/>
    <w:rsid w:val="00625EB5"/>
    <w:rsid w:val="00626027"/>
    <w:rsid w:val="00626D79"/>
    <w:rsid w:val="00632225"/>
    <w:rsid w:val="006327AB"/>
    <w:rsid w:val="006344EE"/>
    <w:rsid w:val="0063529A"/>
    <w:rsid w:val="006359A8"/>
    <w:rsid w:val="0063730A"/>
    <w:rsid w:val="00640179"/>
    <w:rsid w:val="00643BC3"/>
    <w:rsid w:val="00643EDE"/>
    <w:rsid w:val="00650A31"/>
    <w:rsid w:val="00650D2F"/>
    <w:rsid w:val="0065203D"/>
    <w:rsid w:val="00652509"/>
    <w:rsid w:val="00655FCA"/>
    <w:rsid w:val="0065616E"/>
    <w:rsid w:val="0065684A"/>
    <w:rsid w:val="00657579"/>
    <w:rsid w:val="0066186B"/>
    <w:rsid w:val="00661A90"/>
    <w:rsid w:val="00661D01"/>
    <w:rsid w:val="00663927"/>
    <w:rsid w:val="00663C73"/>
    <w:rsid w:val="00664975"/>
    <w:rsid w:val="00664DA3"/>
    <w:rsid w:val="00665526"/>
    <w:rsid w:val="0066571C"/>
    <w:rsid w:val="00665BBE"/>
    <w:rsid w:val="00666FD6"/>
    <w:rsid w:val="00670CC0"/>
    <w:rsid w:val="00671873"/>
    <w:rsid w:val="006738BE"/>
    <w:rsid w:val="0067435A"/>
    <w:rsid w:val="0067445D"/>
    <w:rsid w:val="00674AB3"/>
    <w:rsid w:val="006755AB"/>
    <w:rsid w:val="00677694"/>
    <w:rsid w:val="006806B0"/>
    <w:rsid w:val="006817A0"/>
    <w:rsid w:val="006827C6"/>
    <w:rsid w:val="00683272"/>
    <w:rsid w:val="00683B4A"/>
    <w:rsid w:val="006843CC"/>
    <w:rsid w:val="006867F0"/>
    <w:rsid w:val="00687BCE"/>
    <w:rsid w:val="00687CE4"/>
    <w:rsid w:val="00691283"/>
    <w:rsid w:val="00691729"/>
    <w:rsid w:val="00693FB1"/>
    <w:rsid w:val="006948F4"/>
    <w:rsid w:val="00695A34"/>
    <w:rsid w:val="006A058F"/>
    <w:rsid w:val="006A18D5"/>
    <w:rsid w:val="006A3371"/>
    <w:rsid w:val="006A761F"/>
    <w:rsid w:val="006B0F5E"/>
    <w:rsid w:val="006B628A"/>
    <w:rsid w:val="006B6298"/>
    <w:rsid w:val="006B76F1"/>
    <w:rsid w:val="006B7C69"/>
    <w:rsid w:val="006C2781"/>
    <w:rsid w:val="006C2A23"/>
    <w:rsid w:val="006C30FC"/>
    <w:rsid w:val="006C5683"/>
    <w:rsid w:val="006C69C1"/>
    <w:rsid w:val="006C75FC"/>
    <w:rsid w:val="006D089E"/>
    <w:rsid w:val="006D0D8D"/>
    <w:rsid w:val="006D25B0"/>
    <w:rsid w:val="006E32DE"/>
    <w:rsid w:val="006E4E42"/>
    <w:rsid w:val="006E5B5E"/>
    <w:rsid w:val="006E7320"/>
    <w:rsid w:val="006F0758"/>
    <w:rsid w:val="006F27FD"/>
    <w:rsid w:val="006F2BF9"/>
    <w:rsid w:val="006F4C74"/>
    <w:rsid w:val="006F7A23"/>
    <w:rsid w:val="006F7EA4"/>
    <w:rsid w:val="006F7ED4"/>
    <w:rsid w:val="007006B5"/>
    <w:rsid w:val="007006EA"/>
    <w:rsid w:val="00701191"/>
    <w:rsid w:val="00701E72"/>
    <w:rsid w:val="00702DE8"/>
    <w:rsid w:val="0070452E"/>
    <w:rsid w:val="007045F9"/>
    <w:rsid w:val="00705002"/>
    <w:rsid w:val="0070525A"/>
    <w:rsid w:val="00705A42"/>
    <w:rsid w:val="00705C10"/>
    <w:rsid w:val="00705E5E"/>
    <w:rsid w:val="007069E3"/>
    <w:rsid w:val="0070712B"/>
    <w:rsid w:val="0070728F"/>
    <w:rsid w:val="00710486"/>
    <w:rsid w:val="007106EC"/>
    <w:rsid w:val="00711336"/>
    <w:rsid w:val="007116B6"/>
    <w:rsid w:val="00713FAF"/>
    <w:rsid w:val="0071520B"/>
    <w:rsid w:val="0071615B"/>
    <w:rsid w:val="007176BA"/>
    <w:rsid w:val="00717D82"/>
    <w:rsid w:val="00717DFC"/>
    <w:rsid w:val="00721722"/>
    <w:rsid w:val="00723C2D"/>
    <w:rsid w:val="007256BE"/>
    <w:rsid w:val="00727134"/>
    <w:rsid w:val="00730C9F"/>
    <w:rsid w:val="00731EBC"/>
    <w:rsid w:val="0073218D"/>
    <w:rsid w:val="00732EA7"/>
    <w:rsid w:val="00733791"/>
    <w:rsid w:val="00735E86"/>
    <w:rsid w:val="007363EA"/>
    <w:rsid w:val="00737AA3"/>
    <w:rsid w:val="00737D84"/>
    <w:rsid w:val="007412B8"/>
    <w:rsid w:val="00742844"/>
    <w:rsid w:val="007444B3"/>
    <w:rsid w:val="00747DAE"/>
    <w:rsid w:val="00751657"/>
    <w:rsid w:val="00752614"/>
    <w:rsid w:val="00756C64"/>
    <w:rsid w:val="00756CCF"/>
    <w:rsid w:val="0075788D"/>
    <w:rsid w:val="00757EF5"/>
    <w:rsid w:val="007622AE"/>
    <w:rsid w:val="00762893"/>
    <w:rsid w:val="007628F9"/>
    <w:rsid w:val="0076471F"/>
    <w:rsid w:val="007660B0"/>
    <w:rsid w:val="0076610D"/>
    <w:rsid w:val="007666DD"/>
    <w:rsid w:val="007668B2"/>
    <w:rsid w:val="00770365"/>
    <w:rsid w:val="007704B8"/>
    <w:rsid w:val="00770FAA"/>
    <w:rsid w:val="00772942"/>
    <w:rsid w:val="0077295F"/>
    <w:rsid w:val="0077442B"/>
    <w:rsid w:val="00774773"/>
    <w:rsid w:val="007755E6"/>
    <w:rsid w:val="0077724D"/>
    <w:rsid w:val="00777370"/>
    <w:rsid w:val="00777E67"/>
    <w:rsid w:val="00780BCF"/>
    <w:rsid w:val="00781212"/>
    <w:rsid w:val="007828B7"/>
    <w:rsid w:val="00783F16"/>
    <w:rsid w:val="00784045"/>
    <w:rsid w:val="00785979"/>
    <w:rsid w:val="00785CC4"/>
    <w:rsid w:val="00785EE7"/>
    <w:rsid w:val="0079036C"/>
    <w:rsid w:val="00791E8C"/>
    <w:rsid w:val="00793B23"/>
    <w:rsid w:val="007944E6"/>
    <w:rsid w:val="007956E7"/>
    <w:rsid w:val="00797FA0"/>
    <w:rsid w:val="007A28D9"/>
    <w:rsid w:val="007A28E5"/>
    <w:rsid w:val="007A2B66"/>
    <w:rsid w:val="007A353C"/>
    <w:rsid w:val="007A383D"/>
    <w:rsid w:val="007A49D6"/>
    <w:rsid w:val="007A4EA0"/>
    <w:rsid w:val="007A6670"/>
    <w:rsid w:val="007B24F4"/>
    <w:rsid w:val="007B32AD"/>
    <w:rsid w:val="007B47A9"/>
    <w:rsid w:val="007B5D75"/>
    <w:rsid w:val="007B6439"/>
    <w:rsid w:val="007B7701"/>
    <w:rsid w:val="007B7978"/>
    <w:rsid w:val="007B7BAA"/>
    <w:rsid w:val="007C038F"/>
    <w:rsid w:val="007C139C"/>
    <w:rsid w:val="007C16E1"/>
    <w:rsid w:val="007C1751"/>
    <w:rsid w:val="007C1E6E"/>
    <w:rsid w:val="007C2180"/>
    <w:rsid w:val="007C22FB"/>
    <w:rsid w:val="007C27BC"/>
    <w:rsid w:val="007C2EE8"/>
    <w:rsid w:val="007C3182"/>
    <w:rsid w:val="007C51F2"/>
    <w:rsid w:val="007C543B"/>
    <w:rsid w:val="007C55A4"/>
    <w:rsid w:val="007C611A"/>
    <w:rsid w:val="007C6218"/>
    <w:rsid w:val="007C6489"/>
    <w:rsid w:val="007D0255"/>
    <w:rsid w:val="007D3F02"/>
    <w:rsid w:val="007D494D"/>
    <w:rsid w:val="007D5069"/>
    <w:rsid w:val="007D519F"/>
    <w:rsid w:val="007D5B2F"/>
    <w:rsid w:val="007D7461"/>
    <w:rsid w:val="007E210F"/>
    <w:rsid w:val="007E2BFA"/>
    <w:rsid w:val="007E2FDB"/>
    <w:rsid w:val="007E39E7"/>
    <w:rsid w:val="007E5595"/>
    <w:rsid w:val="007E578F"/>
    <w:rsid w:val="007E5EB1"/>
    <w:rsid w:val="007E6ACB"/>
    <w:rsid w:val="007F101A"/>
    <w:rsid w:val="007F1250"/>
    <w:rsid w:val="007F2C52"/>
    <w:rsid w:val="007F3638"/>
    <w:rsid w:val="007F3F88"/>
    <w:rsid w:val="00802F98"/>
    <w:rsid w:val="00804D2C"/>
    <w:rsid w:val="00805F83"/>
    <w:rsid w:val="00806091"/>
    <w:rsid w:val="008068AF"/>
    <w:rsid w:val="00810FE4"/>
    <w:rsid w:val="0081273B"/>
    <w:rsid w:val="00812B9F"/>
    <w:rsid w:val="008135DF"/>
    <w:rsid w:val="008136F1"/>
    <w:rsid w:val="008138CF"/>
    <w:rsid w:val="0081486E"/>
    <w:rsid w:val="0081704B"/>
    <w:rsid w:val="0082303E"/>
    <w:rsid w:val="00825D7C"/>
    <w:rsid w:val="0082600C"/>
    <w:rsid w:val="00827414"/>
    <w:rsid w:val="008306EF"/>
    <w:rsid w:val="00831E99"/>
    <w:rsid w:val="008343AC"/>
    <w:rsid w:val="008373DD"/>
    <w:rsid w:val="00837433"/>
    <w:rsid w:val="0084164C"/>
    <w:rsid w:val="008422A5"/>
    <w:rsid w:val="00845057"/>
    <w:rsid w:val="008467F1"/>
    <w:rsid w:val="008468BB"/>
    <w:rsid w:val="00846DAB"/>
    <w:rsid w:val="008506FF"/>
    <w:rsid w:val="00851238"/>
    <w:rsid w:val="00851B19"/>
    <w:rsid w:val="00851D86"/>
    <w:rsid w:val="00852A98"/>
    <w:rsid w:val="00853F52"/>
    <w:rsid w:val="00854284"/>
    <w:rsid w:val="008544A7"/>
    <w:rsid w:val="00854E6C"/>
    <w:rsid w:val="00855D95"/>
    <w:rsid w:val="008566D6"/>
    <w:rsid w:val="00856A61"/>
    <w:rsid w:val="00857725"/>
    <w:rsid w:val="00860AA9"/>
    <w:rsid w:val="00862EA3"/>
    <w:rsid w:val="00863612"/>
    <w:rsid w:val="0086391D"/>
    <w:rsid w:val="00863D69"/>
    <w:rsid w:val="0086420F"/>
    <w:rsid w:val="00864DCD"/>
    <w:rsid w:val="00865A3C"/>
    <w:rsid w:val="00865B32"/>
    <w:rsid w:val="00866C37"/>
    <w:rsid w:val="0087049A"/>
    <w:rsid w:val="00870B8C"/>
    <w:rsid w:val="00871210"/>
    <w:rsid w:val="008718F4"/>
    <w:rsid w:val="0087190C"/>
    <w:rsid w:val="00871B10"/>
    <w:rsid w:val="0087257D"/>
    <w:rsid w:val="0087359A"/>
    <w:rsid w:val="00874324"/>
    <w:rsid w:val="008748A3"/>
    <w:rsid w:val="008825CC"/>
    <w:rsid w:val="0088299D"/>
    <w:rsid w:val="00884AE4"/>
    <w:rsid w:val="008865A4"/>
    <w:rsid w:val="00887103"/>
    <w:rsid w:val="008913A9"/>
    <w:rsid w:val="00892367"/>
    <w:rsid w:val="00892AD7"/>
    <w:rsid w:val="008931E4"/>
    <w:rsid w:val="00893884"/>
    <w:rsid w:val="00893D1B"/>
    <w:rsid w:val="00894352"/>
    <w:rsid w:val="00894724"/>
    <w:rsid w:val="00894B01"/>
    <w:rsid w:val="0089509A"/>
    <w:rsid w:val="00895264"/>
    <w:rsid w:val="00895FC8"/>
    <w:rsid w:val="00897536"/>
    <w:rsid w:val="00897AC9"/>
    <w:rsid w:val="008A1116"/>
    <w:rsid w:val="008A1EF5"/>
    <w:rsid w:val="008A2D10"/>
    <w:rsid w:val="008A6971"/>
    <w:rsid w:val="008A768E"/>
    <w:rsid w:val="008A76B7"/>
    <w:rsid w:val="008B0B3B"/>
    <w:rsid w:val="008B774A"/>
    <w:rsid w:val="008C2305"/>
    <w:rsid w:val="008C26DE"/>
    <w:rsid w:val="008C46D5"/>
    <w:rsid w:val="008C4E0D"/>
    <w:rsid w:val="008C6FFB"/>
    <w:rsid w:val="008D069D"/>
    <w:rsid w:val="008D0790"/>
    <w:rsid w:val="008D1006"/>
    <w:rsid w:val="008D1FA4"/>
    <w:rsid w:val="008D2427"/>
    <w:rsid w:val="008D3557"/>
    <w:rsid w:val="008D434B"/>
    <w:rsid w:val="008D4CC3"/>
    <w:rsid w:val="008D5A8D"/>
    <w:rsid w:val="008D5F54"/>
    <w:rsid w:val="008D6811"/>
    <w:rsid w:val="008D6FED"/>
    <w:rsid w:val="008E02E0"/>
    <w:rsid w:val="008E1F05"/>
    <w:rsid w:val="008E64AD"/>
    <w:rsid w:val="008E6A45"/>
    <w:rsid w:val="008F108B"/>
    <w:rsid w:val="008F118C"/>
    <w:rsid w:val="008F12F4"/>
    <w:rsid w:val="008F1896"/>
    <w:rsid w:val="008F238C"/>
    <w:rsid w:val="008F28C7"/>
    <w:rsid w:val="008F625F"/>
    <w:rsid w:val="008F7317"/>
    <w:rsid w:val="0090152E"/>
    <w:rsid w:val="00901CBF"/>
    <w:rsid w:val="0090248C"/>
    <w:rsid w:val="00902B65"/>
    <w:rsid w:val="009031FC"/>
    <w:rsid w:val="00905E51"/>
    <w:rsid w:val="009060CA"/>
    <w:rsid w:val="00907930"/>
    <w:rsid w:val="00910384"/>
    <w:rsid w:val="009115E2"/>
    <w:rsid w:val="00912870"/>
    <w:rsid w:val="00912B91"/>
    <w:rsid w:val="0091375E"/>
    <w:rsid w:val="009142CD"/>
    <w:rsid w:val="009145CB"/>
    <w:rsid w:val="009152A0"/>
    <w:rsid w:val="00920A3F"/>
    <w:rsid w:val="00920D74"/>
    <w:rsid w:val="009220A2"/>
    <w:rsid w:val="009226EB"/>
    <w:rsid w:val="00922E46"/>
    <w:rsid w:val="00924ACD"/>
    <w:rsid w:val="009254D3"/>
    <w:rsid w:val="009269B5"/>
    <w:rsid w:val="009273CA"/>
    <w:rsid w:val="0092743C"/>
    <w:rsid w:val="009303E1"/>
    <w:rsid w:val="00930761"/>
    <w:rsid w:val="00935D41"/>
    <w:rsid w:val="00936DE3"/>
    <w:rsid w:val="00937040"/>
    <w:rsid w:val="00941CD2"/>
    <w:rsid w:val="00943303"/>
    <w:rsid w:val="009438C6"/>
    <w:rsid w:val="00943B2C"/>
    <w:rsid w:val="00945648"/>
    <w:rsid w:val="009456A8"/>
    <w:rsid w:val="00945CB6"/>
    <w:rsid w:val="00946EA8"/>
    <w:rsid w:val="00947BC4"/>
    <w:rsid w:val="009507F6"/>
    <w:rsid w:val="00950A5E"/>
    <w:rsid w:val="0095156D"/>
    <w:rsid w:val="00952B2D"/>
    <w:rsid w:val="00953302"/>
    <w:rsid w:val="00954BF0"/>
    <w:rsid w:val="0095624B"/>
    <w:rsid w:val="009562A5"/>
    <w:rsid w:val="00957E24"/>
    <w:rsid w:val="009644FB"/>
    <w:rsid w:val="00964BAF"/>
    <w:rsid w:val="00965B50"/>
    <w:rsid w:val="00965E7E"/>
    <w:rsid w:val="00965F6B"/>
    <w:rsid w:val="009670AF"/>
    <w:rsid w:val="009707C0"/>
    <w:rsid w:val="00970D4D"/>
    <w:rsid w:val="00971736"/>
    <w:rsid w:val="0097210C"/>
    <w:rsid w:val="009757F2"/>
    <w:rsid w:val="00983838"/>
    <w:rsid w:val="00985522"/>
    <w:rsid w:val="009857E8"/>
    <w:rsid w:val="00985B4D"/>
    <w:rsid w:val="00986672"/>
    <w:rsid w:val="009872D7"/>
    <w:rsid w:val="00987652"/>
    <w:rsid w:val="00993BC2"/>
    <w:rsid w:val="00994493"/>
    <w:rsid w:val="00994581"/>
    <w:rsid w:val="00994E33"/>
    <w:rsid w:val="00996591"/>
    <w:rsid w:val="00997707"/>
    <w:rsid w:val="009A0F91"/>
    <w:rsid w:val="009A3547"/>
    <w:rsid w:val="009A57A0"/>
    <w:rsid w:val="009A7C0F"/>
    <w:rsid w:val="009B217B"/>
    <w:rsid w:val="009B26DD"/>
    <w:rsid w:val="009B6D28"/>
    <w:rsid w:val="009C0313"/>
    <w:rsid w:val="009C056C"/>
    <w:rsid w:val="009C1BA0"/>
    <w:rsid w:val="009C1F97"/>
    <w:rsid w:val="009C7330"/>
    <w:rsid w:val="009D1289"/>
    <w:rsid w:val="009D1ECF"/>
    <w:rsid w:val="009D394B"/>
    <w:rsid w:val="009D5175"/>
    <w:rsid w:val="009D69AE"/>
    <w:rsid w:val="009E07AC"/>
    <w:rsid w:val="009E0B04"/>
    <w:rsid w:val="009E1E96"/>
    <w:rsid w:val="009E25E5"/>
    <w:rsid w:val="009E37B5"/>
    <w:rsid w:val="009E43E3"/>
    <w:rsid w:val="009E5E62"/>
    <w:rsid w:val="009E5E74"/>
    <w:rsid w:val="009E63D0"/>
    <w:rsid w:val="009E646A"/>
    <w:rsid w:val="009E66B2"/>
    <w:rsid w:val="009E6B20"/>
    <w:rsid w:val="009E6C63"/>
    <w:rsid w:val="009F09A6"/>
    <w:rsid w:val="009F105F"/>
    <w:rsid w:val="009F1451"/>
    <w:rsid w:val="009F2204"/>
    <w:rsid w:val="009F6036"/>
    <w:rsid w:val="009F6A26"/>
    <w:rsid w:val="009F6E58"/>
    <w:rsid w:val="00A00432"/>
    <w:rsid w:val="00A01A51"/>
    <w:rsid w:val="00A01B36"/>
    <w:rsid w:val="00A01BBB"/>
    <w:rsid w:val="00A0365C"/>
    <w:rsid w:val="00A03AFF"/>
    <w:rsid w:val="00A05E82"/>
    <w:rsid w:val="00A06D0E"/>
    <w:rsid w:val="00A077B3"/>
    <w:rsid w:val="00A12143"/>
    <w:rsid w:val="00A1214F"/>
    <w:rsid w:val="00A12409"/>
    <w:rsid w:val="00A12544"/>
    <w:rsid w:val="00A13B8E"/>
    <w:rsid w:val="00A15196"/>
    <w:rsid w:val="00A157B1"/>
    <w:rsid w:val="00A17F65"/>
    <w:rsid w:val="00A224FA"/>
    <w:rsid w:val="00A22DEA"/>
    <w:rsid w:val="00A2335F"/>
    <w:rsid w:val="00A24656"/>
    <w:rsid w:val="00A24EEB"/>
    <w:rsid w:val="00A251C9"/>
    <w:rsid w:val="00A2568B"/>
    <w:rsid w:val="00A4456B"/>
    <w:rsid w:val="00A44DF5"/>
    <w:rsid w:val="00A44FDF"/>
    <w:rsid w:val="00A46B90"/>
    <w:rsid w:val="00A50871"/>
    <w:rsid w:val="00A52ACE"/>
    <w:rsid w:val="00A551C7"/>
    <w:rsid w:val="00A61521"/>
    <w:rsid w:val="00A619C6"/>
    <w:rsid w:val="00A630AD"/>
    <w:rsid w:val="00A64FEF"/>
    <w:rsid w:val="00A65874"/>
    <w:rsid w:val="00A676F2"/>
    <w:rsid w:val="00A70839"/>
    <w:rsid w:val="00A71239"/>
    <w:rsid w:val="00A72563"/>
    <w:rsid w:val="00A72AC1"/>
    <w:rsid w:val="00A733E5"/>
    <w:rsid w:val="00A73F1F"/>
    <w:rsid w:val="00A75DAD"/>
    <w:rsid w:val="00A75F5C"/>
    <w:rsid w:val="00A775CA"/>
    <w:rsid w:val="00A77BE4"/>
    <w:rsid w:val="00A80FE9"/>
    <w:rsid w:val="00A8393D"/>
    <w:rsid w:val="00A83EAE"/>
    <w:rsid w:val="00A86A12"/>
    <w:rsid w:val="00A877BD"/>
    <w:rsid w:val="00A910AE"/>
    <w:rsid w:val="00A92002"/>
    <w:rsid w:val="00A9395B"/>
    <w:rsid w:val="00A94254"/>
    <w:rsid w:val="00A95764"/>
    <w:rsid w:val="00A95E27"/>
    <w:rsid w:val="00A96C63"/>
    <w:rsid w:val="00AA02E0"/>
    <w:rsid w:val="00AA04A6"/>
    <w:rsid w:val="00AA28FD"/>
    <w:rsid w:val="00AA2D4B"/>
    <w:rsid w:val="00AA575F"/>
    <w:rsid w:val="00AA6C00"/>
    <w:rsid w:val="00AB1183"/>
    <w:rsid w:val="00AB2B43"/>
    <w:rsid w:val="00AB3CF2"/>
    <w:rsid w:val="00AB4CE3"/>
    <w:rsid w:val="00AB53EF"/>
    <w:rsid w:val="00AB665A"/>
    <w:rsid w:val="00AB70B6"/>
    <w:rsid w:val="00AB77CE"/>
    <w:rsid w:val="00AC0A54"/>
    <w:rsid w:val="00AC1428"/>
    <w:rsid w:val="00AC404B"/>
    <w:rsid w:val="00AC405F"/>
    <w:rsid w:val="00AC511C"/>
    <w:rsid w:val="00AC6DC9"/>
    <w:rsid w:val="00AC7542"/>
    <w:rsid w:val="00AD022E"/>
    <w:rsid w:val="00AD2B0A"/>
    <w:rsid w:val="00AD2D38"/>
    <w:rsid w:val="00AD486D"/>
    <w:rsid w:val="00AD5B3B"/>
    <w:rsid w:val="00AD6415"/>
    <w:rsid w:val="00AD7268"/>
    <w:rsid w:val="00AE031F"/>
    <w:rsid w:val="00AE18C2"/>
    <w:rsid w:val="00AE1BBD"/>
    <w:rsid w:val="00AE2146"/>
    <w:rsid w:val="00AE27F0"/>
    <w:rsid w:val="00AE460D"/>
    <w:rsid w:val="00AE7B39"/>
    <w:rsid w:val="00AF1BE2"/>
    <w:rsid w:val="00AF34CF"/>
    <w:rsid w:val="00AF5D42"/>
    <w:rsid w:val="00AF60B7"/>
    <w:rsid w:val="00AF67D8"/>
    <w:rsid w:val="00B0151D"/>
    <w:rsid w:val="00B029AD"/>
    <w:rsid w:val="00B02EDF"/>
    <w:rsid w:val="00B0430B"/>
    <w:rsid w:val="00B04F23"/>
    <w:rsid w:val="00B052CE"/>
    <w:rsid w:val="00B06D50"/>
    <w:rsid w:val="00B07D2E"/>
    <w:rsid w:val="00B10038"/>
    <w:rsid w:val="00B12ED4"/>
    <w:rsid w:val="00B13F4A"/>
    <w:rsid w:val="00B1472F"/>
    <w:rsid w:val="00B20A1E"/>
    <w:rsid w:val="00B20D19"/>
    <w:rsid w:val="00B2100C"/>
    <w:rsid w:val="00B21451"/>
    <w:rsid w:val="00B24A04"/>
    <w:rsid w:val="00B256AB"/>
    <w:rsid w:val="00B26A0A"/>
    <w:rsid w:val="00B2705F"/>
    <w:rsid w:val="00B27100"/>
    <w:rsid w:val="00B27310"/>
    <w:rsid w:val="00B275F6"/>
    <w:rsid w:val="00B27E0B"/>
    <w:rsid w:val="00B33629"/>
    <w:rsid w:val="00B34117"/>
    <w:rsid w:val="00B35420"/>
    <w:rsid w:val="00B35A59"/>
    <w:rsid w:val="00B36AB3"/>
    <w:rsid w:val="00B36B66"/>
    <w:rsid w:val="00B379C2"/>
    <w:rsid w:val="00B4070C"/>
    <w:rsid w:val="00B41025"/>
    <w:rsid w:val="00B41D4A"/>
    <w:rsid w:val="00B42061"/>
    <w:rsid w:val="00B43FA7"/>
    <w:rsid w:val="00B459AB"/>
    <w:rsid w:val="00B464EF"/>
    <w:rsid w:val="00B46601"/>
    <w:rsid w:val="00B50605"/>
    <w:rsid w:val="00B527FA"/>
    <w:rsid w:val="00B531D0"/>
    <w:rsid w:val="00B5340E"/>
    <w:rsid w:val="00B549CB"/>
    <w:rsid w:val="00B56E46"/>
    <w:rsid w:val="00B61378"/>
    <w:rsid w:val="00B619F3"/>
    <w:rsid w:val="00B62564"/>
    <w:rsid w:val="00B629E4"/>
    <w:rsid w:val="00B64AE5"/>
    <w:rsid w:val="00B6694B"/>
    <w:rsid w:val="00B6776B"/>
    <w:rsid w:val="00B677D7"/>
    <w:rsid w:val="00B67C18"/>
    <w:rsid w:val="00B71488"/>
    <w:rsid w:val="00B724E5"/>
    <w:rsid w:val="00B725A0"/>
    <w:rsid w:val="00B73171"/>
    <w:rsid w:val="00B74174"/>
    <w:rsid w:val="00B74807"/>
    <w:rsid w:val="00B762A5"/>
    <w:rsid w:val="00B76670"/>
    <w:rsid w:val="00B77890"/>
    <w:rsid w:val="00B77EB9"/>
    <w:rsid w:val="00B800C9"/>
    <w:rsid w:val="00B81F8B"/>
    <w:rsid w:val="00B835A2"/>
    <w:rsid w:val="00B83F45"/>
    <w:rsid w:val="00B92F96"/>
    <w:rsid w:val="00B92FEC"/>
    <w:rsid w:val="00B93019"/>
    <w:rsid w:val="00B93201"/>
    <w:rsid w:val="00B94B5B"/>
    <w:rsid w:val="00B95498"/>
    <w:rsid w:val="00B95E85"/>
    <w:rsid w:val="00B96BDF"/>
    <w:rsid w:val="00B97138"/>
    <w:rsid w:val="00BA0306"/>
    <w:rsid w:val="00BA10EE"/>
    <w:rsid w:val="00BA3054"/>
    <w:rsid w:val="00BA3858"/>
    <w:rsid w:val="00BA5399"/>
    <w:rsid w:val="00BA56B4"/>
    <w:rsid w:val="00BB089C"/>
    <w:rsid w:val="00BB0D86"/>
    <w:rsid w:val="00BB1D4C"/>
    <w:rsid w:val="00BB3E88"/>
    <w:rsid w:val="00BB4511"/>
    <w:rsid w:val="00BB47AA"/>
    <w:rsid w:val="00BB50D5"/>
    <w:rsid w:val="00BB772F"/>
    <w:rsid w:val="00BC25DD"/>
    <w:rsid w:val="00BC31AF"/>
    <w:rsid w:val="00BC328B"/>
    <w:rsid w:val="00BC5502"/>
    <w:rsid w:val="00BC6E83"/>
    <w:rsid w:val="00BD0140"/>
    <w:rsid w:val="00BD0260"/>
    <w:rsid w:val="00BD0311"/>
    <w:rsid w:val="00BD1987"/>
    <w:rsid w:val="00BD2491"/>
    <w:rsid w:val="00BD34AC"/>
    <w:rsid w:val="00BD3D4A"/>
    <w:rsid w:val="00BD4CCA"/>
    <w:rsid w:val="00BD593D"/>
    <w:rsid w:val="00BD6684"/>
    <w:rsid w:val="00BD6A10"/>
    <w:rsid w:val="00BD7AE2"/>
    <w:rsid w:val="00BE1A76"/>
    <w:rsid w:val="00BE1CDD"/>
    <w:rsid w:val="00BE1E10"/>
    <w:rsid w:val="00BE26FA"/>
    <w:rsid w:val="00BE29B7"/>
    <w:rsid w:val="00BE3A64"/>
    <w:rsid w:val="00BE4A4C"/>
    <w:rsid w:val="00BE4B7D"/>
    <w:rsid w:val="00BE6A28"/>
    <w:rsid w:val="00BE6B94"/>
    <w:rsid w:val="00BE7546"/>
    <w:rsid w:val="00BF046F"/>
    <w:rsid w:val="00BF10BD"/>
    <w:rsid w:val="00BF138C"/>
    <w:rsid w:val="00BF17AA"/>
    <w:rsid w:val="00BF3057"/>
    <w:rsid w:val="00BF3EDA"/>
    <w:rsid w:val="00BF404D"/>
    <w:rsid w:val="00BF44BD"/>
    <w:rsid w:val="00BF5049"/>
    <w:rsid w:val="00C000CC"/>
    <w:rsid w:val="00C004F9"/>
    <w:rsid w:val="00C00603"/>
    <w:rsid w:val="00C00D57"/>
    <w:rsid w:val="00C029C8"/>
    <w:rsid w:val="00C03454"/>
    <w:rsid w:val="00C0422B"/>
    <w:rsid w:val="00C049A4"/>
    <w:rsid w:val="00C04D4C"/>
    <w:rsid w:val="00C06534"/>
    <w:rsid w:val="00C1148B"/>
    <w:rsid w:val="00C11BBD"/>
    <w:rsid w:val="00C1208B"/>
    <w:rsid w:val="00C120B2"/>
    <w:rsid w:val="00C12883"/>
    <w:rsid w:val="00C14A03"/>
    <w:rsid w:val="00C14DF2"/>
    <w:rsid w:val="00C14E00"/>
    <w:rsid w:val="00C1560C"/>
    <w:rsid w:val="00C15865"/>
    <w:rsid w:val="00C160F2"/>
    <w:rsid w:val="00C169D2"/>
    <w:rsid w:val="00C16AF0"/>
    <w:rsid w:val="00C2162F"/>
    <w:rsid w:val="00C21B61"/>
    <w:rsid w:val="00C21D46"/>
    <w:rsid w:val="00C22937"/>
    <w:rsid w:val="00C22D66"/>
    <w:rsid w:val="00C233BD"/>
    <w:rsid w:val="00C2453A"/>
    <w:rsid w:val="00C268F3"/>
    <w:rsid w:val="00C319CC"/>
    <w:rsid w:val="00C32A6A"/>
    <w:rsid w:val="00C333FD"/>
    <w:rsid w:val="00C35740"/>
    <w:rsid w:val="00C36796"/>
    <w:rsid w:val="00C36910"/>
    <w:rsid w:val="00C369E6"/>
    <w:rsid w:val="00C373C1"/>
    <w:rsid w:val="00C401C3"/>
    <w:rsid w:val="00C4298C"/>
    <w:rsid w:val="00C43920"/>
    <w:rsid w:val="00C4446E"/>
    <w:rsid w:val="00C47DF7"/>
    <w:rsid w:val="00C510B1"/>
    <w:rsid w:val="00C53A77"/>
    <w:rsid w:val="00C551CB"/>
    <w:rsid w:val="00C55EE7"/>
    <w:rsid w:val="00C56341"/>
    <w:rsid w:val="00C5768A"/>
    <w:rsid w:val="00C61895"/>
    <w:rsid w:val="00C6231F"/>
    <w:rsid w:val="00C6428E"/>
    <w:rsid w:val="00C64FFD"/>
    <w:rsid w:val="00C67DDE"/>
    <w:rsid w:val="00C67FBF"/>
    <w:rsid w:val="00C7000F"/>
    <w:rsid w:val="00C71AB6"/>
    <w:rsid w:val="00C71FD9"/>
    <w:rsid w:val="00C731F1"/>
    <w:rsid w:val="00C801A8"/>
    <w:rsid w:val="00C81736"/>
    <w:rsid w:val="00C8243A"/>
    <w:rsid w:val="00C83E3B"/>
    <w:rsid w:val="00C844B4"/>
    <w:rsid w:val="00C84DF5"/>
    <w:rsid w:val="00C857D9"/>
    <w:rsid w:val="00C866DC"/>
    <w:rsid w:val="00C86965"/>
    <w:rsid w:val="00C9084A"/>
    <w:rsid w:val="00C90B36"/>
    <w:rsid w:val="00C92622"/>
    <w:rsid w:val="00C92CE1"/>
    <w:rsid w:val="00C94465"/>
    <w:rsid w:val="00C9713D"/>
    <w:rsid w:val="00CA2C78"/>
    <w:rsid w:val="00CA3181"/>
    <w:rsid w:val="00CA44EA"/>
    <w:rsid w:val="00CA4565"/>
    <w:rsid w:val="00CA4604"/>
    <w:rsid w:val="00CA6A1B"/>
    <w:rsid w:val="00CA6DC2"/>
    <w:rsid w:val="00CA7F1B"/>
    <w:rsid w:val="00CB3D76"/>
    <w:rsid w:val="00CB454A"/>
    <w:rsid w:val="00CB54AC"/>
    <w:rsid w:val="00CB6F6D"/>
    <w:rsid w:val="00CC15B3"/>
    <w:rsid w:val="00CC1710"/>
    <w:rsid w:val="00CC1EC9"/>
    <w:rsid w:val="00CC3DD8"/>
    <w:rsid w:val="00CC5370"/>
    <w:rsid w:val="00CC5A8E"/>
    <w:rsid w:val="00CC6154"/>
    <w:rsid w:val="00CC6A19"/>
    <w:rsid w:val="00CD0778"/>
    <w:rsid w:val="00CD0B10"/>
    <w:rsid w:val="00CD0FBF"/>
    <w:rsid w:val="00CD3A4E"/>
    <w:rsid w:val="00CD3B0D"/>
    <w:rsid w:val="00CD5AD1"/>
    <w:rsid w:val="00CD5D5A"/>
    <w:rsid w:val="00CD6E6A"/>
    <w:rsid w:val="00CE1405"/>
    <w:rsid w:val="00CE44AE"/>
    <w:rsid w:val="00CE6C53"/>
    <w:rsid w:val="00CE7DF8"/>
    <w:rsid w:val="00CF0AB4"/>
    <w:rsid w:val="00CF231D"/>
    <w:rsid w:val="00CF6601"/>
    <w:rsid w:val="00D01FD0"/>
    <w:rsid w:val="00D0269B"/>
    <w:rsid w:val="00D0292B"/>
    <w:rsid w:val="00D03296"/>
    <w:rsid w:val="00D05CCE"/>
    <w:rsid w:val="00D06616"/>
    <w:rsid w:val="00D06634"/>
    <w:rsid w:val="00D069C7"/>
    <w:rsid w:val="00D078EE"/>
    <w:rsid w:val="00D125C1"/>
    <w:rsid w:val="00D12C4A"/>
    <w:rsid w:val="00D137A8"/>
    <w:rsid w:val="00D16B51"/>
    <w:rsid w:val="00D178F4"/>
    <w:rsid w:val="00D21EB3"/>
    <w:rsid w:val="00D21F52"/>
    <w:rsid w:val="00D22A1F"/>
    <w:rsid w:val="00D2392D"/>
    <w:rsid w:val="00D23D19"/>
    <w:rsid w:val="00D24102"/>
    <w:rsid w:val="00D248EF"/>
    <w:rsid w:val="00D25746"/>
    <w:rsid w:val="00D25B79"/>
    <w:rsid w:val="00D25C9C"/>
    <w:rsid w:val="00D2611B"/>
    <w:rsid w:val="00D26883"/>
    <w:rsid w:val="00D275BC"/>
    <w:rsid w:val="00D30438"/>
    <w:rsid w:val="00D30F20"/>
    <w:rsid w:val="00D31EB4"/>
    <w:rsid w:val="00D327F7"/>
    <w:rsid w:val="00D331F0"/>
    <w:rsid w:val="00D34594"/>
    <w:rsid w:val="00D34F41"/>
    <w:rsid w:val="00D37F71"/>
    <w:rsid w:val="00D417E9"/>
    <w:rsid w:val="00D43017"/>
    <w:rsid w:val="00D448A5"/>
    <w:rsid w:val="00D5034E"/>
    <w:rsid w:val="00D533A0"/>
    <w:rsid w:val="00D5464D"/>
    <w:rsid w:val="00D5520D"/>
    <w:rsid w:val="00D5583C"/>
    <w:rsid w:val="00D61ED3"/>
    <w:rsid w:val="00D641F1"/>
    <w:rsid w:val="00D6542F"/>
    <w:rsid w:val="00D66256"/>
    <w:rsid w:val="00D66E6F"/>
    <w:rsid w:val="00D71625"/>
    <w:rsid w:val="00D72C2F"/>
    <w:rsid w:val="00D77D10"/>
    <w:rsid w:val="00D80739"/>
    <w:rsid w:val="00D821D9"/>
    <w:rsid w:val="00D82954"/>
    <w:rsid w:val="00D84B0A"/>
    <w:rsid w:val="00D84CEF"/>
    <w:rsid w:val="00D84EB1"/>
    <w:rsid w:val="00D86E7B"/>
    <w:rsid w:val="00D92A1A"/>
    <w:rsid w:val="00D93708"/>
    <w:rsid w:val="00D93F54"/>
    <w:rsid w:val="00D94437"/>
    <w:rsid w:val="00DA2817"/>
    <w:rsid w:val="00DA3799"/>
    <w:rsid w:val="00DA4494"/>
    <w:rsid w:val="00DA4D02"/>
    <w:rsid w:val="00DA5F8A"/>
    <w:rsid w:val="00DA76B3"/>
    <w:rsid w:val="00DB030F"/>
    <w:rsid w:val="00DB0808"/>
    <w:rsid w:val="00DB0977"/>
    <w:rsid w:val="00DB1132"/>
    <w:rsid w:val="00DB236C"/>
    <w:rsid w:val="00DB3499"/>
    <w:rsid w:val="00DB362A"/>
    <w:rsid w:val="00DB65DD"/>
    <w:rsid w:val="00DC0774"/>
    <w:rsid w:val="00DC0CC4"/>
    <w:rsid w:val="00DC5A4F"/>
    <w:rsid w:val="00DC6F6B"/>
    <w:rsid w:val="00DC7B01"/>
    <w:rsid w:val="00DD0B0C"/>
    <w:rsid w:val="00DD143A"/>
    <w:rsid w:val="00DD3AB0"/>
    <w:rsid w:val="00DD484A"/>
    <w:rsid w:val="00DD49BD"/>
    <w:rsid w:val="00DD56F6"/>
    <w:rsid w:val="00DD6720"/>
    <w:rsid w:val="00DD764A"/>
    <w:rsid w:val="00DE02FC"/>
    <w:rsid w:val="00DE2E0C"/>
    <w:rsid w:val="00DE39AA"/>
    <w:rsid w:val="00DE524C"/>
    <w:rsid w:val="00DE5CF4"/>
    <w:rsid w:val="00DE7F64"/>
    <w:rsid w:val="00DF0B11"/>
    <w:rsid w:val="00DF2847"/>
    <w:rsid w:val="00DF2C3B"/>
    <w:rsid w:val="00DF3774"/>
    <w:rsid w:val="00DF38A4"/>
    <w:rsid w:val="00DF4C2F"/>
    <w:rsid w:val="00DF67DE"/>
    <w:rsid w:val="00DF684F"/>
    <w:rsid w:val="00DF7F70"/>
    <w:rsid w:val="00E023EF"/>
    <w:rsid w:val="00E02BDD"/>
    <w:rsid w:val="00E03442"/>
    <w:rsid w:val="00E03647"/>
    <w:rsid w:val="00E056FE"/>
    <w:rsid w:val="00E05B67"/>
    <w:rsid w:val="00E07325"/>
    <w:rsid w:val="00E107E2"/>
    <w:rsid w:val="00E1169D"/>
    <w:rsid w:val="00E130AB"/>
    <w:rsid w:val="00E13F50"/>
    <w:rsid w:val="00E17BDF"/>
    <w:rsid w:val="00E2104A"/>
    <w:rsid w:val="00E233A9"/>
    <w:rsid w:val="00E23E76"/>
    <w:rsid w:val="00E24C0D"/>
    <w:rsid w:val="00E27B60"/>
    <w:rsid w:val="00E32EF7"/>
    <w:rsid w:val="00E34EFD"/>
    <w:rsid w:val="00E357F3"/>
    <w:rsid w:val="00E3792C"/>
    <w:rsid w:val="00E404A2"/>
    <w:rsid w:val="00E4256A"/>
    <w:rsid w:val="00E42656"/>
    <w:rsid w:val="00E42BE9"/>
    <w:rsid w:val="00E44043"/>
    <w:rsid w:val="00E441C4"/>
    <w:rsid w:val="00E45403"/>
    <w:rsid w:val="00E458FD"/>
    <w:rsid w:val="00E45A83"/>
    <w:rsid w:val="00E4700C"/>
    <w:rsid w:val="00E47BA5"/>
    <w:rsid w:val="00E50874"/>
    <w:rsid w:val="00E5092D"/>
    <w:rsid w:val="00E50997"/>
    <w:rsid w:val="00E50B32"/>
    <w:rsid w:val="00E52305"/>
    <w:rsid w:val="00E52380"/>
    <w:rsid w:val="00E546F1"/>
    <w:rsid w:val="00E5771A"/>
    <w:rsid w:val="00E60096"/>
    <w:rsid w:val="00E6305B"/>
    <w:rsid w:val="00E63957"/>
    <w:rsid w:val="00E64D72"/>
    <w:rsid w:val="00E663F2"/>
    <w:rsid w:val="00E66432"/>
    <w:rsid w:val="00E667F5"/>
    <w:rsid w:val="00E66B86"/>
    <w:rsid w:val="00E66FD7"/>
    <w:rsid w:val="00E776E1"/>
    <w:rsid w:val="00E8475F"/>
    <w:rsid w:val="00E8524B"/>
    <w:rsid w:val="00E901AF"/>
    <w:rsid w:val="00E90F5D"/>
    <w:rsid w:val="00E943C2"/>
    <w:rsid w:val="00E94A51"/>
    <w:rsid w:val="00E94E1B"/>
    <w:rsid w:val="00E96383"/>
    <w:rsid w:val="00E969F0"/>
    <w:rsid w:val="00E9745D"/>
    <w:rsid w:val="00EA1435"/>
    <w:rsid w:val="00EA17D7"/>
    <w:rsid w:val="00EA2453"/>
    <w:rsid w:val="00EA4379"/>
    <w:rsid w:val="00EA732E"/>
    <w:rsid w:val="00EA76CA"/>
    <w:rsid w:val="00EA7B97"/>
    <w:rsid w:val="00EA7D53"/>
    <w:rsid w:val="00EB0F7C"/>
    <w:rsid w:val="00EB5ADC"/>
    <w:rsid w:val="00EB6CFE"/>
    <w:rsid w:val="00EB7B95"/>
    <w:rsid w:val="00EB7E34"/>
    <w:rsid w:val="00EC0698"/>
    <w:rsid w:val="00EC0EF0"/>
    <w:rsid w:val="00EC27BE"/>
    <w:rsid w:val="00EC48A7"/>
    <w:rsid w:val="00EC5957"/>
    <w:rsid w:val="00EC6D99"/>
    <w:rsid w:val="00EC768D"/>
    <w:rsid w:val="00ED03FE"/>
    <w:rsid w:val="00ED26BE"/>
    <w:rsid w:val="00ED3D1B"/>
    <w:rsid w:val="00ED4508"/>
    <w:rsid w:val="00ED76E3"/>
    <w:rsid w:val="00EE1460"/>
    <w:rsid w:val="00EE25A0"/>
    <w:rsid w:val="00EE3211"/>
    <w:rsid w:val="00EE32F0"/>
    <w:rsid w:val="00EE58AD"/>
    <w:rsid w:val="00EE66E2"/>
    <w:rsid w:val="00EE7B04"/>
    <w:rsid w:val="00EF1370"/>
    <w:rsid w:val="00EF2142"/>
    <w:rsid w:val="00EF62C9"/>
    <w:rsid w:val="00EF7CE1"/>
    <w:rsid w:val="00F012E5"/>
    <w:rsid w:val="00F01D80"/>
    <w:rsid w:val="00F037A0"/>
    <w:rsid w:val="00F042F9"/>
    <w:rsid w:val="00F05358"/>
    <w:rsid w:val="00F05E2F"/>
    <w:rsid w:val="00F068BA"/>
    <w:rsid w:val="00F06D58"/>
    <w:rsid w:val="00F070F6"/>
    <w:rsid w:val="00F07927"/>
    <w:rsid w:val="00F113E1"/>
    <w:rsid w:val="00F13B73"/>
    <w:rsid w:val="00F14130"/>
    <w:rsid w:val="00F156A7"/>
    <w:rsid w:val="00F160A1"/>
    <w:rsid w:val="00F16370"/>
    <w:rsid w:val="00F17F98"/>
    <w:rsid w:val="00F20BF0"/>
    <w:rsid w:val="00F220F1"/>
    <w:rsid w:val="00F23AF1"/>
    <w:rsid w:val="00F23D1D"/>
    <w:rsid w:val="00F245AF"/>
    <w:rsid w:val="00F24D02"/>
    <w:rsid w:val="00F25CAA"/>
    <w:rsid w:val="00F260BD"/>
    <w:rsid w:val="00F2619D"/>
    <w:rsid w:val="00F27408"/>
    <w:rsid w:val="00F33BBB"/>
    <w:rsid w:val="00F34FDA"/>
    <w:rsid w:val="00F36EFB"/>
    <w:rsid w:val="00F37B58"/>
    <w:rsid w:val="00F40693"/>
    <w:rsid w:val="00F40E41"/>
    <w:rsid w:val="00F418FB"/>
    <w:rsid w:val="00F41C3B"/>
    <w:rsid w:val="00F439D6"/>
    <w:rsid w:val="00F43FF7"/>
    <w:rsid w:val="00F44108"/>
    <w:rsid w:val="00F449C9"/>
    <w:rsid w:val="00F464FD"/>
    <w:rsid w:val="00F47B0C"/>
    <w:rsid w:val="00F47C06"/>
    <w:rsid w:val="00F47E71"/>
    <w:rsid w:val="00F50FF1"/>
    <w:rsid w:val="00F5168B"/>
    <w:rsid w:val="00F549B8"/>
    <w:rsid w:val="00F5698D"/>
    <w:rsid w:val="00F63FA4"/>
    <w:rsid w:val="00F64D64"/>
    <w:rsid w:val="00F65803"/>
    <w:rsid w:val="00F662E7"/>
    <w:rsid w:val="00F6707C"/>
    <w:rsid w:val="00F67C3A"/>
    <w:rsid w:val="00F7172B"/>
    <w:rsid w:val="00F77669"/>
    <w:rsid w:val="00F82718"/>
    <w:rsid w:val="00F82765"/>
    <w:rsid w:val="00F8322D"/>
    <w:rsid w:val="00F83961"/>
    <w:rsid w:val="00F8435F"/>
    <w:rsid w:val="00F87EB1"/>
    <w:rsid w:val="00F900D5"/>
    <w:rsid w:val="00F91195"/>
    <w:rsid w:val="00F915FA"/>
    <w:rsid w:val="00F9522A"/>
    <w:rsid w:val="00F96355"/>
    <w:rsid w:val="00F96713"/>
    <w:rsid w:val="00FA1566"/>
    <w:rsid w:val="00FA2A2E"/>
    <w:rsid w:val="00FA3F4E"/>
    <w:rsid w:val="00FA50E5"/>
    <w:rsid w:val="00FA5E30"/>
    <w:rsid w:val="00FA74A9"/>
    <w:rsid w:val="00FA7BAB"/>
    <w:rsid w:val="00FB10C9"/>
    <w:rsid w:val="00FB19A4"/>
    <w:rsid w:val="00FB2A5F"/>
    <w:rsid w:val="00FB2B55"/>
    <w:rsid w:val="00FB2FED"/>
    <w:rsid w:val="00FB37B3"/>
    <w:rsid w:val="00FB3F76"/>
    <w:rsid w:val="00FB49C6"/>
    <w:rsid w:val="00FB5385"/>
    <w:rsid w:val="00FB6923"/>
    <w:rsid w:val="00FB6A50"/>
    <w:rsid w:val="00FB72AF"/>
    <w:rsid w:val="00FB766F"/>
    <w:rsid w:val="00FB7C99"/>
    <w:rsid w:val="00FC1F04"/>
    <w:rsid w:val="00FC2768"/>
    <w:rsid w:val="00FC3A36"/>
    <w:rsid w:val="00FC430B"/>
    <w:rsid w:val="00FC570D"/>
    <w:rsid w:val="00FD01E1"/>
    <w:rsid w:val="00FD0EB6"/>
    <w:rsid w:val="00FD30EA"/>
    <w:rsid w:val="00FD3786"/>
    <w:rsid w:val="00FD6977"/>
    <w:rsid w:val="00FD76C4"/>
    <w:rsid w:val="00FD77CE"/>
    <w:rsid w:val="00FE0ECC"/>
    <w:rsid w:val="00FE10A3"/>
    <w:rsid w:val="00FE12AE"/>
    <w:rsid w:val="00FE3093"/>
    <w:rsid w:val="00FE3540"/>
    <w:rsid w:val="00FE3F12"/>
    <w:rsid w:val="00FE45B9"/>
    <w:rsid w:val="00FE4FAE"/>
    <w:rsid w:val="00FE6808"/>
    <w:rsid w:val="00FE7BA4"/>
    <w:rsid w:val="00FE7BB2"/>
    <w:rsid w:val="00FE7E09"/>
    <w:rsid w:val="00FF124D"/>
    <w:rsid w:val="00FF1D23"/>
    <w:rsid w:val="00FF1F23"/>
    <w:rsid w:val="00FF2CC4"/>
    <w:rsid w:val="00FF4870"/>
    <w:rsid w:val="00FF4A81"/>
    <w:rsid w:val="00FF5902"/>
    <w:rsid w:val="00FF5D17"/>
    <w:rsid w:val="00FF61F0"/>
    <w:rsid w:val="01023B45"/>
    <w:rsid w:val="01303EE4"/>
    <w:rsid w:val="01436986"/>
    <w:rsid w:val="01D90823"/>
    <w:rsid w:val="01E50D53"/>
    <w:rsid w:val="0222225B"/>
    <w:rsid w:val="0232639E"/>
    <w:rsid w:val="02E9000B"/>
    <w:rsid w:val="03F91788"/>
    <w:rsid w:val="0435220B"/>
    <w:rsid w:val="04A10F62"/>
    <w:rsid w:val="052919A6"/>
    <w:rsid w:val="05EC7396"/>
    <w:rsid w:val="06677F89"/>
    <w:rsid w:val="066E0B04"/>
    <w:rsid w:val="06B331CE"/>
    <w:rsid w:val="06C76C7A"/>
    <w:rsid w:val="07322846"/>
    <w:rsid w:val="079F0AA0"/>
    <w:rsid w:val="0822201E"/>
    <w:rsid w:val="088A61B1"/>
    <w:rsid w:val="089E411E"/>
    <w:rsid w:val="095953E8"/>
    <w:rsid w:val="099B7EFF"/>
    <w:rsid w:val="0B0E7656"/>
    <w:rsid w:val="0BB51797"/>
    <w:rsid w:val="0C4C20FB"/>
    <w:rsid w:val="0C81234A"/>
    <w:rsid w:val="0CB2089D"/>
    <w:rsid w:val="0CDA41F2"/>
    <w:rsid w:val="0CF24064"/>
    <w:rsid w:val="0D7A28CA"/>
    <w:rsid w:val="0DC91529"/>
    <w:rsid w:val="0E5E7E25"/>
    <w:rsid w:val="0E7476E7"/>
    <w:rsid w:val="0EB91321"/>
    <w:rsid w:val="0EBC62AD"/>
    <w:rsid w:val="0F0E7B3C"/>
    <w:rsid w:val="0F691186"/>
    <w:rsid w:val="0F733A6B"/>
    <w:rsid w:val="0FA34410"/>
    <w:rsid w:val="101604C9"/>
    <w:rsid w:val="1043012F"/>
    <w:rsid w:val="104935C7"/>
    <w:rsid w:val="10685029"/>
    <w:rsid w:val="109F01BA"/>
    <w:rsid w:val="10B16EB4"/>
    <w:rsid w:val="10EE5D63"/>
    <w:rsid w:val="10F04ED1"/>
    <w:rsid w:val="11C73FD2"/>
    <w:rsid w:val="11FA70DC"/>
    <w:rsid w:val="1201409C"/>
    <w:rsid w:val="121C4E44"/>
    <w:rsid w:val="127467FC"/>
    <w:rsid w:val="132664A3"/>
    <w:rsid w:val="133B4ABA"/>
    <w:rsid w:val="138F3B6E"/>
    <w:rsid w:val="14BC6D14"/>
    <w:rsid w:val="14D505F1"/>
    <w:rsid w:val="152E621D"/>
    <w:rsid w:val="15537304"/>
    <w:rsid w:val="15692CBD"/>
    <w:rsid w:val="15FA3E3F"/>
    <w:rsid w:val="16585E87"/>
    <w:rsid w:val="165F0C7D"/>
    <w:rsid w:val="16B637AD"/>
    <w:rsid w:val="178A6818"/>
    <w:rsid w:val="17F13B56"/>
    <w:rsid w:val="189A5F9C"/>
    <w:rsid w:val="18E02B21"/>
    <w:rsid w:val="192B12EA"/>
    <w:rsid w:val="193957B5"/>
    <w:rsid w:val="195B1BCF"/>
    <w:rsid w:val="1A231FC1"/>
    <w:rsid w:val="1AD56698"/>
    <w:rsid w:val="1AEF6A73"/>
    <w:rsid w:val="1AF23CFB"/>
    <w:rsid w:val="1B501B2E"/>
    <w:rsid w:val="1BF86185"/>
    <w:rsid w:val="1C5841A4"/>
    <w:rsid w:val="1CD81789"/>
    <w:rsid w:val="1CD83537"/>
    <w:rsid w:val="1D100F23"/>
    <w:rsid w:val="1D3E7C43"/>
    <w:rsid w:val="1DFD14A7"/>
    <w:rsid w:val="1E0828F6"/>
    <w:rsid w:val="1E8B77D9"/>
    <w:rsid w:val="1E8D388A"/>
    <w:rsid w:val="1EBA191C"/>
    <w:rsid w:val="20523600"/>
    <w:rsid w:val="20785CB5"/>
    <w:rsid w:val="20C462AC"/>
    <w:rsid w:val="20FD356C"/>
    <w:rsid w:val="21696E53"/>
    <w:rsid w:val="21D56297"/>
    <w:rsid w:val="23581C71"/>
    <w:rsid w:val="23616EE4"/>
    <w:rsid w:val="24FD1D8D"/>
    <w:rsid w:val="25050C41"/>
    <w:rsid w:val="25097693"/>
    <w:rsid w:val="2556244F"/>
    <w:rsid w:val="256516E0"/>
    <w:rsid w:val="25B7372B"/>
    <w:rsid w:val="25E569DF"/>
    <w:rsid w:val="264E3DCE"/>
    <w:rsid w:val="268B161A"/>
    <w:rsid w:val="27BF40EE"/>
    <w:rsid w:val="27D8263D"/>
    <w:rsid w:val="28B52B84"/>
    <w:rsid w:val="28EA087A"/>
    <w:rsid w:val="291A4BB0"/>
    <w:rsid w:val="29F814B7"/>
    <w:rsid w:val="2A0F09FE"/>
    <w:rsid w:val="2A197236"/>
    <w:rsid w:val="2A3117A7"/>
    <w:rsid w:val="2A351FC9"/>
    <w:rsid w:val="2AB34861"/>
    <w:rsid w:val="2AC82E3D"/>
    <w:rsid w:val="2AFB6D6E"/>
    <w:rsid w:val="2B11739E"/>
    <w:rsid w:val="2B5B0363"/>
    <w:rsid w:val="2C1E438C"/>
    <w:rsid w:val="2C437999"/>
    <w:rsid w:val="2C870122"/>
    <w:rsid w:val="2C8D19F7"/>
    <w:rsid w:val="2CC80EB8"/>
    <w:rsid w:val="2E1317E0"/>
    <w:rsid w:val="2E180609"/>
    <w:rsid w:val="2F7470EF"/>
    <w:rsid w:val="2FE130A0"/>
    <w:rsid w:val="30A457B2"/>
    <w:rsid w:val="31226782"/>
    <w:rsid w:val="3160503C"/>
    <w:rsid w:val="31EF35EE"/>
    <w:rsid w:val="321B1AA4"/>
    <w:rsid w:val="325338CA"/>
    <w:rsid w:val="327E4372"/>
    <w:rsid w:val="32DD0106"/>
    <w:rsid w:val="32EE71B8"/>
    <w:rsid w:val="33F41B72"/>
    <w:rsid w:val="348D7A46"/>
    <w:rsid w:val="34BC466C"/>
    <w:rsid w:val="34D4418C"/>
    <w:rsid w:val="34E33701"/>
    <w:rsid w:val="3515780D"/>
    <w:rsid w:val="36F079A3"/>
    <w:rsid w:val="36FF1994"/>
    <w:rsid w:val="371511B8"/>
    <w:rsid w:val="383D40B1"/>
    <w:rsid w:val="38817960"/>
    <w:rsid w:val="38F33963"/>
    <w:rsid w:val="394A5BAB"/>
    <w:rsid w:val="39CC282A"/>
    <w:rsid w:val="39F41558"/>
    <w:rsid w:val="39FA5619"/>
    <w:rsid w:val="3A59760D"/>
    <w:rsid w:val="3A6113D6"/>
    <w:rsid w:val="3AA47611"/>
    <w:rsid w:val="3AD15428"/>
    <w:rsid w:val="3B5F5322"/>
    <w:rsid w:val="3BA1016D"/>
    <w:rsid w:val="3BCD5235"/>
    <w:rsid w:val="3BE05E51"/>
    <w:rsid w:val="3C945B02"/>
    <w:rsid w:val="3D7F307A"/>
    <w:rsid w:val="3DC57ED4"/>
    <w:rsid w:val="3E0C2085"/>
    <w:rsid w:val="3E2033CE"/>
    <w:rsid w:val="3E63412E"/>
    <w:rsid w:val="3E7B0388"/>
    <w:rsid w:val="3E907C2F"/>
    <w:rsid w:val="3EBE0387"/>
    <w:rsid w:val="3F877ADF"/>
    <w:rsid w:val="3FB35A12"/>
    <w:rsid w:val="40C854ED"/>
    <w:rsid w:val="40CA5241"/>
    <w:rsid w:val="41116A4F"/>
    <w:rsid w:val="41836C5C"/>
    <w:rsid w:val="41C81CA4"/>
    <w:rsid w:val="427B36EE"/>
    <w:rsid w:val="42C62773"/>
    <w:rsid w:val="433B2D6F"/>
    <w:rsid w:val="43423FB9"/>
    <w:rsid w:val="443B57D0"/>
    <w:rsid w:val="44B30262"/>
    <w:rsid w:val="456450B8"/>
    <w:rsid w:val="45962698"/>
    <w:rsid w:val="45B553EB"/>
    <w:rsid w:val="4642364B"/>
    <w:rsid w:val="46721FA3"/>
    <w:rsid w:val="467D07D9"/>
    <w:rsid w:val="46A6600E"/>
    <w:rsid w:val="475573AE"/>
    <w:rsid w:val="476B7238"/>
    <w:rsid w:val="479814DE"/>
    <w:rsid w:val="47A06CE8"/>
    <w:rsid w:val="483A6C04"/>
    <w:rsid w:val="489028F5"/>
    <w:rsid w:val="48911D8A"/>
    <w:rsid w:val="48D54B7A"/>
    <w:rsid w:val="493556E9"/>
    <w:rsid w:val="4960549B"/>
    <w:rsid w:val="4A072B32"/>
    <w:rsid w:val="4AC42904"/>
    <w:rsid w:val="4AF75DD6"/>
    <w:rsid w:val="4B531CC0"/>
    <w:rsid w:val="4B751DCD"/>
    <w:rsid w:val="4C473A14"/>
    <w:rsid w:val="4C561BFF"/>
    <w:rsid w:val="4C573A84"/>
    <w:rsid w:val="4C79769B"/>
    <w:rsid w:val="4CBB2F66"/>
    <w:rsid w:val="4CC065F7"/>
    <w:rsid w:val="4CCC0113"/>
    <w:rsid w:val="4D3161C8"/>
    <w:rsid w:val="4D425101"/>
    <w:rsid w:val="4DED0341"/>
    <w:rsid w:val="4DEE3CFD"/>
    <w:rsid w:val="4DF951F0"/>
    <w:rsid w:val="4E810A89"/>
    <w:rsid w:val="4EAF1A9A"/>
    <w:rsid w:val="4EBC39D7"/>
    <w:rsid w:val="4ECF3EEA"/>
    <w:rsid w:val="4EF462BB"/>
    <w:rsid w:val="4F3E3A83"/>
    <w:rsid w:val="4F572396"/>
    <w:rsid w:val="4F9F566B"/>
    <w:rsid w:val="4FBE01E7"/>
    <w:rsid w:val="50D44BB1"/>
    <w:rsid w:val="5106201A"/>
    <w:rsid w:val="517F7502"/>
    <w:rsid w:val="51AB08AC"/>
    <w:rsid w:val="52086ED1"/>
    <w:rsid w:val="52192CC0"/>
    <w:rsid w:val="523A2E65"/>
    <w:rsid w:val="52BB24FF"/>
    <w:rsid w:val="52D702C1"/>
    <w:rsid w:val="52E87329"/>
    <w:rsid w:val="542C2760"/>
    <w:rsid w:val="544B2490"/>
    <w:rsid w:val="54A6749B"/>
    <w:rsid w:val="55086E0C"/>
    <w:rsid w:val="55C36384"/>
    <w:rsid w:val="56D57BC4"/>
    <w:rsid w:val="56EF4D14"/>
    <w:rsid w:val="571B1411"/>
    <w:rsid w:val="57723665"/>
    <w:rsid w:val="577B4C0F"/>
    <w:rsid w:val="57F53A2F"/>
    <w:rsid w:val="58816255"/>
    <w:rsid w:val="59764178"/>
    <w:rsid w:val="59B85CA7"/>
    <w:rsid w:val="59F64A21"/>
    <w:rsid w:val="5AD22D98"/>
    <w:rsid w:val="5B8B1199"/>
    <w:rsid w:val="5BFF18AD"/>
    <w:rsid w:val="5C5048E0"/>
    <w:rsid w:val="5CF76A0D"/>
    <w:rsid w:val="5D996B17"/>
    <w:rsid w:val="5DD0245C"/>
    <w:rsid w:val="5E7128C8"/>
    <w:rsid w:val="60AB6044"/>
    <w:rsid w:val="60B26C85"/>
    <w:rsid w:val="60FF240D"/>
    <w:rsid w:val="611539DF"/>
    <w:rsid w:val="621D48D8"/>
    <w:rsid w:val="623146A6"/>
    <w:rsid w:val="627110E9"/>
    <w:rsid w:val="628D60ED"/>
    <w:rsid w:val="628F3483"/>
    <w:rsid w:val="62AC6CA7"/>
    <w:rsid w:val="63795CCD"/>
    <w:rsid w:val="63AE1EC8"/>
    <w:rsid w:val="63CE5BCA"/>
    <w:rsid w:val="63FC2C34"/>
    <w:rsid w:val="64E829FE"/>
    <w:rsid w:val="650F4BE9"/>
    <w:rsid w:val="65B65008"/>
    <w:rsid w:val="66115C86"/>
    <w:rsid w:val="662E05FC"/>
    <w:rsid w:val="665C3E5E"/>
    <w:rsid w:val="66C84764"/>
    <w:rsid w:val="66CD2666"/>
    <w:rsid w:val="66D132B9"/>
    <w:rsid w:val="67B74409"/>
    <w:rsid w:val="67D4620F"/>
    <w:rsid w:val="67DD2A4B"/>
    <w:rsid w:val="682000FE"/>
    <w:rsid w:val="684923AD"/>
    <w:rsid w:val="68AC7D53"/>
    <w:rsid w:val="692C3FBB"/>
    <w:rsid w:val="69603C65"/>
    <w:rsid w:val="69872FA0"/>
    <w:rsid w:val="69984B6E"/>
    <w:rsid w:val="69EC7E4A"/>
    <w:rsid w:val="6A150B77"/>
    <w:rsid w:val="6B390CB4"/>
    <w:rsid w:val="6B68349D"/>
    <w:rsid w:val="6B6920A6"/>
    <w:rsid w:val="6B797260"/>
    <w:rsid w:val="6C0C1E82"/>
    <w:rsid w:val="6C544E1A"/>
    <w:rsid w:val="6C847C6A"/>
    <w:rsid w:val="6CBC2023"/>
    <w:rsid w:val="6D217B29"/>
    <w:rsid w:val="6D221346"/>
    <w:rsid w:val="6D8E6C32"/>
    <w:rsid w:val="6DAD4F9F"/>
    <w:rsid w:val="6DBD3434"/>
    <w:rsid w:val="6DFE099C"/>
    <w:rsid w:val="6E5326D9"/>
    <w:rsid w:val="6EFF182A"/>
    <w:rsid w:val="6F193D8B"/>
    <w:rsid w:val="6F622DF1"/>
    <w:rsid w:val="6FC46CC1"/>
    <w:rsid w:val="701E2184"/>
    <w:rsid w:val="701F58F4"/>
    <w:rsid w:val="707A0B91"/>
    <w:rsid w:val="70FE165F"/>
    <w:rsid w:val="71275A62"/>
    <w:rsid w:val="7130216F"/>
    <w:rsid w:val="714D6FE6"/>
    <w:rsid w:val="71A5623A"/>
    <w:rsid w:val="71D376CA"/>
    <w:rsid w:val="72251364"/>
    <w:rsid w:val="7265409A"/>
    <w:rsid w:val="73233EE7"/>
    <w:rsid w:val="73626993"/>
    <w:rsid w:val="73C658BC"/>
    <w:rsid w:val="73D926C9"/>
    <w:rsid w:val="740C4FB4"/>
    <w:rsid w:val="742B1498"/>
    <w:rsid w:val="745E6FF3"/>
    <w:rsid w:val="75013889"/>
    <w:rsid w:val="75682947"/>
    <w:rsid w:val="75C36F43"/>
    <w:rsid w:val="76C9196D"/>
    <w:rsid w:val="774E6946"/>
    <w:rsid w:val="780628F1"/>
    <w:rsid w:val="78970D25"/>
    <w:rsid w:val="78E004B3"/>
    <w:rsid w:val="7AB756AF"/>
    <w:rsid w:val="7B293414"/>
    <w:rsid w:val="7B593278"/>
    <w:rsid w:val="7C3074C7"/>
    <w:rsid w:val="7C6E2AB9"/>
    <w:rsid w:val="7D17027B"/>
    <w:rsid w:val="7D4A1E8A"/>
    <w:rsid w:val="7DC61F22"/>
    <w:rsid w:val="7E354900"/>
    <w:rsid w:val="7E616F9E"/>
    <w:rsid w:val="7EC3036F"/>
    <w:rsid w:val="7EC72D3C"/>
    <w:rsid w:val="7F1B7EAB"/>
    <w:rsid w:val="7F2552DD"/>
    <w:rsid w:val="7F671136"/>
    <w:rsid w:val="7FD0349B"/>
    <w:rsid w:val="BE7BA9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styleId="2">
    <w:name w:val="heading 1"/>
    <w:basedOn w:val="1"/>
    <w:next w:val="1"/>
    <w:qFormat/>
    <w:uiPriority w:val="0"/>
    <w:pPr>
      <w:tabs>
        <w:tab w:val="left" w:pos="0"/>
        <w:tab w:val="left" w:pos="1680"/>
      </w:tabs>
      <w:spacing w:before="340" w:after="330" w:line="300" w:lineRule="auto"/>
      <w:jc w:val="center"/>
      <w:outlineLvl w:val="0"/>
    </w:pPr>
    <w:rPr>
      <w:kern w:val="44"/>
      <w:szCs w:val="28"/>
    </w:rPr>
  </w:style>
  <w:style w:type="paragraph" w:styleId="3">
    <w:name w:val="heading 2"/>
    <w:basedOn w:val="1"/>
    <w:next w:val="1"/>
    <w:link w:val="107"/>
    <w:qFormat/>
    <w:uiPriority w:val="0"/>
    <w:pPr>
      <w:tabs>
        <w:tab w:val="left" w:pos="0"/>
        <w:tab w:val="left" w:pos="1680"/>
      </w:tabs>
      <w:textAlignment w:val="baseline"/>
      <w:outlineLvl w:val="1"/>
    </w:pPr>
    <w:rPr>
      <w:szCs w:val="20"/>
    </w:rPr>
  </w:style>
  <w:style w:type="paragraph" w:styleId="4">
    <w:name w:val="heading 3"/>
    <w:basedOn w:val="5"/>
    <w:next w:val="1"/>
    <w:link w:val="106"/>
    <w:qFormat/>
    <w:uiPriority w:val="0"/>
    <w:pPr>
      <w:widowControl w:val="0"/>
      <w:shd w:val="clear" w:color="auto" w:fill="auto"/>
      <w:tabs>
        <w:tab w:val="left" w:pos="0"/>
        <w:tab w:val="left" w:pos="426"/>
        <w:tab w:val="left" w:pos="1680"/>
      </w:tabs>
      <w:adjustRightInd/>
      <w:snapToGrid/>
      <w:spacing w:before="260" w:after="260"/>
      <w:outlineLvl w:val="2"/>
    </w:pPr>
    <w:rPr>
      <w:szCs w:val="21"/>
    </w:rPr>
  </w:style>
  <w:style w:type="paragraph" w:styleId="5">
    <w:name w:val="heading 4"/>
    <w:basedOn w:val="1"/>
    <w:next w:val="1"/>
    <w:link w:val="108"/>
    <w:qFormat/>
    <w:uiPriority w:val="0"/>
    <w:pPr>
      <w:keepNext/>
      <w:keepLines/>
      <w:numPr>
        <w:ilvl w:val="3"/>
        <w:numId w:val="1"/>
      </w:numPr>
      <w:tabs>
        <w:tab w:val="left" w:pos="0"/>
      </w:tabs>
      <w:spacing w:before="280" w:after="290" w:line="376" w:lineRule="auto"/>
      <w:outlineLvl w:val="3"/>
    </w:pPr>
    <w:rPr>
      <w:rFonts w:ascii="Arial" w:hAnsi="Arial" w:eastAsia="黑体" w:cs="Times New Roman"/>
      <w:b/>
      <w:bCs/>
      <w:kern w:val="2"/>
      <w:sz w:val="28"/>
      <w:szCs w:val="28"/>
    </w:rPr>
  </w:style>
  <w:style w:type="paragraph" w:styleId="6">
    <w:name w:val="heading 5"/>
    <w:basedOn w:val="1"/>
    <w:next w:val="7"/>
    <w:link w:val="109"/>
    <w:qFormat/>
    <w:uiPriority w:val="0"/>
    <w:pPr>
      <w:keepNext/>
      <w:keepLines/>
      <w:numPr>
        <w:ilvl w:val="4"/>
        <w:numId w:val="1"/>
      </w:numPr>
      <w:spacing w:before="280" w:after="290" w:line="376" w:lineRule="auto"/>
      <w:jc w:val="center"/>
      <w:outlineLvl w:val="4"/>
    </w:pPr>
    <w:rPr>
      <w:rFonts w:ascii="Times New Roman" w:cs="Times New Roman"/>
      <w:b/>
      <w:kern w:val="2"/>
      <w:sz w:val="24"/>
      <w:szCs w:val="20"/>
    </w:rPr>
  </w:style>
  <w:style w:type="paragraph" w:styleId="8">
    <w:name w:val="heading 6"/>
    <w:basedOn w:val="1"/>
    <w:next w:val="7"/>
    <w:qFormat/>
    <w:uiPriority w:val="0"/>
    <w:pPr>
      <w:keepNext/>
      <w:keepLines/>
      <w:numPr>
        <w:ilvl w:val="5"/>
        <w:numId w:val="1"/>
      </w:numPr>
      <w:spacing w:before="240" w:after="64" w:line="319" w:lineRule="auto"/>
      <w:outlineLvl w:val="5"/>
    </w:pPr>
    <w:rPr>
      <w:rFonts w:ascii="Arial" w:hAnsi="Arial" w:eastAsia="黑体" w:cs="Times New Roman"/>
      <w:b/>
      <w:kern w:val="2"/>
      <w:sz w:val="24"/>
      <w:szCs w:val="20"/>
    </w:rPr>
  </w:style>
  <w:style w:type="paragraph" w:styleId="9">
    <w:name w:val="heading 7"/>
    <w:basedOn w:val="1"/>
    <w:next w:val="7"/>
    <w:link w:val="111"/>
    <w:qFormat/>
    <w:uiPriority w:val="0"/>
    <w:pPr>
      <w:keepNext/>
      <w:keepLines/>
      <w:numPr>
        <w:ilvl w:val="6"/>
        <w:numId w:val="1"/>
      </w:numPr>
      <w:spacing w:before="240" w:after="64" w:line="319" w:lineRule="auto"/>
      <w:outlineLvl w:val="6"/>
    </w:pPr>
    <w:rPr>
      <w:rFonts w:ascii="Times New Roman" w:cs="Times New Roman"/>
      <w:b/>
      <w:kern w:val="2"/>
      <w:sz w:val="24"/>
      <w:szCs w:val="20"/>
    </w:rPr>
  </w:style>
  <w:style w:type="paragraph" w:styleId="10">
    <w:name w:val="heading 8"/>
    <w:basedOn w:val="1"/>
    <w:next w:val="7"/>
    <w:link w:val="112"/>
    <w:qFormat/>
    <w:uiPriority w:val="0"/>
    <w:pPr>
      <w:keepNext/>
      <w:keepLines/>
      <w:numPr>
        <w:ilvl w:val="7"/>
        <w:numId w:val="1"/>
      </w:numPr>
      <w:spacing w:before="240" w:after="64" w:line="319" w:lineRule="auto"/>
      <w:outlineLvl w:val="7"/>
    </w:pPr>
    <w:rPr>
      <w:rFonts w:ascii="Arial" w:hAnsi="Arial" w:eastAsia="黑体" w:cs="Times New Roman"/>
      <w:kern w:val="2"/>
      <w:sz w:val="24"/>
      <w:szCs w:val="20"/>
    </w:rPr>
  </w:style>
  <w:style w:type="paragraph" w:styleId="11">
    <w:name w:val="heading 9"/>
    <w:basedOn w:val="1"/>
    <w:next w:val="7"/>
    <w:link w:val="113"/>
    <w:qFormat/>
    <w:uiPriority w:val="0"/>
    <w:pPr>
      <w:keepNext/>
      <w:keepLines/>
      <w:numPr>
        <w:ilvl w:val="8"/>
        <w:numId w:val="1"/>
      </w:numPr>
      <w:spacing w:before="240" w:after="64" w:line="319" w:lineRule="auto"/>
      <w:outlineLvl w:val="8"/>
    </w:pPr>
    <w:rPr>
      <w:rFonts w:ascii="Arial" w:hAnsi="Arial" w:eastAsia="黑体" w:cs="Times New Roman"/>
      <w:kern w:val="2"/>
      <w:szCs w:val="20"/>
    </w:rPr>
  </w:style>
  <w:style w:type="character" w:default="1" w:styleId="87">
    <w:name w:val="Default Paragraph Font"/>
    <w:semiHidden/>
    <w:unhideWhenUsed/>
    <w:qFormat/>
    <w:uiPriority w:val="1"/>
  </w:style>
  <w:style w:type="table" w:default="1" w:styleId="8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110"/>
    <w:qFormat/>
    <w:uiPriority w:val="0"/>
    <w:pPr>
      <w:ind w:firstLine="420"/>
    </w:pPr>
    <w:rPr>
      <w:rFonts w:ascii="Times New Roman" w:cs="Times New Roman"/>
      <w:kern w:val="2"/>
      <w:szCs w:val="20"/>
    </w:rPr>
  </w:style>
  <w:style w:type="paragraph" w:styleId="12">
    <w:name w:val="List 3"/>
    <w:basedOn w:val="1"/>
    <w:qFormat/>
    <w:uiPriority w:val="0"/>
    <w:pPr>
      <w:widowControl w:val="0"/>
      <w:shd w:val="clear" w:color="auto" w:fill="auto"/>
      <w:tabs>
        <w:tab w:val="clear" w:pos="426"/>
      </w:tabs>
      <w:adjustRightInd/>
      <w:snapToGrid/>
      <w:spacing w:line="240" w:lineRule="auto"/>
      <w:ind w:left="600" w:leftChars="400" w:hanging="200" w:hangingChars="200"/>
    </w:pPr>
    <w:rPr>
      <w:rFonts w:ascii="Times New Roman" w:cs="Times New Roman"/>
      <w:kern w:val="2"/>
    </w:rPr>
  </w:style>
  <w:style w:type="paragraph" w:styleId="13">
    <w:name w:val="toc 7"/>
    <w:basedOn w:val="1"/>
    <w:next w:val="1"/>
    <w:qFormat/>
    <w:uiPriority w:val="0"/>
    <w:pPr>
      <w:ind w:left="1260"/>
      <w:jc w:val="left"/>
    </w:pPr>
    <w:rPr>
      <w:szCs w:val="21"/>
    </w:rPr>
  </w:style>
  <w:style w:type="paragraph" w:styleId="14">
    <w:name w:val="List Number 2"/>
    <w:basedOn w:val="1"/>
    <w:qFormat/>
    <w:uiPriority w:val="0"/>
    <w:pPr>
      <w:numPr>
        <w:ilvl w:val="0"/>
        <w:numId w:val="2"/>
      </w:numPr>
      <w:tabs>
        <w:tab w:val="left" w:pos="820"/>
      </w:tabs>
      <w:spacing w:afterLines="50"/>
    </w:pPr>
    <w:rPr>
      <w:sz w:val="24"/>
      <w:szCs w:val="20"/>
    </w:rPr>
  </w:style>
  <w:style w:type="paragraph" w:styleId="15">
    <w:name w:val="Note Heading"/>
    <w:basedOn w:val="1"/>
    <w:next w:val="1"/>
    <w:qFormat/>
    <w:uiPriority w:val="0"/>
    <w:pPr>
      <w:widowControl w:val="0"/>
      <w:shd w:val="clear" w:color="auto" w:fill="auto"/>
      <w:tabs>
        <w:tab w:val="clear" w:pos="426"/>
      </w:tabs>
      <w:adjustRightInd/>
      <w:snapToGrid/>
      <w:spacing w:line="240" w:lineRule="auto"/>
      <w:jc w:val="center"/>
    </w:pPr>
    <w:rPr>
      <w:rFonts w:ascii="Times New Roman" w:cs="Times New Roman"/>
      <w:kern w:val="2"/>
    </w:rPr>
  </w:style>
  <w:style w:type="paragraph" w:styleId="16">
    <w:name w:val="List Bullet 4"/>
    <w:basedOn w:val="1"/>
    <w:qFormat/>
    <w:uiPriority w:val="0"/>
    <w:pPr>
      <w:widowControl w:val="0"/>
      <w:numPr>
        <w:ilvl w:val="0"/>
        <w:numId w:val="3"/>
      </w:numPr>
      <w:shd w:val="clear" w:color="auto" w:fill="auto"/>
      <w:tabs>
        <w:tab w:val="clear" w:pos="426"/>
      </w:tabs>
      <w:adjustRightInd/>
      <w:snapToGrid/>
      <w:spacing w:line="240" w:lineRule="auto"/>
    </w:pPr>
    <w:rPr>
      <w:rFonts w:ascii="Times New Roman" w:cs="Times New Roman"/>
      <w:kern w:val="2"/>
    </w:rPr>
  </w:style>
  <w:style w:type="paragraph" w:styleId="17">
    <w:name w:val="index 8"/>
    <w:basedOn w:val="1"/>
    <w:next w:val="1"/>
    <w:qFormat/>
    <w:uiPriority w:val="0"/>
    <w:pPr>
      <w:widowControl w:val="0"/>
      <w:shd w:val="clear" w:color="auto" w:fill="auto"/>
      <w:tabs>
        <w:tab w:val="clear" w:pos="426"/>
      </w:tabs>
      <w:adjustRightInd/>
      <w:snapToGrid/>
      <w:spacing w:line="240" w:lineRule="auto"/>
      <w:ind w:left="1680" w:hanging="210"/>
      <w:jc w:val="left"/>
    </w:pPr>
    <w:rPr>
      <w:rFonts w:ascii="Times New Roman" w:cs="Times New Roman"/>
      <w:kern w:val="2"/>
      <w:sz w:val="20"/>
      <w:szCs w:val="20"/>
    </w:rPr>
  </w:style>
  <w:style w:type="paragraph" w:styleId="18">
    <w:name w:val="E-mail Signature"/>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19">
    <w:name w:val="List Number"/>
    <w:basedOn w:val="1"/>
    <w:qFormat/>
    <w:uiPriority w:val="0"/>
    <w:pPr>
      <w:widowControl w:val="0"/>
      <w:numPr>
        <w:ilvl w:val="0"/>
        <w:numId w:val="4"/>
      </w:numPr>
      <w:shd w:val="clear" w:color="auto" w:fill="auto"/>
      <w:tabs>
        <w:tab w:val="clear" w:pos="426"/>
      </w:tabs>
      <w:adjustRightInd/>
      <w:snapToGrid/>
      <w:spacing w:line="240" w:lineRule="auto"/>
    </w:pPr>
    <w:rPr>
      <w:rFonts w:ascii="Times New Roman" w:cs="Times New Roman"/>
      <w:kern w:val="2"/>
    </w:rPr>
  </w:style>
  <w:style w:type="paragraph" w:styleId="20">
    <w:name w:val="caption"/>
    <w:basedOn w:val="1"/>
    <w:next w:val="1"/>
    <w:qFormat/>
    <w:uiPriority w:val="0"/>
    <w:rPr>
      <w:rFonts w:ascii="Arial" w:hAnsi="Arial" w:eastAsia="黑体" w:cs="Arial"/>
      <w:sz w:val="20"/>
      <w:szCs w:val="20"/>
    </w:rPr>
  </w:style>
  <w:style w:type="paragraph" w:styleId="21">
    <w:name w:val="index 5"/>
    <w:basedOn w:val="1"/>
    <w:next w:val="1"/>
    <w:qFormat/>
    <w:uiPriority w:val="0"/>
    <w:pPr>
      <w:widowControl w:val="0"/>
      <w:shd w:val="clear" w:color="auto" w:fill="auto"/>
      <w:tabs>
        <w:tab w:val="clear" w:pos="426"/>
      </w:tabs>
      <w:adjustRightInd/>
      <w:snapToGrid/>
      <w:spacing w:line="240" w:lineRule="auto"/>
      <w:ind w:left="1050" w:hanging="210"/>
      <w:jc w:val="left"/>
    </w:pPr>
    <w:rPr>
      <w:rFonts w:ascii="Times New Roman" w:cs="Times New Roman"/>
      <w:kern w:val="2"/>
      <w:sz w:val="20"/>
      <w:szCs w:val="20"/>
    </w:rPr>
  </w:style>
  <w:style w:type="paragraph" w:styleId="22">
    <w:name w:val="List Bullet"/>
    <w:basedOn w:val="1"/>
    <w:qFormat/>
    <w:uiPriority w:val="0"/>
    <w:pPr>
      <w:tabs>
        <w:tab w:val="left" w:pos="360"/>
      </w:tabs>
      <w:ind w:left="200" w:hanging="200" w:hangingChars="200"/>
    </w:pPr>
    <w:rPr>
      <w:szCs w:val="20"/>
    </w:rPr>
  </w:style>
  <w:style w:type="paragraph" w:styleId="23">
    <w:name w:val="envelope address"/>
    <w:basedOn w:val="1"/>
    <w:qFormat/>
    <w:uiPriority w:val="0"/>
    <w:pPr>
      <w:framePr w:w="7920" w:h="1980" w:hRule="exact" w:hSpace="180" w:wrap="around" w:vAnchor="margin" w:hAnchor="page" w:xAlign="center" w:yAlign="bottom"/>
      <w:widowControl w:val="0"/>
      <w:shd w:val="clear" w:color="auto" w:fill="auto"/>
      <w:tabs>
        <w:tab w:val="clear" w:pos="426"/>
      </w:tabs>
      <w:adjustRightInd/>
      <w:spacing w:line="240" w:lineRule="auto"/>
      <w:ind w:left="1400" w:leftChars="1400"/>
    </w:pPr>
    <w:rPr>
      <w:rFonts w:ascii="Arial" w:hAnsi="Arial" w:cs="Arial"/>
      <w:kern w:val="2"/>
      <w:sz w:val="24"/>
    </w:rPr>
  </w:style>
  <w:style w:type="paragraph" w:styleId="24">
    <w:name w:val="Document Map"/>
    <w:basedOn w:val="1"/>
    <w:qFormat/>
    <w:uiPriority w:val="0"/>
    <w:pPr>
      <w:shd w:val="clear" w:color="auto" w:fill="000080"/>
    </w:pPr>
    <w:rPr>
      <w:rFonts w:ascii="Times New Roman" w:cs="Times New Roman"/>
      <w:kern w:val="2"/>
    </w:rPr>
  </w:style>
  <w:style w:type="paragraph" w:styleId="25">
    <w:name w:val="toa heading"/>
    <w:basedOn w:val="1"/>
    <w:next w:val="1"/>
    <w:qFormat/>
    <w:uiPriority w:val="0"/>
    <w:pPr>
      <w:spacing w:before="120"/>
    </w:pPr>
    <w:rPr>
      <w:rFonts w:ascii="Arial" w:hAnsi="Arial"/>
      <w:sz w:val="24"/>
      <w:szCs w:val="20"/>
    </w:rPr>
  </w:style>
  <w:style w:type="paragraph" w:styleId="26">
    <w:name w:val="annotation text"/>
    <w:basedOn w:val="1"/>
    <w:link w:val="114"/>
    <w:qFormat/>
    <w:uiPriority w:val="0"/>
    <w:pPr>
      <w:autoSpaceDE w:val="0"/>
      <w:autoSpaceDN w:val="0"/>
      <w:jc w:val="left"/>
      <w:textAlignment w:val="baseline"/>
    </w:pPr>
    <w:rPr>
      <w:rFonts w:cs="Times New Roman"/>
      <w:sz w:val="34"/>
      <w:szCs w:val="20"/>
    </w:rPr>
  </w:style>
  <w:style w:type="paragraph" w:styleId="27">
    <w:name w:val="index 6"/>
    <w:basedOn w:val="1"/>
    <w:next w:val="1"/>
    <w:qFormat/>
    <w:uiPriority w:val="0"/>
    <w:pPr>
      <w:widowControl w:val="0"/>
      <w:shd w:val="clear" w:color="auto" w:fill="auto"/>
      <w:tabs>
        <w:tab w:val="clear" w:pos="426"/>
      </w:tabs>
      <w:adjustRightInd/>
      <w:snapToGrid/>
      <w:spacing w:line="240" w:lineRule="auto"/>
      <w:ind w:left="1260" w:hanging="210"/>
      <w:jc w:val="left"/>
    </w:pPr>
    <w:rPr>
      <w:rFonts w:ascii="Times New Roman" w:cs="Times New Roman"/>
      <w:kern w:val="2"/>
      <w:sz w:val="20"/>
      <w:szCs w:val="20"/>
    </w:rPr>
  </w:style>
  <w:style w:type="paragraph" w:styleId="28">
    <w:name w:val="Salutation"/>
    <w:basedOn w:val="1"/>
    <w:next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29">
    <w:name w:val="Body Text 3"/>
    <w:basedOn w:val="1"/>
    <w:link w:val="115"/>
    <w:qFormat/>
    <w:uiPriority w:val="0"/>
    <w:pPr>
      <w:spacing w:after="120"/>
    </w:pPr>
    <w:rPr>
      <w:rFonts w:ascii="Times New Roman" w:cs="Times New Roman"/>
      <w:kern w:val="2"/>
      <w:sz w:val="16"/>
      <w:szCs w:val="16"/>
    </w:rPr>
  </w:style>
  <w:style w:type="paragraph" w:styleId="30">
    <w:name w:val="Closing"/>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31">
    <w:name w:val="List Bullet 3"/>
    <w:basedOn w:val="1"/>
    <w:qFormat/>
    <w:uiPriority w:val="0"/>
    <w:pPr>
      <w:widowControl w:val="0"/>
      <w:numPr>
        <w:ilvl w:val="0"/>
        <w:numId w:val="5"/>
      </w:numPr>
      <w:shd w:val="clear" w:color="auto" w:fill="auto"/>
      <w:tabs>
        <w:tab w:val="clear" w:pos="426"/>
      </w:tabs>
      <w:adjustRightInd/>
      <w:snapToGrid/>
      <w:spacing w:line="240" w:lineRule="auto"/>
    </w:pPr>
    <w:rPr>
      <w:rFonts w:ascii="Times New Roman" w:cs="Times New Roman"/>
      <w:kern w:val="2"/>
    </w:rPr>
  </w:style>
  <w:style w:type="paragraph" w:styleId="32">
    <w:name w:val="Body Text"/>
    <w:basedOn w:val="1"/>
    <w:next w:val="1"/>
    <w:qFormat/>
    <w:uiPriority w:val="0"/>
    <w:rPr>
      <w:rFonts w:cs="Times New Roman"/>
      <w:b/>
      <w:bCs/>
      <w:sz w:val="24"/>
    </w:rPr>
  </w:style>
  <w:style w:type="paragraph" w:styleId="33">
    <w:name w:val="Body Text Indent"/>
    <w:basedOn w:val="1"/>
    <w:next w:val="34"/>
    <w:link w:val="116"/>
    <w:qFormat/>
    <w:uiPriority w:val="0"/>
    <w:pPr>
      <w:ind w:firstLine="200" w:firstLineChars="200"/>
    </w:pPr>
    <w:rPr>
      <w:rFonts w:ascii="Times New Roman" w:cs="Times New Roman"/>
      <w:kern w:val="2"/>
    </w:rPr>
  </w:style>
  <w:style w:type="paragraph" w:styleId="34">
    <w:name w:val="envelope return"/>
    <w:basedOn w:val="1"/>
    <w:qFormat/>
    <w:uiPriority w:val="0"/>
    <w:pPr>
      <w:widowControl w:val="0"/>
      <w:shd w:val="clear" w:color="auto" w:fill="auto"/>
      <w:tabs>
        <w:tab w:val="clear" w:pos="426"/>
      </w:tabs>
      <w:adjustRightInd/>
      <w:spacing w:line="240" w:lineRule="auto"/>
    </w:pPr>
    <w:rPr>
      <w:rFonts w:ascii="Arial" w:hAnsi="Arial" w:cs="Arial"/>
      <w:kern w:val="2"/>
    </w:rPr>
  </w:style>
  <w:style w:type="paragraph" w:styleId="35">
    <w:name w:val="List Number 3"/>
    <w:basedOn w:val="1"/>
    <w:qFormat/>
    <w:uiPriority w:val="0"/>
    <w:pPr>
      <w:widowControl w:val="0"/>
      <w:numPr>
        <w:ilvl w:val="0"/>
        <w:numId w:val="6"/>
      </w:numPr>
      <w:shd w:val="clear" w:color="auto" w:fill="auto"/>
      <w:tabs>
        <w:tab w:val="clear" w:pos="426"/>
      </w:tabs>
      <w:adjustRightInd/>
      <w:snapToGrid/>
      <w:spacing w:line="240" w:lineRule="auto"/>
    </w:pPr>
    <w:rPr>
      <w:rFonts w:ascii="Times New Roman" w:cs="Times New Roman"/>
      <w:kern w:val="2"/>
    </w:rPr>
  </w:style>
  <w:style w:type="paragraph" w:styleId="36">
    <w:name w:val="List 2"/>
    <w:basedOn w:val="1"/>
    <w:qFormat/>
    <w:uiPriority w:val="0"/>
    <w:pPr>
      <w:widowControl w:val="0"/>
      <w:shd w:val="clear" w:color="auto" w:fill="auto"/>
      <w:tabs>
        <w:tab w:val="clear" w:pos="426"/>
      </w:tabs>
      <w:adjustRightInd/>
      <w:snapToGrid/>
      <w:spacing w:line="240" w:lineRule="auto"/>
      <w:ind w:left="400" w:leftChars="200" w:hanging="200" w:hangingChars="200"/>
    </w:pPr>
    <w:rPr>
      <w:rFonts w:ascii="Times New Roman" w:cs="Times New Roman"/>
      <w:kern w:val="2"/>
    </w:rPr>
  </w:style>
  <w:style w:type="paragraph" w:styleId="37">
    <w:name w:val="List Continue"/>
    <w:basedOn w:val="1"/>
    <w:qFormat/>
    <w:uiPriority w:val="0"/>
    <w:pPr>
      <w:widowControl w:val="0"/>
      <w:shd w:val="clear" w:color="auto" w:fill="auto"/>
      <w:tabs>
        <w:tab w:val="clear" w:pos="426"/>
      </w:tabs>
      <w:adjustRightInd/>
      <w:snapToGrid/>
      <w:spacing w:after="120" w:line="240" w:lineRule="auto"/>
      <w:ind w:left="200" w:leftChars="200"/>
    </w:pPr>
    <w:rPr>
      <w:rFonts w:ascii="Times New Roman" w:cs="Times New Roman"/>
      <w:kern w:val="2"/>
    </w:rPr>
  </w:style>
  <w:style w:type="paragraph" w:styleId="38">
    <w:name w:val="Block Text"/>
    <w:basedOn w:val="1"/>
    <w:qFormat/>
    <w:uiPriority w:val="0"/>
    <w:pPr>
      <w:widowControl w:val="0"/>
      <w:shd w:val="clear" w:color="auto" w:fill="auto"/>
      <w:tabs>
        <w:tab w:val="clear" w:pos="426"/>
      </w:tabs>
      <w:adjustRightInd/>
      <w:snapToGrid/>
      <w:spacing w:after="120" w:line="240" w:lineRule="auto"/>
      <w:ind w:left="700" w:leftChars="700" w:right="700" w:rightChars="700"/>
    </w:pPr>
    <w:rPr>
      <w:rFonts w:ascii="Times New Roman" w:cs="Times New Roman"/>
      <w:kern w:val="2"/>
    </w:rPr>
  </w:style>
  <w:style w:type="paragraph" w:styleId="39">
    <w:name w:val="List Bullet 2"/>
    <w:basedOn w:val="1"/>
    <w:qFormat/>
    <w:uiPriority w:val="0"/>
    <w:pPr>
      <w:widowControl w:val="0"/>
      <w:numPr>
        <w:ilvl w:val="0"/>
        <w:numId w:val="7"/>
      </w:numPr>
      <w:shd w:val="clear" w:color="auto" w:fill="auto"/>
      <w:tabs>
        <w:tab w:val="clear" w:pos="426"/>
      </w:tabs>
      <w:adjustRightInd/>
      <w:snapToGrid/>
      <w:spacing w:line="240" w:lineRule="auto"/>
    </w:pPr>
    <w:rPr>
      <w:rFonts w:ascii="Times New Roman" w:cs="Times New Roman"/>
      <w:kern w:val="2"/>
    </w:rPr>
  </w:style>
  <w:style w:type="paragraph" w:styleId="40">
    <w:name w:val="HTML Address"/>
    <w:basedOn w:val="1"/>
    <w:qFormat/>
    <w:uiPriority w:val="0"/>
    <w:pPr>
      <w:widowControl w:val="0"/>
      <w:shd w:val="clear" w:color="auto" w:fill="auto"/>
      <w:tabs>
        <w:tab w:val="clear" w:pos="426"/>
      </w:tabs>
      <w:adjustRightInd/>
      <w:snapToGrid/>
      <w:spacing w:line="240" w:lineRule="auto"/>
    </w:pPr>
    <w:rPr>
      <w:rFonts w:ascii="Times New Roman" w:cs="Times New Roman"/>
      <w:i/>
      <w:iCs/>
      <w:kern w:val="2"/>
    </w:rPr>
  </w:style>
  <w:style w:type="paragraph" w:styleId="41">
    <w:name w:val="index 4"/>
    <w:basedOn w:val="1"/>
    <w:next w:val="1"/>
    <w:qFormat/>
    <w:uiPriority w:val="0"/>
    <w:pPr>
      <w:widowControl w:val="0"/>
      <w:shd w:val="clear" w:color="auto" w:fill="auto"/>
      <w:tabs>
        <w:tab w:val="clear" w:pos="426"/>
      </w:tabs>
      <w:adjustRightInd/>
      <w:snapToGrid/>
      <w:spacing w:line="240" w:lineRule="auto"/>
      <w:ind w:left="840" w:hanging="210"/>
      <w:jc w:val="left"/>
    </w:pPr>
    <w:rPr>
      <w:rFonts w:ascii="Times New Roman" w:cs="Times New Roman"/>
      <w:kern w:val="2"/>
      <w:sz w:val="20"/>
      <w:szCs w:val="20"/>
    </w:rPr>
  </w:style>
  <w:style w:type="paragraph" w:styleId="42">
    <w:name w:val="toc 5"/>
    <w:basedOn w:val="1"/>
    <w:next w:val="1"/>
    <w:qFormat/>
    <w:uiPriority w:val="0"/>
    <w:pPr>
      <w:ind w:left="840"/>
      <w:jc w:val="left"/>
    </w:pPr>
    <w:rPr>
      <w:szCs w:val="21"/>
    </w:rPr>
  </w:style>
  <w:style w:type="paragraph" w:styleId="43">
    <w:name w:val="toc 3"/>
    <w:basedOn w:val="1"/>
    <w:next w:val="1"/>
    <w:qFormat/>
    <w:uiPriority w:val="39"/>
    <w:pPr>
      <w:ind w:left="420"/>
      <w:jc w:val="left"/>
    </w:pPr>
    <w:rPr>
      <w:i/>
      <w:iCs/>
    </w:rPr>
  </w:style>
  <w:style w:type="paragraph" w:styleId="44">
    <w:name w:val="Plain Text"/>
    <w:basedOn w:val="1"/>
    <w:link w:val="579"/>
    <w:qFormat/>
    <w:uiPriority w:val="0"/>
    <w:rPr>
      <w:rFonts w:cs="Times New Roman"/>
      <w:kern w:val="2"/>
      <w:szCs w:val="20"/>
    </w:rPr>
  </w:style>
  <w:style w:type="paragraph" w:styleId="45">
    <w:name w:val="List Bullet 5"/>
    <w:basedOn w:val="1"/>
    <w:qFormat/>
    <w:uiPriority w:val="0"/>
    <w:pPr>
      <w:widowControl w:val="0"/>
      <w:numPr>
        <w:ilvl w:val="0"/>
        <w:numId w:val="8"/>
      </w:numPr>
      <w:shd w:val="clear" w:color="auto" w:fill="auto"/>
      <w:tabs>
        <w:tab w:val="clear" w:pos="426"/>
      </w:tabs>
      <w:adjustRightInd/>
      <w:snapToGrid/>
      <w:spacing w:line="240" w:lineRule="auto"/>
    </w:pPr>
    <w:rPr>
      <w:rFonts w:ascii="Times New Roman" w:cs="Times New Roman"/>
      <w:kern w:val="2"/>
    </w:rPr>
  </w:style>
  <w:style w:type="paragraph" w:styleId="46">
    <w:name w:val="List Number 4"/>
    <w:basedOn w:val="1"/>
    <w:qFormat/>
    <w:uiPriority w:val="0"/>
    <w:pPr>
      <w:widowControl w:val="0"/>
      <w:numPr>
        <w:ilvl w:val="0"/>
        <w:numId w:val="9"/>
      </w:numPr>
      <w:shd w:val="clear" w:color="auto" w:fill="auto"/>
      <w:tabs>
        <w:tab w:val="clear" w:pos="426"/>
      </w:tabs>
      <w:adjustRightInd/>
      <w:snapToGrid/>
      <w:spacing w:line="240" w:lineRule="auto"/>
    </w:pPr>
    <w:rPr>
      <w:rFonts w:ascii="Times New Roman" w:cs="Times New Roman"/>
      <w:kern w:val="2"/>
    </w:rPr>
  </w:style>
  <w:style w:type="paragraph" w:styleId="47">
    <w:name w:val="toc 8"/>
    <w:basedOn w:val="1"/>
    <w:next w:val="1"/>
    <w:qFormat/>
    <w:uiPriority w:val="0"/>
    <w:pPr>
      <w:ind w:left="1470"/>
      <w:jc w:val="left"/>
    </w:pPr>
    <w:rPr>
      <w:szCs w:val="21"/>
    </w:rPr>
  </w:style>
  <w:style w:type="paragraph" w:styleId="48">
    <w:name w:val="index 3"/>
    <w:basedOn w:val="1"/>
    <w:next w:val="1"/>
    <w:qFormat/>
    <w:uiPriority w:val="0"/>
    <w:pPr>
      <w:widowControl w:val="0"/>
      <w:shd w:val="clear" w:color="auto" w:fill="auto"/>
      <w:tabs>
        <w:tab w:val="clear" w:pos="426"/>
      </w:tabs>
      <w:adjustRightInd/>
      <w:snapToGrid/>
      <w:spacing w:line="240" w:lineRule="auto"/>
      <w:ind w:left="630" w:hanging="210"/>
      <w:jc w:val="left"/>
    </w:pPr>
    <w:rPr>
      <w:rFonts w:ascii="Times New Roman" w:cs="Times New Roman"/>
      <w:kern w:val="2"/>
      <w:sz w:val="20"/>
      <w:szCs w:val="20"/>
    </w:rPr>
  </w:style>
  <w:style w:type="paragraph" w:styleId="49">
    <w:name w:val="Date"/>
    <w:basedOn w:val="1"/>
    <w:next w:val="1"/>
    <w:qFormat/>
    <w:uiPriority w:val="0"/>
    <w:rPr>
      <w:rFonts w:cs="Times New Roman"/>
      <w:kern w:val="2"/>
      <w:sz w:val="32"/>
      <w:szCs w:val="20"/>
    </w:rPr>
  </w:style>
  <w:style w:type="paragraph" w:styleId="50">
    <w:name w:val="Body Text Indent 2"/>
    <w:basedOn w:val="1"/>
    <w:link w:val="117"/>
    <w:qFormat/>
    <w:uiPriority w:val="0"/>
    <w:pPr>
      <w:spacing w:beforeLines="50" w:afterLines="50" w:line="120" w:lineRule="auto"/>
      <w:ind w:firstLine="400" w:firstLineChars="400"/>
      <w:jc w:val="left"/>
    </w:pPr>
    <w:rPr>
      <w:rFonts w:cs="Times New Roman"/>
      <w:kern w:val="2"/>
    </w:rPr>
  </w:style>
  <w:style w:type="paragraph" w:styleId="51">
    <w:name w:val="endnote text"/>
    <w:basedOn w:val="1"/>
    <w:qFormat/>
    <w:uiPriority w:val="0"/>
    <w:pPr>
      <w:widowControl w:val="0"/>
      <w:shd w:val="clear" w:color="auto" w:fill="auto"/>
      <w:tabs>
        <w:tab w:val="clear" w:pos="426"/>
      </w:tabs>
      <w:adjustRightInd/>
      <w:spacing w:line="240" w:lineRule="auto"/>
      <w:jc w:val="left"/>
    </w:pPr>
    <w:rPr>
      <w:rFonts w:ascii="Times New Roman" w:cs="Times New Roman"/>
      <w:kern w:val="2"/>
    </w:rPr>
  </w:style>
  <w:style w:type="paragraph" w:styleId="52">
    <w:name w:val="List Continue 5"/>
    <w:basedOn w:val="1"/>
    <w:qFormat/>
    <w:uiPriority w:val="0"/>
    <w:pPr>
      <w:widowControl w:val="0"/>
      <w:shd w:val="clear" w:color="auto" w:fill="auto"/>
      <w:tabs>
        <w:tab w:val="clear" w:pos="426"/>
      </w:tabs>
      <w:adjustRightInd/>
      <w:snapToGrid/>
      <w:spacing w:after="120" w:line="240" w:lineRule="auto"/>
      <w:ind w:left="1000" w:leftChars="1000"/>
    </w:pPr>
    <w:rPr>
      <w:rFonts w:ascii="Times New Roman" w:cs="Times New Roman"/>
      <w:kern w:val="2"/>
    </w:rPr>
  </w:style>
  <w:style w:type="paragraph" w:styleId="53">
    <w:name w:val="Balloon Text"/>
    <w:basedOn w:val="1"/>
    <w:link w:val="118"/>
    <w:qFormat/>
    <w:uiPriority w:val="0"/>
    <w:rPr>
      <w:rFonts w:ascii="Times New Roman" w:cs="Times New Roman"/>
      <w:kern w:val="2"/>
      <w:sz w:val="18"/>
      <w:szCs w:val="18"/>
    </w:rPr>
  </w:style>
  <w:style w:type="paragraph" w:styleId="54">
    <w:name w:val="footer"/>
    <w:basedOn w:val="1"/>
    <w:link w:val="119"/>
    <w:qFormat/>
    <w:uiPriority w:val="0"/>
    <w:pPr>
      <w:tabs>
        <w:tab w:val="center" w:pos="4153"/>
        <w:tab w:val="right" w:pos="8306"/>
      </w:tabs>
      <w:jc w:val="left"/>
    </w:pPr>
    <w:rPr>
      <w:rFonts w:ascii="Times New Roman" w:cs="Times New Roman"/>
      <w:kern w:val="2"/>
      <w:sz w:val="18"/>
      <w:szCs w:val="18"/>
    </w:rPr>
  </w:style>
  <w:style w:type="paragraph" w:styleId="55">
    <w:name w:val="header"/>
    <w:basedOn w:val="1"/>
    <w:link w:val="120"/>
    <w:qFormat/>
    <w:uiPriority w:val="0"/>
    <w:pPr>
      <w:pBdr>
        <w:bottom w:val="single" w:color="auto" w:sz="6" w:space="1"/>
      </w:pBdr>
      <w:tabs>
        <w:tab w:val="center" w:pos="4153"/>
        <w:tab w:val="right" w:pos="8306"/>
      </w:tabs>
      <w:jc w:val="center"/>
    </w:pPr>
    <w:rPr>
      <w:rFonts w:ascii="Times New Roman" w:cs="Times New Roman"/>
      <w:kern w:val="2"/>
      <w:sz w:val="18"/>
      <w:szCs w:val="18"/>
    </w:rPr>
  </w:style>
  <w:style w:type="paragraph" w:styleId="56">
    <w:name w:val="Signature"/>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57">
    <w:name w:val="toc 1"/>
    <w:basedOn w:val="1"/>
    <w:next w:val="1"/>
    <w:qFormat/>
    <w:uiPriority w:val="39"/>
    <w:pPr>
      <w:tabs>
        <w:tab w:val="right" w:leader="dot" w:pos="8789"/>
      </w:tabs>
      <w:adjustRightInd/>
      <w:snapToGrid/>
      <w:spacing w:before="120" w:after="120"/>
      <w:jc w:val="left"/>
    </w:pPr>
    <w:rPr>
      <w:b/>
      <w:bCs/>
      <w:caps/>
      <w:sz w:val="28"/>
    </w:rPr>
  </w:style>
  <w:style w:type="paragraph" w:styleId="58">
    <w:name w:val="List Continue 4"/>
    <w:basedOn w:val="1"/>
    <w:qFormat/>
    <w:uiPriority w:val="0"/>
    <w:pPr>
      <w:widowControl w:val="0"/>
      <w:shd w:val="clear" w:color="auto" w:fill="auto"/>
      <w:tabs>
        <w:tab w:val="clear" w:pos="426"/>
      </w:tabs>
      <w:adjustRightInd/>
      <w:snapToGrid/>
      <w:spacing w:after="120" w:line="240" w:lineRule="auto"/>
      <w:ind w:left="800" w:leftChars="800"/>
    </w:pPr>
    <w:rPr>
      <w:rFonts w:ascii="Times New Roman" w:cs="Times New Roman"/>
      <w:kern w:val="2"/>
    </w:rPr>
  </w:style>
  <w:style w:type="paragraph" w:styleId="59">
    <w:name w:val="toc 4"/>
    <w:basedOn w:val="1"/>
    <w:next w:val="1"/>
    <w:qFormat/>
    <w:uiPriority w:val="0"/>
    <w:pPr>
      <w:ind w:left="630"/>
      <w:jc w:val="left"/>
    </w:pPr>
    <w:rPr>
      <w:szCs w:val="21"/>
    </w:rPr>
  </w:style>
  <w:style w:type="paragraph" w:styleId="60">
    <w:name w:val="index heading"/>
    <w:basedOn w:val="1"/>
    <w:next w:val="61"/>
    <w:qFormat/>
    <w:uiPriority w:val="0"/>
    <w:pPr>
      <w:widowControl w:val="0"/>
      <w:shd w:val="clear" w:color="auto" w:fill="auto"/>
      <w:tabs>
        <w:tab w:val="clear" w:pos="426"/>
      </w:tabs>
      <w:adjustRightInd/>
      <w:snapToGrid/>
      <w:spacing w:before="120" w:after="120" w:line="240" w:lineRule="auto"/>
      <w:jc w:val="left"/>
    </w:pPr>
    <w:rPr>
      <w:rFonts w:ascii="Times New Roman" w:cs="Times New Roman"/>
      <w:b/>
      <w:bCs/>
      <w:i/>
      <w:iCs/>
      <w:kern w:val="2"/>
      <w:sz w:val="20"/>
      <w:szCs w:val="20"/>
    </w:rPr>
  </w:style>
  <w:style w:type="paragraph" w:styleId="61">
    <w:name w:val="index 1"/>
    <w:basedOn w:val="1"/>
    <w:next w:val="1"/>
    <w:qFormat/>
    <w:uiPriority w:val="0"/>
    <w:rPr>
      <w:b/>
      <w:color w:val="0000FF"/>
      <w:sz w:val="24"/>
    </w:rPr>
  </w:style>
  <w:style w:type="paragraph" w:styleId="62">
    <w:name w:val="Subtitle"/>
    <w:basedOn w:val="1"/>
    <w:next w:val="1"/>
    <w:qFormat/>
    <w:uiPriority w:val="0"/>
    <w:pPr>
      <w:spacing w:before="240" w:after="60" w:line="312" w:lineRule="auto"/>
      <w:jc w:val="center"/>
      <w:outlineLvl w:val="1"/>
    </w:pPr>
    <w:rPr>
      <w:rFonts w:ascii="Cambria" w:hAnsi="Cambria" w:cs="Times New Roman"/>
      <w:b/>
      <w:bCs/>
      <w:kern w:val="28"/>
      <w:sz w:val="28"/>
      <w:szCs w:val="32"/>
    </w:rPr>
  </w:style>
  <w:style w:type="paragraph" w:styleId="63">
    <w:name w:val="List Number 5"/>
    <w:basedOn w:val="1"/>
    <w:qFormat/>
    <w:uiPriority w:val="0"/>
    <w:pPr>
      <w:widowControl w:val="0"/>
      <w:numPr>
        <w:ilvl w:val="0"/>
        <w:numId w:val="10"/>
      </w:numPr>
      <w:shd w:val="clear" w:color="auto" w:fill="auto"/>
      <w:tabs>
        <w:tab w:val="clear" w:pos="426"/>
      </w:tabs>
      <w:adjustRightInd/>
      <w:snapToGrid/>
      <w:spacing w:line="240" w:lineRule="auto"/>
    </w:pPr>
    <w:rPr>
      <w:rFonts w:ascii="Times New Roman" w:cs="Times New Roman"/>
      <w:kern w:val="2"/>
    </w:rPr>
  </w:style>
  <w:style w:type="paragraph" w:styleId="64">
    <w:name w:val="List"/>
    <w:basedOn w:val="1"/>
    <w:qFormat/>
    <w:uiPriority w:val="0"/>
    <w:pPr>
      <w:widowControl w:val="0"/>
      <w:shd w:val="clear" w:color="auto" w:fill="auto"/>
      <w:tabs>
        <w:tab w:val="clear" w:pos="426"/>
      </w:tabs>
      <w:adjustRightInd/>
      <w:snapToGrid/>
      <w:spacing w:line="240" w:lineRule="auto"/>
      <w:ind w:left="200" w:hanging="200" w:hangingChars="200"/>
    </w:pPr>
    <w:rPr>
      <w:rFonts w:ascii="Times New Roman" w:cs="Times New Roman"/>
      <w:kern w:val="2"/>
    </w:rPr>
  </w:style>
  <w:style w:type="paragraph" w:styleId="65">
    <w:name w:val="footnote text"/>
    <w:basedOn w:val="1"/>
    <w:link w:val="121"/>
    <w:qFormat/>
    <w:uiPriority w:val="0"/>
    <w:pPr>
      <w:widowControl w:val="0"/>
      <w:shd w:val="clear" w:color="auto" w:fill="auto"/>
      <w:tabs>
        <w:tab w:val="clear" w:pos="426"/>
      </w:tabs>
      <w:adjustRightInd/>
      <w:spacing w:line="240" w:lineRule="auto"/>
      <w:jc w:val="left"/>
    </w:pPr>
    <w:rPr>
      <w:rFonts w:ascii="Times New Roman" w:cs="Times New Roman"/>
      <w:kern w:val="2"/>
      <w:sz w:val="18"/>
    </w:rPr>
  </w:style>
  <w:style w:type="paragraph" w:styleId="66">
    <w:name w:val="toc 6"/>
    <w:basedOn w:val="1"/>
    <w:next w:val="1"/>
    <w:qFormat/>
    <w:uiPriority w:val="0"/>
    <w:pPr>
      <w:ind w:left="1050"/>
      <w:jc w:val="left"/>
    </w:pPr>
    <w:rPr>
      <w:szCs w:val="21"/>
    </w:rPr>
  </w:style>
  <w:style w:type="paragraph" w:styleId="67">
    <w:name w:val="List 5"/>
    <w:basedOn w:val="1"/>
    <w:qFormat/>
    <w:uiPriority w:val="0"/>
    <w:pPr>
      <w:widowControl w:val="0"/>
      <w:shd w:val="clear" w:color="auto" w:fill="auto"/>
      <w:tabs>
        <w:tab w:val="clear" w:pos="426"/>
      </w:tabs>
      <w:adjustRightInd/>
      <w:snapToGrid/>
      <w:spacing w:line="240" w:lineRule="auto"/>
      <w:ind w:left="1000" w:leftChars="800" w:hanging="200" w:hangingChars="200"/>
    </w:pPr>
    <w:rPr>
      <w:rFonts w:ascii="Times New Roman" w:cs="Times New Roman"/>
      <w:kern w:val="2"/>
    </w:rPr>
  </w:style>
  <w:style w:type="paragraph" w:styleId="68">
    <w:name w:val="Body Text Indent 3"/>
    <w:basedOn w:val="1"/>
    <w:link w:val="122"/>
    <w:qFormat/>
    <w:uiPriority w:val="0"/>
    <w:pPr>
      <w:ind w:firstLine="200" w:firstLineChars="200"/>
    </w:pPr>
    <w:rPr>
      <w:rFonts w:cs="Times New Roman"/>
      <w:b/>
      <w:bCs/>
      <w:kern w:val="2"/>
      <w:sz w:val="24"/>
    </w:rPr>
  </w:style>
  <w:style w:type="paragraph" w:styleId="69">
    <w:name w:val="index 7"/>
    <w:basedOn w:val="1"/>
    <w:next w:val="1"/>
    <w:qFormat/>
    <w:uiPriority w:val="0"/>
    <w:pPr>
      <w:widowControl w:val="0"/>
      <w:shd w:val="clear" w:color="auto" w:fill="auto"/>
      <w:tabs>
        <w:tab w:val="clear" w:pos="426"/>
      </w:tabs>
      <w:adjustRightInd/>
      <w:snapToGrid/>
      <w:spacing w:line="240" w:lineRule="auto"/>
      <w:ind w:left="1470" w:hanging="210"/>
      <w:jc w:val="left"/>
    </w:pPr>
    <w:rPr>
      <w:rFonts w:ascii="Times New Roman" w:cs="Times New Roman"/>
      <w:kern w:val="2"/>
      <w:sz w:val="20"/>
      <w:szCs w:val="20"/>
    </w:rPr>
  </w:style>
  <w:style w:type="paragraph" w:styleId="70">
    <w:name w:val="index 9"/>
    <w:basedOn w:val="1"/>
    <w:next w:val="1"/>
    <w:qFormat/>
    <w:uiPriority w:val="0"/>
    <w:pPr>
      <w:widowControl w:val="0"/>
      <w:shd w:val="clear" w:color="auto" w:fill="auto"/>
      <w:tabs>
        <w:tab w:val="clear" w:pos="426"/>
      </w:tabs>
      <w:adjustRightInd/>
      <w:snapToGrid/>
      <w:spacing w:line="240" w:lineRule="auto"/>
      <w:ind w:left="1890" w:hanging="210"/>
      <w:jc w:val="left"/>
    </w:pPr>
    <w:rPr>
      <w:rFonts w:ascii="Times New Roman" w:cs="Times New Roman"/>
      <w:kern w:val="2"/>
      <w:sz w:val="20"/>
      <w:szCs w:val="20"/>
    </w:rPr>
  </w:style>
  <w:style w:type="paragraph" w:styleId="71">
    <w:name w:val="toc 2"/>
    <w:basedOn w:val="1"/>
    <w:next w:val="1"/>
    <w:qFormat/>
    <w:uiPriority w:val="39"/>
    <w:pPr>
      <w:tabs>
        <w:tab w:val="right" w:leader="dot" w:pos="8789"/>
        <w:tab w:val="clear" w:pos="426"/>
      </w:tabs>
      <w:adjustRightInd/>
      <w:snapToGrid/>
      <w:spacing w:line="300" w:lineRule="auto"/>
      <w:ind w:left="50" w:leftChars="50"/>
    </w:pPr>
    <w:rPr>
      <w:smallCaps/>
      <w:sz w:val="28"/>
    </w:rPr>
  </w:style>
  <w:style w:type="paragraph" w:styleId="72">
    <w:name w:val="toc 9"/>
    <w:basedOn w:val="1"/>
    <w:next w:val="1"/>
    <w:qFormat/>
    <w:uiPriority w:val="0"/>
    <w:pPr>
      <w:ind w:left="1680"/>
      <w:jc w:val="left"/>
    </w:pPr>
    <w:rPr>
      <w:szCs w:val="21"/>
    </w:rPr>
  </w:style>
  <w:style w:type="paragraph" w:styleId="73">
    <w:name w:val="Body Text 2"/>
    <w:basedOn w:val="1"/>
    <w:link w:val="123"/>
    <w:qFormat/>
    <w:uiPriority w:val="0"/>
    <w:rPr>
      <w:rFonts w:ascii="Times New Roman" w:cs="Times New Roman"/>
      <w:kern w:val="2"/>
      <w:sz w:val="24"/>
    </w:rPr>
  </w:style>
  <w:style w:type="paragraph" w:styleId="74">
    <w:name w:val="List 4"/>
    <w:basedOn w:val="1"/>
    <w:qFormat/>
    <w:uiPriority w:val="0"/>
    <w:pPr>
      <w:widowControl w:val="0"/>
      <w:shd w:val="clear" w:color="auto" w:fill="auto"/>
      <w:tabs>
        <w:tab w:val="clear" w:pos="426"/>
      </w:tabs>
      <w:adjustRightInd/>
      <w:snapToGrid/>
      <w:spacing w:line="240" w:lineRule="auto"/>
      <w:ind w:left="800" w:leftChars="600" w:hanging="200" w:hangingChars="200"/>
    </w:pPr>
    <w:rPr>
      <w:rFonts w:ascii="Times New Roman" w:cs="Times New Roman"/>
      <w:kern w:val="2"/>
    </w:rPr>
  </w:style>
  <w:style w:type="paragraph" w:styleId="75">
    <w:name w:val="List Continue 2"/>
    <w:basedOn w:val="1"/>
    <w:qFormat/>
    <w:uiPriority w:val="0"/>
    <w:pPr>
      <w:widowControl w:val="0"/>
      <w:shd w:val="clear" w:color="auto" w:fill="auto"/>
      <w:tabs>
        <w:tab w:val="clear" w:pos="426"/>
      </w:tabs>
      <w:adjustRightInd/>
      <w:snapToGrid/>
      <w:spacing w:after="120" w:line="240" w:lineRule="auto"/>
      <w:ind w:left="400" w:leftChars="400"/>
    </w:pPr>
    <w:rPr>
      <w:rFonts w:ascii="Times New Roman" w:cs="Times New Roman"/>
      <w:kern w:val="2"/>
    </w:rPr>
  </w:style>
  <w:style w:type="paragraph" w:styleId="76">
    <w:name w:val="Message Header"/>
    <w:basedOn w:val="1"/>
    <w:qFormat/>
    <w:uiPriority w:val="0"/>
    <w:pPr>
      <w:widowControl w:val="0"/>
      <w:pBdr>
        <w:top w:val="single" w:color="auto" w:sz="6" w:space="1"/>
        <w:left w:val="single" w:color="auto" w:sz="6" w:space="1"/>
        <w:bottom w:val="single" w:color="auto" w:sz="6" w:space="1"/>
        <w:right w:val="single" w:color="auto" w:sz="6" w:space="1"/>
      </w:pBdr>
      <w:shd w:val="pct20" w:color="auto" w:fill="auto"/>
      <w:tabs>
        <w:tab w:val="clear" w:pos="426"/>
      </w:tabs>
      <w:adjustRightInd/>
      <w:snapToGrid/>
      <w:spacing w:line="240" w:lineRule="auto"/>
      <w:ind w:left="1000" w:leftChars="500" w:hanging="500" w:hangingChars="500"/>
    </w:pPr>
    <w:rPr>
      <w:rFonts w:ascii="Arial" w:hAnsi="Arial" w:cs="Times New Roman"/>
      <w:kern w:val="2"/>
      <w:sz w:val="24"/>
    </w:rPr>
  </w:style>
  <w:style w:type="paragraph" w:styleId="77">
    <w:name w:val="HTML Preformatted"/>
    <w:basedOn w:val="1"/>
    <w:link w:val="124"/>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cs="Times New Roman"/>
      <w:color w:val="000000"/>
      <w:sz w:val="20"/>
      <w:szCs w:val="20"/>
    </w:rPr>
  </w:style>
  <w:style w:type="paragraph" w:styleId="78">
    <w:name w:val="Normal (Web)"/>
    <w:basedOn w:val="1"/>
    <w:qFormat/>
    <w:uiPriority w:val="0"/>
    <w:rPr>
      <w:sz w:val="24"/>
    </w:rPr>
  </w:style>
  <w:style w:type="paragraph" w:styleId="79">
    <w:name w:val="List Continue 3"/>
    <w:basedOn w:val="1"/>
    <w:qFormat/>
    <w:uiPriority w:val="0"/>
    <w:pPr>
      <w:widowControl w:val="0"/>
      <w:shd w:val="clear" w:color="auto" w:fill="auto"/>
      <w:tabs>
        <w:tab w:val="clear" w:pos="426"/>
      </w:tabs>
      <w:adjustRightInd/>
      <w:snapToGrid/>
      <w:spacing w:after="120" w:line="240" w:lineRule="auto"/>
      <w:ind w:left="600" w:leftChars="600"/>
    </w:pPr>
    <w:rPr>
      <w:rFonts w:ascii="Times New Roman" w:cs="Times New Roman"/>
      <w:kern w:val="2"/>
    </w:rPr>
  </w:style>
  <w:style w:type="paragraph" w:styleId="80">
    <w:name w:val="index 2"/>
    <w:basedOn w:val="1"/>
    <w:next w:val="1"/>
    <w:qFormat/>
    <w:uiPriority w:val="0"/>
    <w:pPr>
      <w:widowControl w:val="0"/>
      <w:shd w:val="clear" w:color="auto" w:fill="auto"/>
      <w:tabs>
        <w:tab w:val="clear" w:pos="426"/>
      </w:tabs>
      <w:adjustRightInd/>
      <w:snapToGrid/>
      <w:spacing w:line="240" w:lineRule="auto"/>
      <w:ind w:left="420" w:hanging="210"/>
      <w:jc w:val="left"/>
    </w:pPr>
    <w:rPr>
      <w:rFonts w:ascii="Times New Roman" w:cs="Times New Roman"/>
      <w:kern w:val="2"/>
      <w:sz w:val="20"/>
      <w:szCs w:val="20"/>
    </w:rPr>
  </w:style>
  <w:style w:type="paragraph" w:styleId="81">
    <w:name w:val="Title"/>
    <w:basedOn w:val="1"/>
    <w:link w:val="125"/>
    <w:qFormat/>
    <w:uiPriority w:val="0"/>
    <w:pPr>
      <w:spacing w:before="240" w:after="60"/>
      <w:jc w:val="center"/>
      <w:outlineLvl w:val="0"/>
    </w:pPr>
    <w:rPr>
      <w:rFonts w:ascii="Arial" w:hAnsi="Arial" w:cs="Times New Roman"/>
      <w:b/>
      <w:bCs/>
      <w:kern w:val="2"/>
      <w:sz w:val="36"/>
      <w:szCs w:val="32"/>
    </w:rPr>
  </w:style>
  <w:style w:type="paragraph" w:styleId="82">
    <w:name w:val="annotation subject"/>
    <w:basedOn w:val="26"/>
    <w:next w:val="26"/>
    <w:link w:val="126"/>
    <w:qFormat/>
    <w:uiPriority w:val="0"/>
    <w:pPr>
      <w:autoSpaceDE/>
      <w:autoSpaceDN/>
      <w:adjustRightInd/>
      <w:textAlignment w:val="auto"/>
    </w:pPr>
    <w:rPr>
      <w:rFonts w:ascii="Times New Roman"/>
      <w:b/>
      <w:bCs/>
      <w:kern w:val="2"/>
      <w:sz w:val="21"/>
      <w:szCs w:val="24"/>
    </w:rPr>
  </w:style>
  <w:style w:type="paragraph" w:styleId="83">
    <w:name w:val="Body Text First Indent"/>
    <w:basedOn w:val="32"/>
    <w:qFormat/>
    <w:uiPriority w:val="0"/>
    <w:pPr>
      <w:widowControl w:val="0"/>
      <w:shd w:val="clear" w:color="auto" w:fill="auto"/>
      <w:tabs>
        <w:tab w:val="clear" w:pos="426"/>
      </w:tabs>
      <w:adjustRightInd/>
      <w:snapToGrid/>
      <w:spacing w:after="120" w:line="240" w:lineRule="auto"/>
      <w:ind w:firstLine="100" w:firstLineChars="100"/>
    </w:pPr>
    <w:rPr>
      <w:kern w:val="2"/>
      <w:sz w:val="21"/>
    </w:rPr>
  </w:style>
  <w:style w:type="paragraph" w:styleId="84">
    <w:name w:val="Body Text First Indent 2"/>
    <w:basedOn w:val="33"/>
    <w:next w:val="1"/>
    <w:qFormat/>
    <w:uiPriority w:val="99"/>
    <w:pPr>
      <w:widowControl w:val="0"/>
      <w:shd w:val="clear" w:color="auto" w:fill="auto"/>
      <w:tabs>
        <w:tab w:val="clear" w:pos="426"/>
      </w:tabs>
      <w:adjustRightInd/>
      <w:snapToGrid/>
      <w:spacing w:after="120" w:line="240" w:lineRule="auto"/>
      <w:ind w:left="200" w:leftChars="200"/>
    </w:pPr>
  </w:style>
  <w:style w:type="table" w:styleId="86">
    <w:name w:val="Table Grid"/>
    <w:basedOn w:val="8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8">
    <w:name w:val="Strong"/>
    <w:qFormat/>
    <w:uiPriority w:val="0"/>
    <w:rPr>
      <w:b/>
      <w:bCs/>
    </w:rPr>
  </w:style>
  <w:style w:type="character" w:styleId="89">
    <w:name w:val="endnote reference"/>
    <w:qFormat/>
    <w:uiPriority w:val="0"/>
    <w:rPr>
      <w:vertAlign w:val="superscript"/>
    </w:rPr>
  </w:style>
  <w:style w:type="character" w:styleId="90">
    <w:name w:val="page number"/>
    <w:qFormat/>
    <w:uiPriority w:val="0"/>
  </w:style>
  <w:style w:type="character" w:styleId="91">
    <w:name w:val="FollowedHyperlink"/>
    <w:qFormat/>
    <w:uiPriority w:val="99"/>
    <w:rPr>
      <w:color w:val="800080"/>
      <w:u w:val="single"/>
    </w:rPr>
  </w:style>
  <w:style w:type="character" w:styleId="92">
    <w:name w:val="Emphasis"/>
    <w:qFormat/>
    <w:uiPriority w:val="0"/>
    <w:rPr>
      <w:i/>
      <w:iCs/>
    </w:rPr>
  </w:style>
  <w:style w:type="character" w:styleId="93">
    <w:name w:val="line number"/>
    <w:qFormat/>
    <w:uiPriority w:val="0"/>
  </w:style>
  <w:style w:type="character" w:styleId="94">
    <w:name w:val="HTML Definition"/>
    <w:qFormat/>
    <w:uiPriority w:val="0"/>
    <w:rPr>
      <w:i/>
      <w:iCs/>
    </w:rPr>
  </w:style>
  <w:style w:type="character" w:styleId="95">
    <w:name w:val="HTML Typewriter"/>
    <w:qFormat/>
    <w:uiPriority w:val="0"/>
    <w:rPr>
      <w:rFonts w:ascii="Courier New" w:hAnsi="Courier New" w:cs="Courier New"/>
      <w:sz w:val="20"/>
      <w:szCs w:val="20"/>
      <w:lang w:bidi="ar-SA"/>
    </w:rPr>
  </w:style>
  <w:style w:type="character" w:styleId="96">
    <w:name w:val="HTML Acronym"/>
    <w:qFormat/>
    <w:uiPriority w:val="0"/>
  </w:style>
  <w:style w:type="character" w:styleId="97">
    <w:name w:val="HTML Variable"/>
    <w:qFormat/>
    <w:uiPriority w:val="0"/>
    <w:rPr>
      <w:i/>
      <w:iCs/>
    </w:rPr>
  </w:style>
  <w:style w:type="character" w:styleId="98">
    <w:name w:val="Hyperlink"/>
    <w:qFormat/>
    <w:uiPriority w:val="99"/>
    <w:rPr>
      <w:color w:val="0000FF"/>
      <w:u w:val="single"/>
    </w:rPr>
  </w:style>
  <w:style w:type="character" w:styleId="99">
    <w:name w:val="HTML Code"/>
    <w:qFormat/>
    <w:uiPriority w:val="0"/>
    <w:rPr>
      <w:rFonts w:ascii="Courier New" w:hAnsi="Courier New" w:cs="Courier New"/>
      <w:sz w:val="20"/>
      <w:szCs w:val="20"/>
      <w:lang w:bidi="ar-SA"/>
    </w:rPr>
  </w:style>
  <w:style w:type="character" w:styleId="100">
    <w:name w:val="annotation reference"/>
    <w:qFormat/>
    <w:uiPriority w:val="99"/>
    <w:rPr>
      <w:sz w:val="21"/>
      <w:szCs w:val="21"/>
    </w:rPr>
  </w:style>
  <w:style w:type="character" w:styleId="101">
    <w:name w:val="HTML Cite"/>
    <w:qFormat/>
    <w:uiPriority w:val="0"/>
    <w:rPr>
      <w:i/>
      <w:iCs/>
    </w:rPr>
  </w:style>
  <w:style w:type="character" w:styleId="102">
    <w:name w:val="footnote reference"/>
    <w:qFormat/>
    <w:uiPriority w:val="0"/>
    <w:rPr>
      <w:vertAlign w:val="superscript"/>
    </w:rPr>
  </w:style>
  <w:style w:type="character" w:styleId="103">
    <w:name w:val="HTML Keyboard"/>
    <w:qFormat/>
    <w:uiPriority w:val="0"/>
    <w:rPr>
      <w:rFonts w:ascii="Courier New" w:hAnsi="Courier New" w:cs="Courier New"/>
      <w:sz w:val="20"/>
      <w:szCs w:val="20"/>
      <w:lang w:bidi="ar-SA"/>
    </w:rPr>
  </w:style>
  <w:style w:type="character" w:styleId="104">
    <w:name w:val="HTML Sample"/>
    <w:qFormat/>
    <w:uiPriority w:val="0"/>
    <w:rPr>
      <w:rFonts w:ascii="Courier New" w:hAnsi="Courier New" w:cs="Courier New"/>
      <w:lang w:bidi="ar-SA"/>
    </w:rPr>
  </w:style>
  <w:style w:type="paragraph" w:customStyle="1" w:styleId="105">
    <w:name w:val="文档正文"/>
    <w:basedOn w:val="1"/>
    <w:qFormat/>
    <w:uiPriority w:val="99"/>
    <w:pPr>
      <w:spacing w:line="480" w:lineRule="atLeast"/>
      <w:ind w:firstLine="200" w:firstLineChars="200"/>
      <w:textAlignment w:val="baseline"/>
    </w:pPr>
    <w:rPr>
      <w:rFonts w:ascii="长城仿宋" w:hAnsi="长城仿宋"/>
      <w:szCs w:val="20"/>
    </w:rPr>
  </w:style>
  <w:style w:type="character" w:customStyle="1" w:styleId="106">
    <w:name w:val="标题 3 字符"/>
    <w:link w:val="4"/>
    <w:qFormat/>
    <w:uiPriority w:val="0"/>
    <w:rPr>
      <w:rFonts w:ascii="宋体" w:cs="宋体"/>
      <w:bCs/>
      <w:kern w:val="2"/>
      <w:sz w:val="21"/>
      <w:szCs w:val="21"/>
    </w:rPr>
  </w:style>
  <w:style w:type="character" w:customStyle="1" w:styleId="107">
    <w:name w:val="标题 2 字符"/>
    <w:link w:val="3"/>
    <w:qFormat/>
    <w:uiPriority w:val="0"/>
    <w:rPr>
      <w:rFonts w:ascii="宋体" w:cs="宋体"/>
      <w:sz w:val="21"/>
    </w:rPr>
  </w:style>
  <w:style w:type="character" w:customStyle="1" w:styleId="108">
    <w:name w:val="标题 4 字符"/>
    <w:link w:val="5"/>
    <w:qFormat/>
    <w:uiPriority w:val="0"/>
    <w:rPr>
      <w:rFonts w:ascii="Arial" w:hAnsi="Arial" w:eastAsia="黑体"/>
      <w:b/>
      <w:bCs/>
      <w:kern w:val="2"/>
      <w:sz w:val="28"/>
      <w:szCs w:val="28"/>
      <w:shd w:val="clear" w:color="auto" w:fill="FFFFFF"/>
    </w:rPr>
  </w:style>
  <w:style w:type="character" w:customStyle="1" w:styleId="109">
    <w:name w:val="标题 5 字符"/>
    <w:link w:val="6"/>
    <w:qFormat/>
    <w:uiPriority w:val="0"/>
    <w:rPr>
      <w:b/>
      <w:kern w:val="2"/>
      <w:sz w:val="24"/>
      <w:shd w:val="clear" w:color="auto" w:fill="FFFFFF"/>
    </w:rPr>
  </w:style>
  <w:style w:type="character" w:customStyle="1" w:styleId="110">
    <w:name w:val="正文缩进 字符"/>
    <w:link w:val="7"/>
    <w:qFormat/>
    <w:uiPriority w:val="0"/>
    <w:rPr>
      <w:kern w:val="2"/>
      <w:sz w:val="21"/>
      <w:shd w:val="clear" w:color="auto" w:fill="FFFFFF"/>
    </w:rPr>
  </w:style>
  <w:style w:type="character" w:customStyle="1" w:styleId="111">
    <w:name w:val="标题 7 字符"/>
    <w:link w:val="9"/>
    <w:qFormat/>
    <w:uiPriority w:val="0"/>
    <w:rPr>
      <w:b/>
      <w:kern w:val="2"/>
      <w:sz w:val="24"/>
      <w:shd w:val="clear" w:color="auto" w:fill="FFFFFF"/>
    </w:rPr>
  </w:style>
  <w:style w:type="character" w:customStyle="1" w:styleId="112">
    <w:name w:val="标题 8 字符"/>
    <w:link w:val="10"/>
    <w:qFormat/>
    <w:uiPriority w:val="0"/>
    <w:rPr>
      <w:rFonts w:ascii="Arial" w:hAnsi="Arial" w:eastAsia="黑体"/>
      <w:kern w:val="2"/>
      <w:sz w:val="24"/>
      <w:shd w:val="clear" w:color="auto" w:fill="FFFFFF"/>
    </w:rPr>
  </w:style>
  <w:style w:type="character" w:customStyle="1" w:styleId="113">
    <w:name w:val="标题 9 字符"/>
    <w:link w:val="11"/>
    <w:qFormat/>
    <w:uiPriority w:val="0"/>
    <w:rPr>
      <w:rFonts w:ascii="Arial" w:hAnsi="Arial" w:eastAsia="黑体"/>
      <w:kern w:val="2"/>
      <w:sz w:val="21"/>
      <w:shd w:val="clear" w:color="auto" w:fill="FFFFFF"/>
    </w:rPr>
  </w:style>
  <w:style w:type="character" w:customStyle="1" w:styleId="114">
    <w:name w:val="批注文字 字符1"/>
    <w:link w:val="26"/>
    <w:qFormat/>
    <w:uiPriority w:val="0"/>
    <w:rPr>
      <w:rFonts w:ascii="宋体"/>
      <w:sz w:val="34"/>
      <w:shd w:val="clear" w:color="auto" w:fill="FFFFFF"/>
    </w:rPr>
  </w:style>
  <w:style w:type="character" w:customStyle="1" w:styleId="115">
    <w:name w:val="正文文本 3 字符"/>
    <w:link w:val="29"/>
    <w:qFormat/>
    <w:uiPriority w:val="0"/>
    <w:rPr>
      <w:kern w:val="2"/>
      <w:sz w:val="16"/>
      <w:szCs w:val="16"/>
      <w:shd w:val="clear" w:color="auto" w:fill="FFFFFF"/>
    </w:rPr>
  </w:style>
  <w:style w:type="character" w:customStyle="1" w:styleId="116">
    <w:name w:val="正文文本缩进 字符"/>
    <w:link w:val="33"/>
    <w:qFormat/>
    <w:uiPriority w:val="0"/>
    <w:rPr>
      <w:kern w:val="2"/>
      <w:sz w:val="21"/>
      <w:szCs w:val="24"/>
      <w:shd w:val="clear" w:color="auto" w:fill="FFFFFF"/>
    </w:rPr>
  </w:style>
  <w:style w:type="character" w:customStyle="1" w:styleId="117">
    <w:name w:val="正文文本缩进 2 字符"/>
    <w:link w:val="50"/>
    <w:qFormat/>
    <w:uiPriority w:val="0"/>
    <w:rPr>
      <w:rFonts w:ascii="宋体"/>
      <w:kern w:val="2"/>
      <w:sz w:val="21"/>
      <w:szCs w:val="24"/>
      <w:shd w:val="clear" w:color="auto" w:fill="FFFFFF"/>
    </w:rPr>
  </w:style>
  <w:style w:type="character" w:customStyle="1" w:styleId="118">
    <w:name w:val="批注框文本 字符1"/>
    <w:link w:val="53"/>
    <w:qFormat/>
    <w:uiPriority w:val="0"/>
    <w:rPr>
      <w:kern w:val="2"/>
      <w:sz w:val="18"/>
      <w:szCs w:val="18"/>
      <w:shd w:val="clear" w:color="auto" w:fill="FFFFFF"/>
    </w:rPr>
  </w:style>
  <w:style w:type="character" w:customStyle="1" w:styleId="119">
    <w:name w:val="页脚 字符1"/>
    <w:link w:val="54"/>
    <w:qFormat/>
    <w:uiPriority w:val="0"/>
    <w:rPr>
      <w:kern w:val="2"/>
      <w:sz w:val="18"/>
      <w:szCs w:val="18"/>
      <w:shd w:val="clear" w:color="auto" w:fill="FFFFFF"/>
    </w:rPr>
  </w:style>
  <w:style w:type="character" w:customStyle="1" w:styleId="120">
    <w:name w:val="页眉 字符1"/>
    <w:link w:val="55"/>
    <w:qFormat/>
    <w:uiPriority w:val="0"/>
    <w:rPr>
      <w:kern w:val="2"/>
      <w:sz w:val="18"/>
      <w:szCs w:val="18"/>
      <w:shd w:val="clear" w:color="auto" w:fill="FFFFFF"/>
    </w:rPr>
  </w:style>
  <w:style w:type="character" w:customStyle="1" w:styleId="121">
    <w:name w:val="脚注文本 字符"/>
    <w:link w:val="65"/>
    <w:qFormat/>
    <w:uiPriority w:val="0"/>
    <w:rPr>
      <w:kern w:val="2"/>
      <w:sz w:val="18"/>
      <w:szCs w:val="24"/>
    </w:rPr>
  </w:style>
  <w:style w:type="character" w:customStyle="1" w:styleId="122">
    <w:name w:val="正文文本缩进 3 字符"/>
    <w:link w:val="68"/>
    <w:qFormat/>
    <w:uiPriority w:val="0"/>
    <w:rPr>
      <w:rFonts w:ascii="宋体"/>
      <w:b/>
      <w:bCs/>
      <w:kern w:val="2"/>
      <w:sz w:val="24"/>
      <w:szCs w:val="24"/>
      <w:shd w:val="clear" w:color="auto" w:fill="FFFFFF"/>
    </w:rPr>
  </w:style>
  <w:style w:type="character" w:customStyle="1" w:styleId="123">
    <w:name w:val="正文文本 2 字符"/>
    <w:link w:val="73"/>
    <w:qFormat/>
    <w:uiPriority w:val="0"/>
    <w:rPr>
      <w:kern w:val="2"/>
      <w:sz w:val="24"/>
      <w:szCs w:val="24"/>
      <w:shd w:val="clear" w:color="auto" w:fill="FFFFFF"/>
    </w:rPr>
  </w:style>
  <w:style w:type="character" w:customStyle="1" w:styleId="124">
    <w:name w:val="HTML 预设格式 字符"/>
    <w:link w:val="77"/>
    <w:qFormat/>
    <w:uiPriority w:val="99"/>
    <w:rPr>
      <w:rFonts w:ascii="Arial Unicode MS" w:eastAsia="Arial Unicode MS"/>
      <w:color w:val="000000"/>
      <w:shd w:val="clear" w:color="auto" w:fill="FFFFFF"/>
    </w:rPr>
  </w:style>
  <w:style w:type="character" w:customStyle="1" w:styleId="125">
    <w:name w:val="标题 字符"/>
    <w:link w:val="81"/>
    <w:qFormat/>
    <w:uiPriority w:val="0"/>
    <w:rPr>
      <w:rFonts w:ascii="Arial" w:hAnsi="Arial"/>
      <w:b/>
      <w:bCs/>
      <w:kern w:val="2"/>
      <w:sz w:val="36"/>
      <w:szCs w:val="32"/>
      <w:shd w:val="clear" w:color="auto" w:fill="FFFFFF"/>
    </w:rPr>
  </w:style>
  <w:style w:type="character" w:customStyle="1" w:styleId="126">
    <w:name w:val="批注主题 字符"/>
    <w:link w:val="82"/>
    <w:qFormat/>
    <w:uiPriority w:val="0"/>
    <w:rPr>
      <w:b/>
      <w:bCs/>
      <w:kern w:val="2"/>
      <w:sz w:val="21"/>
      <w:szCs w:val="24"/>
      <w:shd w:val="clear" w:color="auto" w:fill="FFFFFF"/>
    </w:rPr>
  </w:style>
  <w:style w:type="paragraph" w:customStyle="1" w:styleId="127">
    <w:name w:val="Char"/>
    <w:basedOn w:val="1"/>
    <w:qFormat/>
    <w:uiPriority w:val="0"/>
    <w:pPr>
      <w:spacing w:after="160" w:line="240" w:lineRule="exact"/>
      <w:jc w:val="left"/>
    </w:pPr>
    <w:rPr>
      <w:rFonts w:ascii="Verdana" w:hAnsi="Verdana" w:eastAsia="仿宋_GB2312"/>
      <w:sz w:val="24"/>
      <w:szCs w:val="20"/>
      <w:lang w:eastAsia="en-US"/>
    </w:rPr>
  </w:style>
  <w:style w:type="character" w:customStyle="1" w:styleId="128">
    <w:name w:val="标题 3 Char"/>
    <w:qFormat/>
    <w:uiPriority w:val="0"/>
    <w:rPr>
      <w:rFonts w:ascii="黑体" w:eastAsia="黑体"/>
      <w:bCs/>
      <w:sz w:val="30"/>
    </w:rPr>
  </w:style>
  <w:style w:type="paragraph" w:customStyle="1" w:styleId="129">
    <w:name w:val="样式41"/>
    <w:basedOn w:val="1"/>
    <w:qFormat/>
    <w:uiPriority w:val="0"/>
    <w:pPr>
      <w:tabs>
        <w:tab w:val="left" w:pos="945"/>
        <w:tab w:val="left" w:pos="2040"/>
      </w:tabs>
      <w:ind w:left="1000" w:leftChars="800" w:hanging="200" w:hangingChars="200"/>
    </w:pPr>
    <w:rPr>
      <w:b/>
      <w:color w:val="000000"/>
      <w:sz w:val="24"/>
      <w:szCs w:val="20"/>
    </w:rPr>
  </w:style>
  <w:style w:type="paragraph" w:customStyle="1" w:styleId="130">
    <w:name w:val="图"/>
    <w:basedOn w:val="1"/>
    <w:qFormat/>
    <w:uiPriority w:val="0"/>
    <w:pPr>
      <w:keepNext/>
      <w:spacing w:before="60" w:after="60" w:line="300" w:lineRule="auto"/>
      <w:jc w:val="center"/>
    </w:pPr>
    <w:rPr>
      <w:spacing w:val="20"/>
      <w:sz w:val="24"/>
      <w:szCs w:val="20"/>
    </w:rPr>
  </w:style>
  <w:style w:type="paragraph" w:customStyle="1" w:styleId="131">
    <w:name w:val="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132">
    <w:name w:val="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3">
    <w:name w:val="Char Char Char 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4">
    <w:name w:val="Table Contents"/>
    <w:basedOn w:val="1"/>
    <w:qFormat/>
    <w:uiPriority w:val="0"/>
    <w:pPr>
      <w:suppressAutoHyphens/>
      <w:autoSpaceDE w:val="0"/>
      <w:spacing w:after="120"/>
      <w:jc w:val="left"/>
    </w:pPr>
    <w:rPr>
      <w:rFonts w:ascii="Helvetica" w:hAnsi="Helvetica"/>
      <w:kern w:val="2"/>
      <w:sz w:val="20"/>
      <w:szCs w:val="20"/>
    </w:rPr>
  </w:style>
  <w:style w:type="paragraph" w:customStyle="1" w:styleId="135">
    <w:name w:val="自定义正文"/>
    <w:basedOn w:val="1"/>
    <w:qFormat/>
    <w:uiPriority w:val="0"/>
    <w:pPr>
      <w:spacing w:afterLines="50"/>
      <w:ind w:left="600" w:leftChars="600"/>
    </w:pPr>
  </w:style>
  <w:style w:type="paragraph" w:customStyle="1" w:styleId="136">
    <w:name w:val="Char Char Char Char Char"/>
    <w:basedOn w:val="1"/>
    <w:qFormat/>
    <w:uiPriority w:val="0"/>
    <w:rPr>
      <w:rFonts w:ascii="Tahoma" w:hAnsi="Tahoma"/>
      <w:sz w:val="24"/>
      <w:szCs w:val="20"/>
    </w:rPr>
  </w:style>
  <w:style w:type="paragraph" w:customStyle="1" w:styleId="137">
    <w:name w:val="小标题 1"/>
    <w:basedOn w:val="1"/>
    <w:qFormat/>
    <w:uiPriority w:val="0"/>
    <w:pPr>
      <w:autoSpaceDE w:val="0"/>
      <w:autoSpaceDN w:val="0"/>
      <w:spacing w:line="360" w:lineRule="atLeast"/>
    </w:pPr>
    <w:rPr>
      <w:rFonts w:ascii="文鼎粗黑" w:eastAsia="文鼎粗黑"/>
      <w:sz w:val="22"/>
      <w:szCs w:val="20"/>
    </w:rPr>
  </w:style>
  <w:style w:type="paragraph" w:customStyle="1" w:styleId="138">
    <w:name w:val="Char Char"/>
    <w:basedOn w:val="1"/>
    <w:qFormat/>
    <w:uiPriority w:val="0"/>
    <w:rPr>
      <w:rFonts w:ascii="Tahoma" w:hAnsi="Tahoma"/>
      <w:sz w:val="24"/>
      <w:szCs w:val="20"/>
    </w:rPr>
  </w:style>
  <w:style w:type="paragraph" w:customStyle="1" w:styleId="139">
    <w:name w:val="È±Ê¡ÎÄ±¾"/>
    <w:basedOn w:val="1"/>
    <w:qFormat/>
    <w:uiPriority w:val="0"/>
    <w:pPr>
      <w:overflowPunct w:val="0"/>
      <w:autoSpaceDE w:val="0"/>
      <w:autoSpaceDN w:val="0"/>
      <w:jc w:val="left"/>
      <w:textAlignment w:val="baseline"/>
    </w:pPr>
    <w:rPr>
      <w:sz w:val="24"/>
      <w:szCs w:val="20"/>
    </w:rPr>
  </w:style>
  <w:style w:type="character" w:customStyle="1" w:styleId="140">
    <w:name w:val="apple-converted-space"/>
    <w:qFormat/>
    <w:uiPriority w:val="0"/>
  </w:style>
  <w:style w:type="paragraph" w:customStyle="1" w:styleId="141">
    <w:name w:val="TOC 标题1"/>
    <w:basedOn w:val="2"/>
    <w:next w:val="1"/>
    <w:qFormat/>
    <w:uiPriority w:val="0"/>
    <w:pPr>
      <w:spacing w:before="480" w:after="0" w:line="276" w:lineRule="auto"/>
      <w:jc w:val="left"/>
      <w:outlineLvl w:val="9"/>
    </w:pPr>
    <w:rPr>
      <w:rFonts w:ascii="Cambria" w:hAnsi="Cambria"/>
      <w:color w:val="365F91"/>
      <w:kern w:val="0"/>
    </w:rPr>
  </w:style>
  <w:style w:type="paragraph" w:customStyle="1" w:styleId="142">
    <w:name w:val="Char Char Char"/>
    <w:basedOn w:val="1"/>
    <w:qFormat/>
    <w:uiPriority w:val="0"/>
    <w:rPr>
      <w:rFonts w:ascii="Tahoma" w:hAnsi="Tahoma"/>
      <w:sz w:val="24"/>
      <w:szCs w:val="20"/>
    </w:rPr>
  </w:style>
  <w:style w:type="paragraph" w:customStyle="1" w:styleId="143">
    <w:name w:val="列出段落1"/>
    <w:basedOn w:val="1"/>
    <w:link w:val="144"/>
    <w:qFormat/>
    <w:uiPriority w:val="0"/>
    <w:pPr>
      <w:ind w:firstLine="200" w:firstLineChars="200"/>
    </w:pPr>
    <w:rPr>
      <w:rFonts w:ascii="Times New Roman" w:cs="Times New Roman"/>
      <w:kern w:val="2"/>
    </w:rPr>
  </w:style>
  <w:style w:type="character" w:customStyle="1" w:styleId="144">
    <w:name w:val="List Paragraph Char"/>
    <w:link w:val="143"/>
    <w:qFormat/>
    <w:locked/>
    <w:uiPriority w:val="0"/>
    <w:rPr>
      <w:kern w:val="2"/>
      <w:sz w:val="21"/>
      <w:szCs w:val="24"/>
      <w:shd w:val="clear" w:color="auto" w:fill="FFFFFF"/>
    </w:rPr>
  </w:style>
  <w:style w:type="paragraph" w:customStyle="1" w:styleId="145">
    <w:name w:val="Default"/>
    <w:qFormat/>
    <w:uiPriority w:val="0"/>
    <w:pPr>
      <w:widowControl w:val="0"/>
      <w:autoSpaceDE w:val="0"/>
      <w:autoSpaceDN w:val="0"/>
      <w:adjustRightInd w:val="0"/>
      <w:spacing w:line="360" w:lineRule="auto"/>
      <w:jc w:val="both"/>
    </w:pPr>
    <w:rPr>
      <w:rFonts w:ascii="宋体" w:hAnsi="Times New Roman" w:eastAsia="宋体" w:cs="Times New Roman"/>
      <w:color w:val="000000"/>
      <w:sz w:val="24"/>
      <w:szCs w:val="24"/>
      <w:lang w:val="en-US" w:eastAsia="zh-CN" w:bidi="ar-SA"/>
    </w:rPr>
  </w:style>
  <w:style w:type="paragraph" w:customStyle="1" w:styleId="146">
    <w:name w:val="主题"/>
    <w:basedOn w:val="1"/>
    <w:qFormat/>
    <w:uiPriority w:val="0"/>
  </w:style>
  <w:style w:type="paragraph" w:customStyle="1" w:styleId="147">
    <w:name w:val="默认段落字体 Para Char Char Char Char Char Char Char Char Char3 Char Char Char Char"/>
    <w:basedOn w:val="24"/>
    <w:qFormat/>
    <w:uiPriority w:val="0"/>
    <w:pPr>
      <w:spacing w:line="436" w:lineRule="exact"/>
      <w:ind w:left="357"/>
      <w:jc w:val="left"/>
      <w:outlineLvl w:val="3"/>
    </w:pPr>
    <w:rPr>
      <w:rFonts w:ascii="Tahoma" w:hAnsi="Tahoma"/>
      <w:b/>
      <w:sz w:val="24"/>
    </w:rPr>
  </w:style>
  <w:style w:type="paragraph" w:customStyle="1" w:styleId="148">
    <w:name w:val="目次、标准名称标题"/>
    <w:basedOn w:val="1"/>
    <w:next w:val="1"/>
    <w:qFormat/>
    <w:uiPriority w:val="0"/>
    <w:pPr>
      <w:shd w:val="clear" w:color="FFFFFF" w:fill="FFFFFF"/>
      <w:spacing w:before="640" w:after="560" w:line="460" w:lineRule="exact"/>
      <w:jc w:val="center"/>
      <w:outlineLvl w:val="0"/>
    </w:pPr>
    <w:rPr>
      <w:rFonts w:ascii="黑体" w:eastAsia="黑体"/>
      <w:sz w:val="32"/>
      <w:szCs w:val="20"/>
    </w:rPr>
  </w:style>
  <w:style w:type="paragraph" w:customStyle="1" w:styleId="149">
    <w:name w:val="表1黑体居中"/>
    <w:basedOn w:val="1"/>
    <w:qFormat/>
    <w:uiPriority w:val="0"/>
    <w:pPr>
      <w:ind w:firstLine="435"/>
      <w:jc w:val="center"/>
      <w:textAlignment w:val="baseline"/>
    </w:pPr>
    <w:rPr>
      <w:rFonts w:ascii="黑体" w:eastAsia="黑体"/>
      <w:szCs w:val="21"/>
    </w:rPr>
  </w:style>
  <w:style w:type="paragraph" w:customStyle="1" w:styleId="150">
    <w:name w:val="MaoC2"/>
    <w:basedOn w:val="1"/>
    <w:qFormat/>
    <w:uiPriority w:val="0"/>
    <w:pPr>
      <w:numPr>
        <w:ilvl w:val="1"/>
        <w:numId w:val="11"/>
      </w:numPr>
      <w:spacing w:line="480" w:lineRule="auto"/>
      <w:outlineLvl w:val="1"/>
    </w:pPr>
    <w:rPr>
      <w:rFonts w:ascii="黑体" w:eastAsia="黑体"/>
      <w:szCs w:val="20"/>
    </w:rPr>
  </w:style>
  <w:style w:type="paragraph" w:customStyle="1" w:styleId="151">
    <w:name w:val="图目录4"/>
    <w:basedOn w:val="1"/>
    <w:next w:val="1"/>
    <w:qFormat/>
    <w:uiPriority w:val="0"/>
    <w:pPr>
      <w:numPr>
        <w:ilvl w:val="0"/>
        <w:numId w:val="12"/>
      </w:numPr>
      <w:ind w:left="0" w:hanging="448"/>
      <w:jc w:val="center"/>
      <w:textAlignment w:val="baseline"/>
    </w:pPr>
    <w:rPr>
      <w:szCs w:val="20"/>
    </w:rPr>
  </w:style>
  <w:style w:type="paragraph" w:customStyle="1" w:styleId="152">
    <w:name w:val="段"/>
    <w:qFormat/>
    <w:uiPriority w:val="0"/>
    <w:pPr>
      <w:autoSpaceDE w:val="0"/>
      <w:autoSpaceDN w:val="0"/>
      <w:spacing w:line="360" w:lineRule="auto"/>
      <w:ind w:firstLine="200" w:firstLineChars="200"/>
      <w:jc w:val="both"/>
    </w:pPr>
    <w:rPr>
      <w:rFonts w:ascii="宋体" w:hAnsi="Times New Roman" w:eastAsia="宋体" w:cs="Times New Roman"/>
      <w:sz w:val="21"/>
      <w:lang w:val="en-US" w:eastAsia="zh-CN" w:bidi="ar-SA"/>
    </w:rPr>
  </w:style>
  <w:style w:type="paragraph" w:customStyle="1" w:styleId="153">
    <w:name w:val="样式1"/>
    <w:basedOn w:val="1"/>
    <w:qFormat/>
    <w:uiPriority w:val="0"/>
    <w:pPr>
      <w:keepNext/>
      <w:keepLines/>
      <w:numPr>
        <w:ilvl w:val="0"/>
        <w:numId w:val="13"/>
      </w:numPr>
      <w:spacing w:before="340" w:after="330"/>
      <w:outlineLvl w:val="0"/>
    </w:pPr>
    <w:rPr>
      <w:b/>
      <w:kern w:val="44"/>
      <w:sz w:val="44"/>
      <w:szCs w:val="20"/>
    </w:rPr>
  </w:style>
  <w:style w:type="paragraph" w:customStyle="1" w:styleId="154">
    <w:name w:val="参数内容"/>
    <w:basedOn w:val="143"/>
    <w:qFormat/>
    <w:uiPriority w:val="0"/>
    <w:pPr>
      <w:numPr>
        <w:ilvl w:val="0"/>
        <w:numId w:val="14"/>
      </w:numPr>
      <w:ind w:left="0" w:firstLine="0" w:firstLineChars="0"/>
    </w:pPr>
    <w:rPr>
      <w:szCs w:val="18"/>
    </w:rPr>
  </w:style>
  <w:style w:type="paragraph" w:customStyle="1" w:styleId="155">
    <w:name w:val="标准正文"/>
    <w:basedOn w:val="33"/>
    <w:qFormat/>
    <w:uiPriority w:val="0"/>
    <w:pPr>
      <w:spacing w:before="60" w:after="60"/>
      <w:ind w:firstLine="482" w:firstLineChars="0"/>
      <w:jc w:val="left"/>
    </w:pPr>
    <w:rPr>
      <w:rFonts w:ascii="宋体"/>
      <w:kern w:val="0"/>
      <w:sz w:val="24"/>
      <w:szCs w:val="20"/>
    </w:rPr>
  </w:style>
  <w:style w:type="paragraph" w:customStyle="1" w:styleId="156">
    <w:name w:val="下级参数内容"/>
    <w:basedOn w:val="143"/>
    <w:qFormat/>
    <w:uiPriority w:val="0"/>
    <w:pPr>
      <w:numPr>
        <w:ilvl w:val="0"/>
        <w:numId w:val="15"/>
      </w:numPr>
      <w:ind w:left="1134" w:firstLine="0" w:firstLineChars="0"/>
    </w:pPr>
    <w:rPr>
      <w:rFonts w:ascii="仿宋" w:hAnsi="仿宋"/>
    </w:rPr>
  </w:style>
  <w:style w:type="paragraph" w:customStyle="1" w:styleId="157">
    <w:name w:val="Char Char Char1"/>
    <w:basedOn w:val="1"/>
    <w:qFormat/>
    <w:uiPriority w:val="0"/>
    <w:rPr>
      <w:rFonts w:ascii="Tahoma" w:hAnsi="Tahoma"/>
      <w:sz w:val="24"/>
      <w:szCs w:val="20"/>
    </w:rPr>
  </w:style>
  <w:style w:type="paragraph" w:customStyle="1" w:styleId="158">
    <w:name w:val="Char Char10 Char Char"/>
    <w:basedOn w:val="24"/>
    <w:qFormat/>
    <w:uiPriority w:val="0"/>
    <w:rPr>
      <w:rFonts w:ascii="Tahoma" w:hAnsi="Tahoma"/>
      <w:sz w:val="24"/>
    </w:rPr>
  </w:style>
  <w:style w:type="paragraph" w:customStyle="1" w:styleId="159">
    <w:name w:val="_Style 95"/>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60">
    <w:name w:val="font5"/>
    <w:basedOn w:val="1"/>
    <w:qFormat/>
    <w:uiPriority w:val="0"/>
    <w:pPr>
      <w:spacing w:before="100" w:beforeAutospacing="1" w:after="100" w:afterAutospacing="1"/>
      <w:jc w:val="left"/>
    </w:pPr>
    <w:rPr>
      <w:sz w:val="18"/>
      <w:szCs w:val="18"/>
    </w:rPr>
  </w:style>
  <w:style w:type="paragraph" w:customStyle="1" w:styleId="161">
    <w:name w:val="xl65"/>
    <w:basedOn w:val="1"/>
    <w:qFormat/>
    <w:uiPriority w:val="0"/>
    <w:pPr>
      <w:pBdr>
        <w:top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b/>
      <w:bCs/>
      <w:sz w:val="24"/>
    </w:rPr>
  </w:style>
  <w:style w:type="paragraph" w:customStyle="1" w:styleId="162">
    <w:name w:val="xl66"/>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3">
    <w:name w:val="xl67"/>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color w:val="000000"/>
      <w:sz w:val="24"/>
    </w:rPr>
  </w:style>
  <w:style w:type="paragraph" w:customStyle="1" w:styleId="164">
    <w:name w:val="xl68"/>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b/>
      <w:bCs/>
      <w:sz w:val="24"/>
    </w:rPr>
  </w:style>
  <w:style w:type="paragraph" w:customStyle="1" w:styleId="165">
    <w:name w:val="xl69"/>
    <w:basedOn w:val="1"/>
    <w:qFormat/>
    <w:uiPriority w:val="0"/>
    <w:pPr>
      <w:pBdr>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6">
    <w:name w:val="样式 标题 3style3H3h33rd levelLevel 3 Headlevel_3PIM 33l3C..."/>
    <w:basedOn w:val="4"/>
    <w:qFormat/>
    <w:uiPriority w:val="0"/>
    <w:pPr>
      <w:tabs>
        <w:tab w:val="left" w:pos="851"/>
      </w:tabs>
      <w:spacing w:beforeLines="50" w:afterLines="50" w:line="415" w:lineRule="auto"/>
      <w:ind w:left="-2" w:leftChars="-2" w:right="220" w:firstLine="203" w:firstLineChars="203"/>
      <w:jc w:val="left"/>
    </w:pPr>
    <w:rPr>
      <w:rFonts w:ascii="Times New Roman"/>
      <w:bCs w:val="0"/>
      <w:color w:val="000000"/>
      <w:szCs w:val="20"/>
    </w:rPr>
  </w:style>
  <w:style w:type="paragraph" w:customStyle="1" w:styleId="167">
    <w:name w:val="样式2"/>
    <w:basedOn w:val="2"/>
    <w:qFormat/>
    <w:uiPriority w:val="0"/>
    <w:pPr>
      <w:keepNext/>
      <w:keepLines/>
      <w:spacing w:before="0" w:after="0" w:line="578" w:lineRule="auto"/>
      <w:ind w:left="1200"/>
      <w:jc w:val="both"/>
    </w:pPr>
    <w:rPr>
      <w:szCs w:val="44"/>
    </w:rPr>
  </w:style>
  <w:style w:type="paragraph" w:customStyle="1" w:styleId="168">
    <w:name w:val="样式3"/>
    <w:basedOn w:val="1"/>
    <w:qFormat/>
    <w:uiPriority w:val="0"/>
    <w:pPr>
      <w:ind w:left="1620" w:hanging="420"/>
      <w:outlineLvl w:val="2"/>
    </w:pPr>
    <w:rPr>
      <w:b/>
    </w:rPr>
  </w:style>
  <w:style w:type="paragraph" w:customStyle="1" w:styleId="169">
    <w:name w:val="样式4"/>
    <w:basedOn w:val="143"/>
    <w:qFormat/>
    <w:uiPriority w:val="0"/>
    <w:pPr>
      <w:ind w:left="2040" w:firstLine="0" w:firstLineChars="0"/>
      <w:jc w:val="left"/>
      <w:outlineLvl w:val="3"/>
    </w:pPr>
    <w:rPr>
      <w:rFonts w:ascii="宋体"/>
    </w:rPr>
  </w:style>
  <w:style w:type="paragraph" w:customStyle="1" w:styleId="170">
    <w:name w:val="p0"/>
    <w:basedOn w:val="1"/>
    <w:qFormat/>
    <w:uiPriority w:val="0"/>
    <w:rPr>
      <w:rFonts w:ascii="Calibri" w:hAnsi="Calibri"/>
      <w:szCs w:val="21"/>
    </w:rPr>
  </w:style>
  <w:style w:type="paragraph" w:customStyle="1" w:styleId="171">
    <w:name w:val="图标题"/>
    <w:basedOn w:val="1"/>
    <w:qFormat/>
    <w:uiPriority w:val="0"/>
    <w:pPr>
      <w:jc w:val="center"/>
    </w:pPr>
    <w:rPr>
      <w:rFonts w:cs="Times New Roman"/>
      <w:kern w:val="2"/>
    </w:rPr>
  </w:style>
  <w:style w:type="paragraph" w:customStyle="1" w:styleId="172">
    <w:name w:val="表标题"/>
    <w:basedOn w:val="1"/>
    <w:qFormat/>
    <w:uiPriority w:val="0"/>
    <w:pPr>
      <w:jc w:val="center"/>
    </w:pPr>
    <w:rPr>
      <w:rFonts w:eastAsia="黑体"/>
      <w:b/>
    </w:rPr>
  </w:style>
  <w:style w:type="paragraph" w:customStyle="1" w:styleId="173">
    <w:name w:val="正文-1级标题-1"/>
    <w:basedOn w:val="1"/>
    <w:next w:val="1"/>
    <w:qFormat/>
    <w:uiPriority w:val="0"/>
    <w:pPr>
      <w:keepNext/>
      <w:tabs>
        <w:tab w:val="left" w:pos="420"/>
        <w:tab w:val="clear" w:pos="426"/>
      </w:tabs>
      <w:spacing w:beforeLines="30" w:afterLines="30"/>
    </w:pPr>
    <w:rPr>
      <w:b/>
      <w:sz w:val="24"/>
      <w:szCs w:val="28"/>
      <w:lang w:val="en-GB" w:eastAsia="en-GB"/>
    </w:rPr>
  </w:style>
  <w:style w:type="paragraph" w:customStyle="1" w:styleId="174">
    <w:name w:val="正文-1级列表-(1)"/>
    <w:basedOn w:val="1"/>
    <w:qFormat/>
    <w:uiPriority w:val="0"/>
    <w:pPr>
      <w:tabs>
        <w:tab w:val="left" w:pos="420"/>
        <w:tab w:val="clear" w:pos="426"/>
      </w:tabs>
      <w:ind w:left="800"/>
    </w:pPr>
    <w:rPr>
      <w:sz w:val="24"/>
      <w:lang w:val="en-GB" w:eastAsia="en-GB"/>
    </w:rPr>
  </w:style>
  <w:style w:type="paragraph" w:customStyle="1" w:styleId="175">
    <w:name w:val="样式 标题 1 + 段前: 0.5 行 段后: 0.5 行"/>
    <w:basedOn w:val="2"/>
    <w:qFormat/>
    <w:uiPriority w:val="0"/>
    <w:pPr>
      <w:keepNext/>
      <w:keepLines/>
      <w:numPr>
        <w:ilvl w:val="0"/>
        <w:numId w:val="16"/>
      </w:numPr>
      <w:spacing w:beforeLines="50" w:afterLines="50" w:line="578" w:lineRule="auto"/>
      <w:ind w:left="0" w:firstLine="0"/>
      <w:jc w:val="both"/>
    </w:pPr>
    <w:rPr>
      <w:rFonts w:ascii="Times New Roman"/>
      <w:sz w:val="44"/>
      <w:szCs w:val="20"/>
    </w:rPr>
  </w:style>
  <w:style w:type="paragraph" w:customStyle="1" w:styleId="176">
    <w:name w:val="样式 标题 4 + 段前: 0.5 行 段后: 0.5 行"/>
    <w:basedOn w:val="5"/>
    <w:qFormat/>
    <w:uiPriority w:val="0"/>
    <w:pPr>
      <w:spacing w:beforeLines="50" w:afterLines="50"/>
      <w:ind w:left="2240"/>
      <w:jc w:val="left"/>
    </w:pPr>
    <w:rPr>
      <w:rFonts w:ascii="Cambria" w:hAnsi="Cambria" w:eastAsia="宋体" w:cs="宋体"/>
      <w:sz w:val="24"/>
      <w:szCs w:val="20"/>
    </w:rPr>
  </w:style>
  <w:style w:type="paragraph" w:customStyle="1" w:styleId="177">
    <w:name w:val="样式 标题 4 + 段前: 0.5 行 段后: 0.5 行1"/>
    <w:basedOn w:val="5"/>
    <w:qFormat/>
    <w:uiPriority w:val="0"/>
    <w:pPr>
      <w:spacing w:beforeLines="50" w:afterLines="50"/>
      <w:ind w:left="-1" w:leftChars="-1" w:firstLine="233" w:firstLineChars="233"/>
      <w:jc w:val="left"/>
    </w:pPr>
    <w:rPr>
      <w:rFonts w:ascii="Cambria" w:hAnsi="Cambria" w:eastAsia="宋体" w:cs="宋体"/>
      <w:sz w:val="24"/>
      <w:szCs w:val="20"/>
    </w:rPr>
  </w:style>
  <w:style w:type="paragraph" w:customStyle="1" w:styleId="178">
    <w:name w:val="￥正文"/>
    <w:basedOn w:val="1"/>
    <w:qFormat/>
    <w:uiPriority w:val="0"/>
    <w:pPr>
      <w:ind w:firstLine="200" w:firstLineChars="200"/>
    </w:pPr>
    <w:rPr>
      <w:rFonts w:ascii="Calibri" w:hAnsi="Calibri" w:cs="Times New Roman"/>
      <w:kern w:val="2"/>
      <w:sz w:val="24"/>
      <w:szCs w:val="20"/>
    </w:rPr>
  </w:style>
  <w:style w:type="paragraph" w:customStyle="1" w:styleId="179">
    <w:name w:val="样式 标题 4h4heading 4h41heading 41h42heading 42h411heading ..."/>
    <w:basedOn w:val="5"/>
    <w:qFormat/>
    <w:uiPriority w:val="0"/>
    <w:pPr>
      <w:spacing w:beforeLines="50" w:afterLines="50"/>
      <w:ind w:left="2240" w:right="220"/>
      <w:jc w:val="left"/>
    </w:pPr>
    <w:rPr>
      <w:rFonts w:ascii="Cambria" w:hAnsi="Cambria" w:eastAsia="宋体" w:cs="宋体"/>
      <w:sz w:val="24"/>
      <w:szCs w:val="20"/>
    </w:rPr>
  </w:style>
  <w:style w:type="paragraph" w:customStyle="1" w:styleId="180">
    <w:name w:val="!项目ALT+P"/>
    <w:basedOn w:val="1"/>
    <w:qFormat/>
    <w:uiPriority w:val="0"/>
    <w:pPr>
      <w:numPr>
        <w:ilvl w:val="0"/>
        <w:numId w:val="17"/>
      </w:numPr>
      <w:tabs>
        <w:tab w:val="clear" w:pos="420"/>
      </w:tabs>
      <w:spacing w:line="320" w:lineRule="atLeast"/>
      <w:ind w:left="0" w:firstLine="0"/>
      <w:textAlignment w:val="baseline"/>
    </w:pPr>
    <w:rPr>
      <w:szCs w:val="21"/>
    </w:rPr>
  </w:style>
  <w:style w:type="paragraph" w:customStyle="1" w:styleId="181">
    <w:name w:val="样式 样式 (符号) 宋体 小四 行距: 1.5 倍行距 首行缩进:  1.5 字符 + 宋体 首行缩进:  2 字符"/>
    <w:basedOn w:val="1"/>
    <w:qFormat/>
    <w:uiPriority w:val="0"/>
    <w:pPr>
      <w:ind w:firstLine="200" w:firstLineChars="200"/>
    </w:pPr>
    <w:rPr>
      <w:sz w:val="24"/>
      <w:szCs w:val="20"/>
    </w:rPr>
  </w:style>
  <w:style w:type="paragraph" w:customStyle="1" w:styleId="182">
    <w:name w:val="正文内容"/>
    <w:basedOn w:val="1"/>
    <w:next w:val="24"/>
    <w:qFormat/>
    <w:uiPriority w:val="0"/>
    <w:rPr>
      <w:rFonts w:ascii="Times New Roman" w:cs="Times New Roman"/>
      <w:sz w:val="20"/>
    </w:rPr>
  </w:style>
  <w:style w:type="paragraph" w:customStyle="1" w:styleId="183">
    <w:name w:val="方案标题1"/>
    <w:basedOn w:val="81"/>
    <w:qFormat/>
    <w:uiPriority w:val="0"/>
    <w:pPr>
      <w:numPr>
        <w:ilvl w:val="0"/>
        <w:numId w:val="18"/>
      </w:numPr>
      <w:spacing w:beforeLines="50" w:afterLines="50"/>
      <w:ind w:firstLine="200" w:firstLineChars="200"/>
      <w:jc w:val="both"/>
    </w:pPr>
    <w:rPr>
      <w:color w:val="000000"/>
    </w:rPr>
  </w:style>
  <w:style w:type="paragraph" w:customStyle="1" w:styleId="184">
    <w:name w:val="方案标题2"/>
    <w:basedOn w:val="81"/>
    <w:qFormat/>
    <w:uiPriority w:val="0"/>
    <w:pPr>
      <w:numPr>
        <w:ilvl w:val="1"/>
        <w:numId w:val="18"/>
      </w:numPr>
      <w:spacing w:beforeLines="50" w:afterLines="50"/>
      <w:ind w:firstLine="200" w:firstLineChars="200"/>
      <w:jc w:val="left"/>
      <w:outlineLvl w:val="1"/>
    </w:pPr>
    <w:rPr>
      <w:rFonts w:eastAsia="仿宋_GB2312"/>
      <w:color w:val="000000"/>
      <w:sz w:val="30"/>
      <w:szCs w:val="30"/>
    </w:rPr>
  </w:style>
  <w:style w:type="paragraph" w:customStyle="1" w:styleId="185">
    <w:name w:val="方案标题3"/>
    <w:basedOn w:val="81"/>
    <w:qFormat/>
    <w:uiPriority w:val="0"/>
    <w:pPr>
      <w:numPr>
        <w:ilvl w:val="2"/>
        <w:numId w:val="18"/>
      </w:numPr>
      <w:spacing w:beforeLines="50" w:afterLines="50" w:line="440" w:lineRule="exact"/>
      <w:ind w:firstLine="200" w:firstLineChars="200"/>
      <w:jc w:val="left"/>
      <w:outlineLvl w:val="2"/>
    </w:pPr>
    <w:rPr>
      <w:rFonts w:ascii="黑体" w:eastAsia="黑体"/>
      <w:color w:val="000000"/>
      <w:sz w:val="28"/>
      <w:szCs w:val="24"/>
    </w:rPr>
  </w:style>
  <w:style w:type="paragraph" w:customStyle="1" w:styleId="186">
    <w:name w:val="正文Land"/>
    <w:basedOn w:val="1"/>
    <w:qFormat/>
    <w:uiPriority w:val="0"/>
    <w:pPr>
      <w:spacing w:beforeLines="20" w:afterLines="50"/>
      <w:ind w:firstLine="200" w:firstLineChars="200"/>
    </w:pPr>
    <w:rPr>
      <w:color w:val="000000"/>
      <w:sz w:val="24"/>
    </w:rPr>
  </w:style>
  <w:style w:type="paragraph" w:customStyle="1" w:styleId="187">
    <w:name w:val="样式5"/>
    <w:basedOn w:val="1"/>
    <w:qFormat/>
    <w:uiPriority w:val="0"/>
    <w:pPr>
      <w:numPr>
        <w:ilvl w:val="0"/>
        <w:numId w:val="19"/>
      </w:numPr>
      <w:spacing w:beforeLines="50" w:afterLines="50"/>
      <w:ind w:left="0" w:firstLine="0"/>
    </w:pPr>
    <w:rPr>
      <w:rFonts w:eastAsia="仿宋_GB2312"/>
      <w:color w:val="000000"/>
      <w:sz w:val="24"/>
    </w:rPr>
  </w:style>
  <w:style w:type="paragraph" w:customStyle="1" w:styleId="188">
    <w:name w:val="font6"/>
    <w:basedOn w:val="1"/>
    <w:qFormat/>
    <w:uiPriority w:val="0"/>
    <w:pPr>
      <w:spacing w:beforeAutospacing="1" w:afterAutospacing="1"/>
      <w:jc w:val="left"/>
    </w:pPr>
    <w:rPr>
      <w:sz w:val="18"/>
      <w:szCs w:val="18"/>
    </w:rPr>
  </w:style>
  <w:style w:type="paragraph" w:customStyle="1" w:styleId="189">
    <w:name w:val="xl64"/>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190">
    <w:name w:val="xl70"/>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b/>
      <w:bCs/>
      <w:color w:val="000000"/>
      <w:sz w:val="24"/>
    </w:rPr>
  </w:style>
  <w:style w:type="paragraph" w:customStyle="1" w:styleId="191">
    <w:name w:val="xl71"/>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2">
    <w:name w:val="xl72"/>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textAlignment w:val="center"/>
    </w:pPr>
    <w:rPr>
      <w:color w:val="000000"/>
      <w:sz w:val="24"/>
    </w:rPr>
  </w:style>
  <w:style w:type="paragraph" w:customStyle="1" w:styleId="193">
    <w:name w:val="xl73"/>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4">
    <w:name w:val="xl74"/>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pPr>
    <w:rPr>
      <w:color w:val="000000"/>
      <w:sz w:val="24"/>
    </w:rPr>
  </w:style>
  <w:style w:type="paragraph" w:customStyle="1" w:styleId="195">
    <w:name w:val="xl75"/>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b/>
      <w:bCs/>
      <w:color w:val="000000"/>
      <w:sz w:val="24"/>
    </w:rPr>
  </w:style>
  <w:style w:type="paragraph" w:customStyle="1" w:styleId="196">
    <w:name w:val="xl76"/>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color w:val="000000"/>
      <w:sz w:val="24"/>
    </w:rPr>
  </w:style>
  <w:style w:type="paragraph" w:customStyle="1" w:styleId="197">
    <w:name w:val="xl77"/>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left"/>
      <w:textAlignment w:val="center"/>
    </w:pPr>
    <w:rPr>
      <w:color w:val="000000"/>
      <w:sz w:val="24"/>
    </w:rPr>
  </w:style>
  <w:style w:type="paragraph" w:customStyle="1" w:styleId="198">
    <w:name w:val="xl78"/>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b/>
      <w:bCs/>
      <w:color w:val="000000"/>
      <w:sz w:val="24"/>
    </w:rPr>
  </w:style>
  <w:style w:type="paragraph" w:customStyle="1" w:styleId="199">
    <w:name w:val="xl79"/>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0">
    <w:name w:val="xl80"/>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left"/>
      <w:textAlignment w:val="center"/>
    </w:pPr>
    <w:rPr>
      <w:color w:val="000000"/>
      <w:sz w:val="24"/>
    </w:rPr>
  </w:style>
  <w:style w:type="paragraph" w:customStyle="1" w:styleId="201">
    <w:name w:val="xl81"/>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2">
    <w:name w:val="xl82"/>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pPr>
    <w:rPr>
      <w:color w:val="000000"/>
      <w:sz w:val="24"/>
    </w:rPr>
  </w:style>
  <w:style w:type="paragraph" w:customStyle="1" w:styleId="203">
    <w:name w:val="xl83"/>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b/>
      <w:bCs/>
      <w:color w:val="000000"/>
      <w:sz w:val="24"/>
    </w:rPr>
  </w:style>
  <w:style w:type="paragraph" w:customStyle="1" w:styleId="204">
    <w:name w:val="xl84"/>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5">
    <w:name w:val="xl85"/>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6">
    <w:name w:val="xl86"/>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pPr>
    <w:rPr>
      <w:color w:val="000000"/>
      <w:sz w:val="24"/>
    </w:rPr>
  </w:style>
  <w:style w:type="paragraph" w:customStyle="1" w:styleId="207">
    <w:name w:val="xl87"/>
    <w:basedOn w:val="1"/>
    <w:qFormat/>
    <w:uiPriority w:val="0"/>
    <w:pPr>
      <w:spacing w:beforeAutospacing="1" w:afterAutospacing="1"/>
      <w:jc w:val="left"/>
    </w:pPr>
    <w:rPr>
      <w:sz w:val="24"/>
    </w:rPr>
  </w:style>
  <w:style w:type="paragraph" w:customStyle="1" w:styleId="208">
    <w:name w:val="xl8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b/>
      <w:bCs/>
      <w:color w:val="000000"/>
      <w:sz w:val="24"/>
    </w:rPr>
  </w:style>
  <w:style w:type="paragraph" w:customStyle="1" w:styleId="209">
    <w:name w:val="xl89"/>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210">
    <w:name w:val="Bulleted Items--Level 2"/>
    <w:basedOn w:val="1"/>
    <w:qFormat/>
    <w:uiPriority w:val="0"/>
    <w:pPr>
      <w:numPr>
        <w:ilvl w:val="0"/>
        <w:numId w:val="20"/>
      </w:numPr>
      <w:tabs>
        <w:tab w:val="left" w:pos="1771"/>
        <w:tab w:val="left" w:pos="2520"/>
        <w:tab w:val="clear" w:pos="360"/>
      </w:tabs>
      <w:spacing w:line="280" w:lineRule="exact"/>
      <w:ind w:left="2520" w:firstLine="0"/>
    </w:pPr>
    <w:rPr>
      <w:color w:val="000000"/>
      <w:sz w:val="22"/>
      <w:szCs w:val="20"/>
      <w:lang w:eastAsia="en-US"/>
    </w:rPr>
  </w:style>
  <w:style w:type="paragraph" w:customStyle="1" w:styleId="211">
    <w:name w:val="xl9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2"/>
      <w:szCs w:val="22"/>
    </w:rPr>
  </w:style>
  <w:style w:type="paragraph" w:customStyle="1" w:styleId="212">
    <w:name w:val="xl91"/>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000000"/>
      <w:sz w:val="22"/>
      <w:szCs w:val="22"/>
    </w:rPr>
  </w:style>
  <w:style w:type="paragraph" w:customStyle="1" w:styleId="213">
    <w:name w:val="xl9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0"/>
      <w:szCs w:val="20"/>
    </w:rPr>
  </w:style>
  <w:style w:type="paragraph" w:customStyle="1" w:styleId="214">
    <w:name w:val="xl9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15">
    <w:name w:val="xl9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16">
    <w:name w:val="xl95"/>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sz w:val="22"/>
      <w:szCs w:val="22"/>
    </w:rPr>
  </w:style>
  <w:style w:type="paragraph" w:customStyle="1" w:styleId="217">
    <w:name w:val="xl96"/>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sz w:val="22"/>
      <w:szCs w:val="22"/>
    </w:rPr>
  </w:style>
  <w:style w:type="paragraph" w:customStyle="1" w:styleId="218">
    <w:name w:val="xl9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sz w:val="22"/>
      <w:szCs w:val="22"/>
    </w:rPr>
  </w:style>
  <w:style w:type="paragraph" w:customStyle="1" w:styleId="219">
    <w:name w:val="xl98"/>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sz w:val="22"/>
      <w:szCs w:val="22"/>
    </w:rPr>
  </w:style>
  <w:style w:type="paragraph" w:customStyle="1" w:styleId="220">
    <w:name w:val="xl9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sz w:val="22"/>
      <w:szCs w:val="22"/>
    </w:rPr>
  </w:style>
  <w:style w:type="paragraph" w:customStyle="1" w:styleId="221">
    <w:name w:val="xl10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FF0000"/>
      <w:sz w:val="22"/>
      <w:szCs w:val="22"/>
    </w:rPr>
  </w:style>
  <w:style w:type="paragraph" w:customStyle="1" w:styleId="222">
    <w:name w:val="xl101"/>
    <w:basedOn w:val="1"/>
    <w:qFormat/>
    <w:uiPriority w:val="0"/>
    <w:pPr>
      <w:spacing w:beforeAutospacing="1" w:afterAutospacing="1"/>
      <w:jc w:val="left"/>
      <w:textAlignment w:val="center"/>
    </w:pPr>
    <w:rPr>
      <w:color w:val="FF0000"/>
      <w:sz w:val="20"/>
      <w:szCs w:val="20"/>
    </w:rPr>
  </w:style>
  <w:style w:type="paragraph" w:customStyle="1" w:styleId="223">
    <w:name w:val="xl10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Autospacing="1" w:afterAutospacing="1"/>
      <w:jc w:val="left"/>
      <w:textAlignment w:val="center"/>
    </w:pPr>
    <w:rPr>
      <w:rFonts w:ascii="仿宋_GB2312" w:eastAsia="仿宋_GB2312"/>
      <w:color w:val="FF0000"/>
      <w:sz w:val="22"/>
      <w:szCs w:val="22"/>
    </w:rPr>
  </w:style>
  <w:style w:type="paragraph" w:customStyle="1" w:styleId="224">
    <w:name w:val="xl103"/>
    <w:basedOn w:val="1"/>
    <w:qFormat/>
    <w:uiPriority w:val="0"/>
    <w:pPr>
      <w:spacing w:beforeAutospacing="1" w:afterAutospacing="1"/>
      <w:jc w:val="left"/>
      <w:textAlignment w:val="center"/>
    </w:pPr>
    <w:rPr>
      <w:color w:val="FF0000"/>
      <w:sz w:val="22"/>
      <w:szCs w:val="22"/>
    </w:rPr>
  </w:style>
  <w:style w:type="paragraph" w:customStyle="1" w:styleId="225">
    <w:name w:val="xl104"/>
    <w:basedOn w:val="1"/>
    <w:qFormat/>
    <w:uiPriority w:val="0"/>
    <w:pPr>
      <w:spacing w:beforeAutospacing="1" w:afterAutospacing="1"/>
      <w:jc w:val="center"/>
    </w:pPr>
    <w:rPr>
      <w:sz w:val="24"/>
    </w:rPr>
  </w:style>
  <w:style w:type="paragraph" w:customStyle="1" w:styleId="226">
    <w:name w:val="xl10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b/>
      <w:bCs/>
      <w:sz w:val="18"/>
      <w:szCs w:val="18"/>
    </w:rPr>
  </w:style>
  <w:style w:type="paragraph" w:customStyle="1" w:styleId="227">
    <w:name w:val="xl10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sz w:val="22"/>
      <w:szCs w:val="22"/>
    </w:rPr>
  </w:style>
  <w:style w:type="paragraph" w:customStyle="1" w:styleId="228">
    <w:name w:val="xl10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rFonts w:ascii="Courier New" w:hAnsi="Courier New" w:cs="Courier New"/>
      <w:sz w:val="22"/>
      <w:szCs w:val="22"/>
    </w:rPr>
  </w:style>
  <w:style w:type="paragraph" w:customStyle="1" w:styleId="229">
    <w:name w:val="xl10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Courier New" w:hAnsi="Courier New" w:cs="Courier New"/>
      <w:sz w:val="22"/>
      <w:szCs w:val="22"/>
    </w:rPr>
  </w:style>
  <w:style w:type="paragraph" w:customStyle="1" w:styleId="230">
    <w:name w:val="xl10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color w:val="FF0000"/>
      <w:sz w:val="22"/>
      <w:szCs w:val="22"/>
    </w:rPr>
  </w:style>
  <w:style w:type="paragraph" w:customStyle="1" w:styleId="231">
    <w:name w:val="xl11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000000"/>
      <w:sz w:val="22"/>
      <w:szCs w:val="22"/>
    </w:rPr>
  </w:style>
  <w:style w:type="paragraph" w:customStyle="1" w:styleId="232">
    <w:name w:val="xl111"/>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rFonts w:ascii="仿宋_GB2312" w:eastAsia="仿宋_GB2312"/>
      <w:sz w:val="22"/>
      <w:szCs w:val="22"/>
    </w:rPr>
  </w:style>
  <w:style w:type="paragraph" w:customStyle="1" w:styleId="233">
    <w:name w:val="xl11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34">
    <w:name w:val="xl11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0"/>
      <w:szCs w:val="20"/>
    </w:rPr>
  </w:style>
  <w:style w:type="paragraph" w:customStyle="1" w:styleId="235">
    <w:name w:val="xl114"/>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sz w:val="22"/>
      <w:szCs w:val="22"/>
    </w:rPr>
  </w:style>
  <w:style w:type="paragraph" w:customStyle="1" w:styleId="236">
    <w:name w:val="xl11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7">
    <w:name w:val="xl11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8">
    <w:name w:val="xl11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color w:val="FF0000"/>
      <w:sz w:val="22"/>
      <w:szCs w:val="22"/>
    </w:rPr>
  </w:style>
  <w:style w:type="paragraph" w:customStyle="1" w:styleId="239">
    <w:name w:val="xl11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40">
    <w:name w:val="xl11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1">
    <w:name w:val="xl12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2"/>
      <w:szCs w:val="22"/>
    </w:rPr>
  </w:style>
  <w:style w:type="paragraph" w:customStyle="1" w:styleId="242">
    <w:name w:val="xl121"/>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Courier New" w:hAnsi="Courier New" w:cs="Courier New"/>
      <w:sz w:val="22"/>
      <w:szCs w:val="22"/>
    </w:rPr>
  </w:style>
  <w:style w:type="paragraph" w:customStyle="1" w:styleId="243">
    <w:name w:val="xl12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4">
    <w:name w:val="xl123"/>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5">
    <w:name w:val="xl12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4"/>
    </w:rPr>
  </w:style>
  <w:style w:type="paragraph" w:customStyle="1" w:styleId="246">
    <w:name w:val="xl12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47">
    <w:name w:val="xl126"/>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8">
    <w:name w:val="xl127"/>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sz w:val="22"/>
      <w:szCs w:val="22"/>
    </w:rPr>
  </w:style>
  <w:style w:type="paragraph" w:customStyle="1" w:styleId="249">
    <w:name w:val="xl12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50">
    <w:name w:val="xl12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color w:val="FF0000"/>
      <w:sz w:val="22"/>
      <w:szCs w:val="22"/>
    </w:rPr>
  </w:style>
  <w:style w:type="paragraph" w:customStyle="1" w:styleId="251">
    <w:name w:val="xl13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2"/>
      <w:szCs w:val="22"/>
    </w:rPr>
  </w:style>
  <w:style w:type="paragraph" w:customStyle="1" w:styleId="252">
    <w:name w:val="xl131"/>
    <w:basedOn w:val="1"/>
    <w:qFormat/>
    <w:uiPriority w:val="0"/>
    <w:pPr>
      <w:pBdr>
        <w:top w:val="single" w:color="auto" w:sz="4" w:space="0"/>
        <w:left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3">
    <w:name w:val="xl132"/>
    <w:basedOn w:val="1"/>
    <w:qFormat/>
    <w:uiPriority w:val="0"/>
    <w:pPr>
      <w:pBdr>
        <w:top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4">
    <w:name w:val="xl133"/>
    <w:basedOn w:val="1"/>
    <w:qFormat/>
    <w:uiPriority w:val="0"/>
    <w:pPr>
      <w:pBdr>
        <w:top w:val="single" w:color="auto" w:sz="4" w:space="0"/>
        <w:bottom w:val="single" w:color="auto" w:sz="4" w:space="0"/>
        <w:right w:val="single" w:color="auto" w:sz="4" w:space="0"/>
      </w:pBdr>
      <w:spacing w:beforeAutospacing="1" w:afterAutospacing="1"/>
      <w:jc w:val="center"/>
      <w:textAlignment w:val="center"/>
    </w:pPr>
    <w:rPr>
      <w:rFonts w:ascii="黑体" w:eastAsia="黑体"/>
      <w:b/>
      <w:bCs/>
      <w:sz w:val="28"/>
      <w:szCs w:val="28"/>
    </w:rPr>
  </w:style>
  <w:style w:type="paragraph" w:customStyle="1" w:styleId="255">
    <w:name w:val="样式 首行缩进:  0 字符"/>
    <w:basedOn w:val="1"/>
    <w:qFormat/>
    <w:uiPriority w:val="0"/>
    <w:pPr>
      <w:ind w:firstLine="200" w:firstLineChars="200"/>
    </w:pPr>
    <w:rPr>
      <w:sz w:val="24"/>
      <w:szCs w:val="20"/>
    </w:rPr>
  </w:style>
  <w:style w:type="paragraph" w:customStyle="1" w:styleId="256">
    <w:name w:val="5"/>
    <w:basedOn w:val="1"/>
    <w:qFormat/>
    <w:uiPriority w:val="0"/>
    <w:pPr>
      <w:ind w:firstLine="200" w:firstLineChars="200"/>
      <w:jc w:val="left"/>
    </w:pPr>
    <w:rPr>
      <w:sz w:val="24"/>
    </w:rPr>
  </w:style>
  <w:style w:type="paragraph" w:customStyle="1" w:styleId="257">
    <w:name w:val="正文1"/>
    <w:link w:val="258"/>
    <w:qFormat/>
    <w:uiPriority w:val="0"/>
    <w:pPr>
      <w:widowControl w:val="0"/>
      <w:adjustRightInd w:val="0"/>
      <w:spacing w:line="312" w:lineRule="atLeast"/>
      <w:jc w:val="both"/>
      <w:textAlignment w:val="baseline"/>
    </w:pPr>
    <w:rPr>
      <w:rFonts w:ascii="宋体" w:hAnsi="Times New Roman" w:eastAsia="宋体" w:cs="Times New Roman"/>
      <w:sz w:val="28"/>
      <w:lang w:val="en-US" w:eastAsia="zh-CN" w:bidi="ar-SA"/>
    </w:rPr>
  </w:style>
  <w:style w:type="character" w:customStyle="1" w:styleId="258">
    <w:name w:val="正文1 Char Char"/>
    <w:link w:val="257"/>
    <w:qFormat/>
    <w:uiPriority w:val="0"/>
    <w:rPr>
      <w:rFonts w:ascii="宋体"/>
      <w:sz w:val="28"/>
      <w:lang w:bidi="ar-SA"/>
    </w:rPr>
  </w:style>
  <w:style w:type="paragraph" w:customStyle="1" w:styleId="259">
    <w:name w:val="附件标题"/>
    <w:basedOn w:val="1"/>
    <w:qFormat/>
    <w:uiPriority w:val="0"/>
    <w:pPr>
      <w:ind w:firstLine="200" w:firstLineChars="200"/>
      <w:jc w:val="center"/>
    </w:pPr>
    <w:rPr>
      <w:rFonts w:ascii="Arial" w:hAnsi="Arial" w:eastAsia="黑体"/>
      <w:sz w:val="24"/>
    </w:rPr>
  </w:style>
  <w:style w:type="paragraph" w:customStyle="1" w:styleId="260">
    <w:name w:val="附件(1)"/>
    <w:basedOn w:val="1"/>
    <w:qFormat/>
    <w:uiPriority w:val="0"/>
    <w:pPr>
      <w:numPr>
        <w:ilvl w:val="0"/>
        <w:numId w:val="21"/>
      </w:numPr>
      <w:ind w:left="0" w:firstLine="200" w:firstLineChars="200"/>
    </w:pPr>
    <w:rPr>
      <w:sz w:val="24"/>
    </w:rPr>
  </w:style>
  <w:style w:type="paragraph" w:customStyle="1" w:styleId="261">
    <w:name w:val="附件1."/>
    <w:basedOn w:val="2"/>
    <w:qFormat/>
    <w:uiPriority w:val="0"/>
    <w:pPr>
      <w:tabs>
        <w:tab w:val="left" w:pos="360"/>
        <w:tab w:val="left" w:pos="420"/>
        <w:tab w:val="clear" w:pos="426"/>
      </w:tabs>
      <w:spacing w:before="0" w:after="0" w:line="360" w:lineRule="auto"/>
      <w:ind w:left="567" w:hanging="567"/>
      <w:jc w:val="both"/>
    </w:pPr>
    <w:rPr>
      <w:rFonts w:ascii="Times New Roman"/>
      <w:sz w:val="24"/>
      <w:szCs w:val="44"/>
    </w:rPr>
  </w:style>
  <w:style w:type="paragraph" w:customStyle="1" w:styleId="262">
    <w:name w:val="附件圈"/>
    <w:basedOn w:val="260"/>
    <w:qFormat/>
    <w:uiPriority w:val="0"/>
    <w:pPr>
      <w:numPr>
        <w:numId w:val="0"/>
      </w:numPr>
      <w:tabs>
        <w:tab w:val="left" w:pos="420"/>
        <w:tab w:val="clear" w:pos="426"/>
      </w:tabs>
      <w:ind w:firstLine="200" w:firstLineChars="200"/>
    </w:pPr>
  </w:style>
  <w:style w:type="paragraph" w:customStyle="1" w:styleId="263">
    <w:name w:val="样式 标题 2H2Heading 2 HiddenHeading 2 CCBSheading 22nd levelh..."/>
    <w:basedOn w:val="3"/>
    <w:qFormat/>
    <w:uiPriority w:val="0"/>
    <w:pPr>
      <w:spacing w:before="120" w:after="120"/>
      <w:ind w:left="576" w:hanging="576"/>
      <w:jc w:val="left"/>
      <w:textAlignment w:val="auto"/>
    </w:pPr>
    <w:rPr>
      <w:bCs/>
      <w:kern w:val="2"/>
      <w:szCs w:val="28"/>
    </w:rPr>
  </w:style>
  <w:style w:type="paragraph" w:customStyle="1" w:styleId="264">
    <w:name w:val="样式 标题 2H2Heading 2 HiddenHeading 2 CCBSheading 22nd levelh...1"/>
    <w:basedOn w:val="3"/>
    <w:qFormat/>
    <w:uiPriority w:val="0"/>
    <w:pPr>
      <w:spacing w:before="240" w:after="240"/>
      <w:ind w:left="576" w:hanging="576"/>
      <w:jc w:val="left"/>
      <w:textAlignment w:val="auto"/>
    </w:pPr>
    <w:rPr>
      <w:bCs/>
      <w:kern w:val="2"/>
      <w:szCs w:val="28"/>
    </w:rPr>
  </w:style>
  <w:style w:type="paragraph" w:customStyle="1" w:styleId="265">
    <w:name w:val="CM51"/>
    <w:basedOn w:val="145"/>
    <w:next w:val="145"/>
    <w:qFormat/>
    <w:uiPriority w:val="0"/>
    <w:pPr>
      <w:spacing w:after="103"/>
    </w:pPr>
    <w:rPr>
      <w:rFonts w:ascii="黑体" w:eastAsia="黑体"/>
      <w:color w:val="auto"/>
    </w:rPr>
  </w:style>
  <w:style w:type="paragraph" w:customStyle="1" w:styleId="266">
    <w:name w:val="pan"/>
    <w:basedOn w:val="143"/>
    <w:qFormat/>
    <w:uiPriority w:val="0"/>
    <w:pPr>
      <w:numPr>
        <w:ilvl w:val="0"/>
        <w:numId w:val="22"/>
      </w:numPr>
      <w:tabs>
        <w:tab w:val="left" w:pos="840"/>
      </w:tabs>
      <w:ind w:left="840" w:hanging="420" w:firstLineChars="0"/>
      <w:outlineLvl w:val="0"/>
    </w:pPr>
    <w:rPr>
      <w:rFonts w:ascii="黑体" w:eastAsia="黑体"/>
      <w:sz w:val="32"/>
      <w:szCs w:val="32"/>
    </w:rPr>
  </w:style>
  <w:style w:type="paragraph" w:customStyle="1" w:styleId="267">
    <w:name w:val="pan2"/>
    <w:basedOn w:val="143"/>
    <w:qFormat/>
    <w:uiPriority w:val="0"/>
    <w:pPr>
      <w:numPr>
        <w:ilvl w:val="1"/>
        <w:numId w:val="22"/>
      </w:numPr>
      <w:tabs>
        <w:tab w:val="left" w:pos="840"/>
      </w:tabs>
      <w:ind w:left="840" w:hanging="420" w:firstLineChars="0"/>
      <w:outlineLvl w:val="1"/>
    </w:pPr>
    <w:rPr>
      <w:rFonts w:ascii="黑体" w:eastAsia="黑体"/>
      <w:sz w:val="30"/>
      <w:szCs w:val="30"/>
    </w:rPr>
  </w:style>
  <w:style w:type="paragraph" w:customStyle="1" w:styleId="268">
    <w:name w:val="pan3"/>
    <w:basedOn w:val="143"/>
    <w:qFormat/>
    <w:uiPriority w:val="0"/>
    <w:pPr>
      <w:numPr>
        <w:ilvl w:val="2"/>
        <w:numId w:val="22"/>
      </w:numPr>
      <w:tabs>
        <w:tab w:val="left" w:pos="1260"/>
      </w:tabs>
      <w:ind w:left="1260" w:hanging="420" w:firstLineChars="0"/>
      <w:outlineLvl w:val="2"/>
    </w:pPr>
    <w:rPr>
      <w:rFonts w:ascii="黑体" w:eastAsia="黑体"/>
      <w:sz w:val="28"/>
      <w:szCs w:val="28"/>
    </w:rPr>
  </w:style>
  <w:style w:type="paragraph" w:customStyle="1" w:styleId="269">
    <w:name w:val="pan4"/>
    <w:basedOn w:val="143"/>
    <w:qFormat/>
    <w:uiPriority w:val="0"/>
    <w:pPr>
      <w:numPr>
        <w:ilvl w:val="3"/>
        <w:numId w:val="22"/>
      </w:numPr>
      <w:tabs>
        <w:tab w:val="left" w:pos="1680"/>
      </w:tabs>
      <w:ind w:left="1680" w:hanging="420" w:firstLineChars="0"/>
      <w:outlineLvl w:val="3"/>
    </w:pPr>
    <w:rPr>
      <w:rFonts w:ascii="黑体" w:eastAsia="黑体"/>
      <w:sz w:val="28"/>
      <w:szCs w:val="28"/>
    </w:rPr>
  </w:style>
  <w:style w:type="paragraph" w:customStyle="1" w:styleId="270">
    <w:name w:val="pan5"/>
    <w:basedOn w:val="143"/>
    <w:qFormat/>
    <w:uiPriority w:val="0"/>
    <w:pPr>
      <w:numPr>
        <w:ilvl w:val="4"/>
        <w:numId w:val="22"/>
      </w:numPr>
      <w:tabs>
        <w:tab w:val="left" w:pos="1008"/>
      </w:tabs>
      <w:ind w:left="1008" w:hanging="1008" w:firstLineChars="0"/>
      <w:outlineLvl w:val="4"/>
    </w:pPr>
    <w:rPr>
      <w:rFonts w:ascii="黑体" w:eastAsia="黑体"/>
      <w:sz w:val="24"/>
    </w:rPr>
  </w:style>
  <w:style w:type="paragraph" w:customStyle="1" w:styleId="271">
    <w:name w:val="一级标题"/>
    <w:basedOn w:val="143"/>
    <w:qFormat/>
    <w:uiPriority w:val="0"/>
    <w:pPr>
      <w:numPr>
        <w:ilvl w:val="0"/>
        <w:numId w:val="23"/>
      </w:numPr>
      <w:spacing w:line="720" w:lineRule="auto"/>
      <w:ind w:firstLineChars="0"/>
      <w:jc w:val="center"/>
      <w:outlineLvl w:val="0"/>
    </w:pPr>
    <w:rPr>
      <w:rFonts w:ascii="黑体" w:eastAsia="黑体"/>
      <w:sz w:val="44"/>
      <w:szCs w:val="44"/>
    </w:rPr>
  </w:style>
  <w:style w:type="paragraph" w:customStyle="1" w:styleId="272">
    <w:name w:val="二级标题"/>
    <w:basedOn w:val="143"/>
    <w:qFormat/>
    <w:uiPriority w:val="0"/>
    <w:pPr>
      <w:numPr>
        <w:ilvl w:val="1"/>
        <w:numId w:val="23"/>
      </w:numPr>
      <w:spacing w:line="720" w:lineRule="auto"/>
      <w:ind w:firstLineChars="0"/>
      <w:outlineLvl w:val="1"/>
    </w:pPr>
    <w:rPr>
      <w:rFonts w:ascii="黑体" w:eastAsia="黑体"/>
      <w:sz w:val="36"/>
      <w:szCs w:val="36"/>
    </w:rPr>
  </w:style>
  <w:style w:type="paragraph" w:customStyle="1" w:styleId="273">
    <w:name w:val="三级标题"/>
    <w:basedOn w:val="143"/>
    <w:qFormat/>
    <w:uiPriority w:val="0"/>
    <w:pPr>
      <w:numPr>
        <w:ilvl w:val="2"/>
        <w:numId w:val="23"/>
      </w:numPr>
      <w:spacing w:line="720" w:lineRule="auto"/>
      <w:ind w:firstLineChars="0"/>
      <w:outlineLvl w:val="2"/>
    </w:pPr>
    <w:rPr>
      <w:rFonts w:ascii="黑体" w:eastAsia="黑体"/>
      <w:sz w:val="32"/>
      <w:szCs w:val="32"/>
    </w:rPr>
  </w:style>
  <w:style w:type="paragraph" w:customStyle="1" w:styleId="274">
    <w:name w:val="四级标题"/>
    <w:basedOn w:val="143"/>
    <w:qFormat/>
    <w:uiPriority w:val="0"/>
    <w:pPr>
      <w:numPr>
        <w:ilvl w:val="3"/>
        <w:numId w:val="23"/>
      </w:numPr>
      <w:spacing w:line="720" w:lineRule="auto"/>
      <w:ind w:firstLineChars="0"/>
      <w:outlineLvl w:val="3"/>
    </w:pPr>
    <w:rPr>
      <w:rFonts w:ascii="黑体" w:eastAsia="黑体"/>
      <w:sz w:val="30"/>
      <w:szCs w:val="30"/>
    </w:rPr>
  </w:style>
  <w:style w:type="paragraph" w:customStyle="1" w:styleId="275">
    <w:name w:val="五级标题"/>
    <w:basedOn w:val="143"/>
    <w:qFormat/>
    <w:uiPriority w:val="0"/>
    <w:pPr>
      <w:numPr>
        <w:ilvl w:val="4"/>
        <w:numId w:val="23"/>
      </w:numPr>
      <w:spacing w:line="720" w:lineRule="auto"/>
      <w:ind w:firstLineChars="0"/>
      <w:outlineLvl w:val="4"/>
    </w:pPr>
    <w:rPr>
      <w:rFonts w:ascii="黑体" w:eastAsia="黑体"/>
      <w:sz w:val="28"/>
      <w:szCs w:val="28"/>
    </w:rPr>
  </w:style>
  <w:style w:type="paragraph" w:customStyle="1" w:styleId="276">
    <w:name w:val="图片"/>
    <w:basedOn w:val="1"/>
    <w:qFormat/>
    <w:uiPriority w:val="0"/>
    <w:pPr>
      <w:ind w:firstLine="200" w:firstLineChars="200"/>
      <w:jc w:val="center"/>
    </w:pPr>
    <w:rPr>
      <w:rFonts w:cs="Times New Roman"/>
      <w:kern w:val="2"/>
      <w:sz w:val="24"/>
    </w:rPr>
  </w:style>
  <w:style w:type="paragraph" w:customStyle="1" w:styleId="277">
    <w:name w:val="图片注释"/>
    <w:basedOn w:val="1"/>
    <w:qFormat/>
    <w:uiPriority w:val="0"/>
    <w:pPr>
      <w:spacing w:afterLines="25"/>
      <w:ind w:firstLine="200" w:firstLineChars="200"/>
      <w:jc w:val="center"/>
    </w:pPr>
    <w:rPr>
      <w:rFonts w:cs="Times New Roman"/>
      <w:kern w:val="2"/>
      <w:sz w:val="24"/>
      <w:u w:val="single"/>
    </w:rPr>
  </w:style>
  <w:style w:type="paragraph" w:customStyle="1" w:styleId="278">
    <w:name w:val="段内层标"/>
    <w:basedOn w:val="182"/>
    <w:qFormat/>
    <w:uiPriority w:val="0"/>
    <w:pPr>
      <w:numPr>
        <w:ilvl w:val="0"/>
        <w:numId w:val="24"/>
      </w:numPr>
      <w:spacing w:beforeLines="25" w:afterLines="25"/>
      <w:ind w:left="0" w:firstLine="200" w:firstLineChars="200"/>
    </w:pPr>
    <w:rPr>
      <w:rFonts w:ascii="宋体"/>
      <w:b/>
      <w:kern w:val="2"/>
      <w:sz w:val="28"/>
      <w:szCs w:val="28"/>
    </w:rPr>
  </w:style>
  <w:style w:type="paragraph" w:customStyle="1" w:styleId="279">
    <w:name w:val="方案设计1级标题"/>
    <w:basedOn w:val="143"/>
    <w:qFormat/>
    <w:uiPriority w:val="0"/>
    <w:pPr>
      <w:tabs>
        <w:tab w:val="left" w:pos="840"/>
      </w:tabs>
      <w:ind w:left="840" w:firstLine="0" w:firstLineChars="0"/>
      <w:jc w:val="center"/>
      <w:outlineLvl w:val="0"/>
    </w:pPr>
    <w:rPr>
      <w:rFonts w:ascii="黑体" w:eastAsia="黑体"/>
      <w:sz w:val="44"/>
      <w:szCs w:val="44"/>
    </w:rPr>
  </w:style>
  <w:style w:type="paragraph" w:customStyle="1" w:styleId="280">
    <w:name w:val="方案设计2级标题"/>
    <w:basedOn w:val="143"/>
    <w:qFormat/>
    <w:uiPriority w:val="0"/>
    <w:pPr>
      <w:numPr>
        <w:ilvl w:val="1"/>
        <w:numId w:val="25"/>
      </w:numPr>
      <w:ind w:firstLine="0" w:firstLineChars="0"/>
      <w:outlineLvl w:val="1"/>
    </w:pPr>
    <w:rPr>
      <w:rFonts w:ascii="黑体" w:eastAsia="黑体"/>
      <w:sz w:val="32"/>
      <w:szCs w:val="32"/>
    </w:rPr>
  </w:style>
  <w:style w:type="paragraph" w:customStyle="1" w:styleId="281">
    <w:name w:val="标题3"/>
    <w:basedOn w:val="143"/>
    <w:qFormat/>
    <w:uiPriority w:val="0"/>
    <w:pPr>
      <w:numPr>
        <w:ilvl w:val="2"/>
        <w:numId w:val="25"/>
      </w:numPr>
      <w:ind w:firstLine="0" w:firstLineChars="0"/>
      <w:outlineLvl w:val="2"/>
    </w:pPr>
    <w:rPr>
      <w:rFonts w:ascii="黑体" w:eastAsia="黑体"/>
      <w:sz w:val="28"/>
      <w:szCs w:val="28"/>
    </w:rPr>
  </w:style>
  <w:style w:type="paragraph" w:customStyle="1" w:styleId="282">
    <w:name w:val="标题5"/>
    <w:basedOn w:val="143"/>
    <w:qFormat/>
    <w:uiPriority w:val="0"/>
    <w:pPr>
      <w:tabs>
        <w:tab w:val="left" w:pos="2038"/>
      </w:tabs>
      <w:ind w:left="2038" w:hanging="420" w:firstLineChars="0"/>
      <w:jc w:val="left"/>
      <w:outlineLvl w:val="4"/>
    </w:pPr>
    <w:rPr>
      <w:rFonts w:ascii="黑体" w:eastAsia="黑体"/>
      <w:sz w:val="28"/>
      <w:szCs w:val="28"/>
    </w:rPr>
  </w:style>
  <w:style w:type="paragraph" w:customStyle="1" w:styleId="283">
    <w:name w:val="正文标题"/>
    <w:basedOn w:val="1"/>
    <w:qFormat/>
    <w:uiPriority w:val="0"/>
    <w:pPr>
      <w:numPr>
        <w:ilvl w:val="0"/>
        <w:numId w:val="25"/>
      </w:numPr>
      <w:ind w:left="0" w:firstLine="200" w:firstLineChars="200"/>
    </w:pPr>
    <w:rPr>
      <w:rFonts w:ascii="Calibri" w:hAnsi="Calibri" w:cs="Times New Roman"/>
      <w:b/>
      <w:kern w:val="2"/>
      <w:sz w:val="28"/>
      <w:szCs w:val="28"/>
    </w:rPr>
  </w:style>
  <w:style w:type="paragraph" w:customStyle="1" w:styleId="284">
    <w:name w:val="样式 Verdana 四号 首行缩进:  2 字符"/>
    <w:basedOn w:val="1"/>
    <w:qFormat/>
    <w:uiPriority w:val="0"/>
    <w:pPr>
      <w:ind w:firstLine="200" w:firstLineChars="200"/>
      <w:jc w:val="left"/>
    </w:pPr>
    <w:rPr>
      <w:rFonts w:ascii="Verdana" w:hAnsi="Verdana"/>
      <w:sz w:val="24"/>
      <w:szCs w:val="20"/>
    </w:rPr>
  </w:style>
  <w:style w:type="paragraph" w:customStyle="1" w:styleId="285">
    <w:name w:val="层标"/>
    <w:basedOn w:val="182"/>
    <w:qFormat/>
    <w:uiPriority w:val="0"/>
    <w:pPr>
      <w:numPr>
        <w:ilvl w:val="0"/>
        <w:numId w:val="26"/>
      </w:numPr>
      <w:spacing w:beforeLines="25" w:afterLines="25"/>
      <w:ind w:left="0" w:firstLine="0"/>
    </w:pPr>
    <w:rPr>
      <w:rFonts w:ascii="宋体"/>
      <w:b/>
      <w:kern w:val="2"/>
      <w:sz w:val="28"/>
      <w:szCs w:val="28"/>
    </w:rPr>
  </w:style>
  <w:style w:type="paragraph" w:styleId="286">
    <w:name w:val="Quote"/>
    <w:basedOn w:val="1"/>
    <w:next w:val="1"/>
    <w:qFormat/>
    <w:uiPriority w:val="0"/>
    <w:pPr>
      <w:jc w:val="center"/>
    </w:pPr>
    <w:rPr>
      <w:rFonts w:ascii="Times New Roman" w:cs="Times New Roman"/>
      <w:iCs/>
      <w:color w:val="000000"/>
      <w:kern w:val="2"/>
      <w:sz w:val="24"/>
    </w:rPr>
  </w:style>
  <w:style w:type="character" w:customStyle="1" w:styleId="287">
    <w:name w:val="明显参考1"/>
    <w:qFormat/>
    <w:uiPriority w:val="0"/>
    <w:rPr>
      <w:rFonts w:eastAsia="宋体"/>
      <w:bCs/>
      <w:smallCaps/>
      <w:color w:val="000000"/>
      <w:spacing w:val="5"/>
      <w:sz w:val="24"/>
      <w:u w:val="single"/>
    </w:rPr>
  </w:style>
  <w:style w:type="paragraph" w:customStyle="1" w:styleId="288">
    <w:name w:val="段落强调"/>
    <w:basedOn w:val="1"/>
    <w:qFormat/>
    <w:uiPriority w:val="0"/>
    <w:pPr>
      <w:numPr>
        <w:ilvl w:val="0"/>
        <w:numId w:val="27"/>
      </w:numPr>
      <w:ind w:left="0" w:firstLine="420"/>
    </w:pPr>
    <w:rPr>
      <w:rFonts w:ascii="Times New Roman" w:cs="Times New Roman"/>
      <w:b/>
      <w:kern w:val="2"/>
      <w:sz w:val="24"/>
    </w:rPr>
  </w:style>
  <w:style w:type="character" w:customStyle="1" w:styleId="289">
    <w:name w:val="书籍标题1"/>
    <w:qFormat/>
    <w:uiPriority w:val="0"/>
    <w:rPr>
      <w:b/>
      <w:bCs/>
      <w:smallCaps/>
      <w:spacing w:val="5"/>
    </w:rPr>
  </w:style>
  <w:style w:type="paragraph" w:customStyle="1" w:styleId="290">
    <w:name w:val="段内主题"/>
    <w:basedOn w:val="1"/>
    <w:qFormat/>
    <w:uiPriority w:val="0"/>
    <w:pPr>
      <w:numPr>
        <w:ilvl w:val="1"/>
        <w:numId w:val="28"/>
      </w:numPr>
      <w:ind w:firstLine="0"/>
    </w:pPr>
    <w:rPr>
      <w:rFonts w:cs="Times New Roman"/>
      <w:b/>
      <w:kern w:val="2"/>
      <w:sz w:val="24"/>
    </w:rPr>
  </w:style>
  <w:style w:type="paragraph" w:customStyle="1" w:styleId="291">
    <w:name w:val="图片注释新"/>
    <w:basedOn w:val="277"/>
    <w:qFormat/>
    <w:uiPriority w:val="0"/>
    <w:pPr>
      <w:spacing w:afterLines="0"/>
      <w:ind w:firstLine="0" w:firstLineChars="0"/>
    </w:pPr>
  </w:style>
  <w:style w:type="paragraph" w:customStyle="1" w:styleId="292">
    <w:name w:val="正文（缩进）"/>
    <w:basedOn w:val="1"/>
    <w:qFormat/>
    <w:uiPriority w:val="0"/>
    <w:pPr>
      <w:spacing w:beforeLines="50" w:afterLines="50"/>
      <w:ind w:firstLine="200" w:firstLineChars="200"/>
    </w:pPr>
    <w:rPr>
      <w:rFonts w:ascii="Times New Roman" w:cs="Times New Roman"/>
      <w:sz w:val="24"/>
    </w:rPr>
  </w:style>
  <w:style w:type="character" w:customStyle="1" w:styleId="293">
    <w:name w:val="Char Char4"/>
    <w:qFormat/>
    <w:uiPriority w:val="0"/>
    <w:rPr>
      <w:rFonts w:eastAsia="宋体"/>
      <w:b/>
      <w:kern w:val="2"/>
      <w:sz w:val="24"/>
      <w:lang w:val="en-US" w:eastAsia="zh-CN" w:bidi="ar-SA"/>
    </w:rPr>
  </w:style>
  <w:style w:type="paragraph" w:customStyle="1" w:styleId="294">
    <w:name w:val="Char5 Char Char 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295">
    <w:name w:val="pa-2"/>
    <w:basedOn w:val="1"/>
    <w:qFormat/>
    <w:uiPriority w:val="0"/>
    <w:pPr>
      <w:spacing w:before="100" w:beforeAutospacing="1" w:after="100" w:afterAutospacing="1"/>
      <w:jc w:val="left"/>
    </w:pPr>
    <w:rPr>
      <w:sz w:val="24"/>
    </w:rPr>
  </w:style>
  <w:style w:type="paragraph" w:customStyle="1" w:styleId="296">
    <w:name w:val="方案正文段落"/>
    <w:basedOn w:val="1"/>
    <w:qFormat/>
    <w:uiPriority w:val="0"/>
    <w:pPr>
      <w:ind w:firstLine="200" w:firstLineChars="200"/>
    </w:pPr>
    <w:rPr>
      <w:rFonts w:ascii="Times New Roman" w:cs="Times New Roman"/>
      <w:kern w:val="2"/>
      <w:szCs w:val="20"/>
    </w:rPr>
  </w:style>
  <w:style w:type="paragraph" w:customStyle="1" w:styleId="297">
    <w:name w:val="修订1"/>
    <w:qFormat/>
    <w:uiPriority w:val="0"/>
    <w:pPr>
      <w:spacing w:line="360" w:lineRule="auto"/>
      <w:jc w:val="both"/>
    </w:pPr>
    <w:rPr>
      <w:rFonts w:ascii="Times New Roman" w:hAnsi="Times New Roman" w:eastAsia="宋体" w:cs="Times New Roman"/>
      <w:kern w:val="2"/>
      <w:sz w:val="21"/>
      <w:szCs w:val="24"/>
      <w:lang w:val="en-US" w:eastAsia="zh-CN" w:bidi="ar-SA"/>
    </w:rPr>
  </w:style>
  <w:style w:type="paragraph" w:customStyle="1" w:styleId="298">
    <w:name w:val="模板正文"/>
    <w:basedOn w:val="1"/>
    <w:qFormat/>
    <w:uiPriority w:val="0"/>
    <w:pPr>
      <w:widowControl w:val="0"/>
      <w:shd w:val="clear" w:color="auto" w:fill="auto"/>
      <w:tabs>
        <w:tab w:val="clear" w:pos="426"/>
      </w:tabs>
      <w:wordWrap w:val="0"/>
      <w:adjustRightInd/>
      <w:snapToGrid/>
      <w:spacing w:beforeLines="50"/>
      <w:ind w:firstLine="200" w:firstLineChars="200"/>
    </w:pPr>
    <w:rPr>
      <w:rFonts w:ascii="Times New Roman" w:eastAsia="仿宋_GB2312" w:cs="Times New Roman"/>
      <w:sz w:val="28"/>
      <w:szCs w:val="21"/>
    </w:rPr>
  </w:style>
  <w:style w:type="paragraph" w:styleId="299">
    <w:name w:val="List Paragraph"/>
    <w:basedOn w:val="1"/>
    <w:link w:val="300"/>
    <w:qFormat/>
    <w:uiPriority w:val="99"/>
    <w:pPr>
      <w:widowControl w:val="0"/>
      <w:shd w:val="clear" w:color="auto" w:fill="auto"/>
      <w:tabs>
        <w:tab w:val="clear" w:pos="426"/>
      </w:tabs>
      <w:adjustRightInd/>
      <w:snapToGrid/>
      <w:ind w:firstLine="200" w:firstLineChars="200"/>
    </w:pPr>
    <w:rPr>
      <w:rFonts w:ascii="Times New Roman" w:cs="Times New Roman"/>
      <w:kern w:val="2"/>
      <w:sz w:val="24"/>
    </w:rPr>
  </w:style>
  <w:style w:type="character" w:customStyle="1" w:styleId="300">
    <w:name w:val="列表段落 字符"/>
    <w:link w:val="299"/>
    <w:qFormat/>
    <w:uiPriority w:val="0"/>
    <w:rPr>
      <w:kern w:val="2"/>
      <w:sz w:val="24"/>
      <w:szCs w:val="24"/>
    </w:rPr>
  </w:style>
  <w:style w:type="paragraph" w:customStyle="1" w:styleId="301">
    <w:name w:val="普通段落"/>
    <w:qFormat/>
    <w:uiPriority w:val="0"/>
    <w:pPr>
      <w:widowControl w:val="0"/>
      <w:adjustRightInd w:val="0"/>
      <w:spacing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302">
    <w:name w:val="表格正文"/>
    <w:basedOn w:val="1"/>
    <w:qFormat/>
    <w:uiPriority w:val="0"/>
    <w:pPr>
      <w:widowControl w:val="0"/>
      <w:shd w:val="clear" w:color="auto" w:fill="auto"/>
      <w:tabs>
        <w:tab w:val="clear" w:pos="426"/>
      </w:tabs>
      <w:adjustRightInd/>
      <w:snapToGrid/>
      <w:ind w:firstLine="200" w:firstLineChars="200"/>
    </w:pPr>
    <w:rPr>
      <w:rFonts w:ascii="Arial" w:hAnsi="Arial" w:eastAsia="仿宋_GB2312" w:cs="Times New Roman"/>
      <w:kern w:val="2"/>
      <w:sz w:val="24"/>
      <w:szCs w:val="22"/>
    </w:rPr>
  </w:style>
  <w:style w:type="paragraph" w:customStyle="1" w:styleId="303">
    <w:name w:val="USE 1"/>
    <w:basedOn w:val="1"/>
    <w:qFormat/>
    <w:uiPriority w:val="0"/>
    <w:pPr>
      <w:widowControl w:val="0"/>
      <w:shd w:val="clear" w:color="auto" w:fill="auto"/>
      <w:tabs>
        <w:tab w:val="clear" w:pos="426"/>
      </w:tabs>
      <w:adjustRightInd/>
      <w:snapToGrid/>
      <w:spacing w:line="200" w:lineRule="atLeast"/>
    </w:pPr>
    <w:rPr>
      <w:rFonts w:cs="Times New Roman"/>
      <w:b/>
      <w:kern w:val="2"/>
      <w:sz w:val="24"/>
      <w:szCs w:val="28"/>
    </w:rPr>
  </w:style>
  <w:style w:type="character" w:customStyle="1" w:styleId="304">
    <w:name w:val="标题 1 字符1"/>
    <w:qFormat/>
    <w:uiPriority w:val="0"/>
    <w:rPr>
      <w:rFonts w:ascii="Times New Roman" w:hAnsi="Times New Roman" w:eastAsia="宋体" w:cs="Times New Roman"/>
      <w:b/>
      <w:kern w:val="44"/>
      <w:sz w:val="44"/>
      <w:szCs w:val="20"/>
      <w:lang w:bidi="ar-SA"/>
    </w:rPr>
  </w:style>
  <w:style w:type="paragraph" w:customStyle="1" w:styleId="305">
    <w:name w:val="翟 正文"/>
    <w:basedOn w:val="1"/>
    <w:qFormat/>
    <w:uiPriority w:val="0"/>
    <w:pPr>
      <w:widowControl w:val="0"/>
      <w:shd w:val="clear" w:color="auto" w:fill="auto"/>
      <w:tabs>
        <w:tab w:val="clear" w:pos="426"/>
      </w:tabs>
      <w:adjustRightInd/>
      <w:snapToGrid/>
      <w:spacing w:line="480" w:lineRule="exact"/>
      <w:ind w:firstLine="200" w:firstLineChars="200"/>
    </w:pPr>
    <w:rPr>
      <w:rFonts w:cs="Times New Roman"/>
      <w:snapToGrid w:val="0"/>
      <w:color w:val="000000"/>
      <w:sz w:val="28"/>
      <w:szCs w:val="28"/>
    </w:rPr>
  </w:style>
  <w:style w:type="paragraph" w:customStyle="1" w:styleId="306">
    <w:name w:val="倪芳"/>
    <w:basedOn w:val="1"/>
    <w:qFormat/>
    <w:uiPriority w:val="0"/>
    <w:pPr>
      <w:widowControl w:val="0"/>
      <w:shd w:val="clear" w:color="auto" w:fill="auto"/>
      <w:tabs>
        <w:tab w:val="clear" w:pos="426"/>
      </w:tabs>
      <w:adjustRightInd/>
      <w:snapToGrid/>
      <w:spacing w:beforeLines="25" w:afterLines="15" w:line="400" w:lineRule="exact"/>
    </w:pPr>
    <w:rPr>
      <w:rFonts w:cs="Courier New"/>
      <w:kern w:val="2"/>
      <w:sz w:val="24"/>
      <w:szCs w:val="21"/>
    </w:rPr>
  </w:style>
  <w:style w:type="paragraph" w:customStyle="1" w:styleId="307">
    <w:name w:val="font0"/>
    <w:basedOn w:val="1"/>
    <w:qFormat/>
    <w:uiPriority w:val="0"/>
    <w:pPr>
      <w:shd w:val="clear" w:color="auto" w:fill="auto"/>
      <w:tabs>
        <w:tab w:val="clear" w:pos="426"/>
      </w:tabs>
      <w:adjustRightInd/>
      <w:snapToGrid/>
      <w:spacing w:before="100" w:beforeAutospacing="1" w:after="100" w:afterAutospacing="1" w:line="240" w:lineRule="auto"/>
      <w:jc w:val="left"/>
    </w:pPr>
    <w:rPr>
      <w:rFonts w:ascii="Arial" w:hAnsi="Arial" w:cs="Arial"/>
      <w:sz w:val="20"/>
      <w:szCs w:val="20"/>
    </w:rPr>
  </w:style>
  <w:style w:type="paragraph" w:customStyle="1" w:styleId="308">
    <w:name w:val="font7"/>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20"/>
      <w:szCs w:val="20"/>
    </w:rPr>
  </w:style>
  <w:style w:type="paragraph" w:customStyle="1" w:styleId="309">
    <w:name w:val="font8"/>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18"/>
      <w:szCs w:val="18"/>
    </w:rPr>
  </w:style>
  <w:style w:type="paragraph" w:customStyle="1" w:styleId="310">
    <w:name w:val="font9"/>
    <w:basedOn w:val="1"/>
    <w:qFormat/>
    <w:uiPriority w:val="0"/>
    <w:pPr>
      <w:shd w:val="clear" w:color="auto" w:fill="auto"/>
      <w:tabs>
        <w:tab w:val="clear" w:pos="426"/>
      </w:tabs>
      <w:adjustRightInd/>
      <w:snapToGrid/>
      <w:spacing w:before="100" w:beforeAutospacing="1" w:after="100" w:afterAutospacing="1" w:line="240" w:lineRule="auto"/>
      <w:jc w:val="left"/>
    </w:pPr>
    <w:rPr>
      <w:b/>
      <w:bCs/>
      <w:sz w:val="20"/>
      <w:szCs w:val="20"/>
    </w:rPr>
  </w:style>
  <w:style w:type="paragraph" w:customStyle="1" w:styleId="311">
    <w:name w:val="font10"/>
    <w:basedOn w:val="1"/>
    <w:qFormat/>
    <w:uiPriority w:val="0"/>
    <w:pPr>
      <w:shd w:val="clear" w:color="auto" w:fill="auto"/>
      <w:tabs>
        <w:tab w:val="clear" w:pos="426"/>
      </w:tabs>
      <w:adjustRightInd/>
      <w:snapToGrid/>
      <w:spacing w:before="100" w:beforeAutospacing="1" w:after="100" w:afterAutospacing="1" w:line="240" w:lineRule="auto"/>
      <w:jc w:val="left"/>
    </w:pPr>
    <w:rPr>
      <w:rFonts w:ascii="Calibri" w:hAnsi="Calibri"/>
      <w:sz w:val="20"/>
      <w:szCs w:val="20"/>
    </w:rPr>
  </w:style>
  <w:style w:type="paragraph" w:customStyle="1" w:styleId="312">
    <w:name w:val="xl22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3">
    <w:name w:val="xl22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4">
    <w:name w:val="xl2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5">
    <w:name w:val="xl2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b/>
      <w:bCs/>
      <w:sz w:val="24"/>
    </w:rPr>
  </w:style>
  <w:style w:type="paragraph" w:customStyle="1" w:styleId="316">
    <w:name w:val="xl228"/>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7">
    <w:name w:val="xl229"/>
    <w:basedOn w:val="1"/>
    <w:qFormat/>
    <w:uiPriority w:val="0"/>
    <w:pPr>
      <w:pBdr>
        <w:left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8">
    <w:name w:val="xl2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19">
    <w:name w:val="xl2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0">
    <w:name w:val="xl2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1">
    <w:name w:val="xl2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2">
    <w:name w:val="xl2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3">
    <w:name w:val="xl2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4">
    <w:name w:val="xl2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5">
    <w:name w:val="xl2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6">
    <w:name w:val="xl23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7">
    <w:name w:val="xl23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8">
    <w:name w:val="xl24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9">
    <w:name w:val="xl2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textAlignment w:val="center"/>
    </w:pPr>
    <w:rPr>
      <w:sz w:val="24"/>
    </w:rPr>
  </w:style>
  <w:style w:type="paragraph" w:customStyle="1" w:styleId="330">
    <w:name w:val="xl24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1">
    <w:name w:val="xl2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2">
    <w:name w:val="xl24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3">
    <w:name w:val="xl2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4">
    <w:name w:val="xl2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5">
    <w:name w:val="xl24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6">
    <w:name w:val="xl24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7">
    <w:name w:val="xl24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8">
    <w:name w:val="xl25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9">
    <w:name w:val="xl251"/>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40">
    <w:name w:val="xl2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rFonts w:ascii="Calibri" w:hAnsi="Calibri"/>
      <w:sz w:val="24"/>
    </w:rPr>
  </w:style>
  <w:style w:type="paragraph" w:customStyle="1" w:styleId="341">
    <w:name w:val="xl25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2">
    <w:name w:val="xl2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color w:val="000000"/>
      <w:sz w:val="24"/>
    </w:rPr>
  </w:style>
  <w:style w:type="paragraph" w:customStyle="1" w:styleId="343">
    <w:name w:val="xl2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4">
    <w:name w:val="xl25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5">
    <w:name w:val="xl25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6">
    <w:name w:val="xl2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7">
    <w:name w:val="xl25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8">
    <w:name w:val="xl26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9">
    <w:name w:val="xl26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0">
    <w:name w:val="xl26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1">
    <w:name w:val="xl26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2">
    <w:name w:val="xl26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3">
    <w:name w:val="xl26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4">
    <w:name w:val="xl26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5">
    <w:name w:val="xl26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6">
    <w:name w:val="xl268"/>
    <w:basedOn w:val="1"/>
    <w:qFormat/>
    <w:uiPriority w:val="0"/>
    <w:pP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7">
    <w:name w:val="xl269"/>
    <w:basedOn w:val="1"/>
    <w:qFormat/>
    <w:uiPriority w:val="0"/>
    <w:pPr>
      <w:pBdr>
        <w:bottom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40"/>
      <w:szCs w:val="40"/>
    </w:rPr>
  </w:style>
  <w:style w:type="character" w:customStyle="1" w:styleId="358">
    <w:name w:val="正文文本 Char"/>
    <w:qFormat/>
    <w:uiPriority w:val="0"/>
    <w:rPr>
      <w:rFonts w:ascii="宋体"/>
      <w:kern w:val="10"/>
      <w:sz w:val="21"/>
    </w:rPr>
  </w:style>
  <w:style w:type="paragraph" w:customStyle="1" w:styleId="359">
    <w:name w:val="Char Char Char Char Char Char Char"/>
    <w:basedOn w:val="1"/>
    <w:qFormat/>
    <w:uiPriority w:val="0"/>
    <w:pPr>
      <w:widowControl w:val="0"/>
      <w:shd w:val="clear" w:color="auto" w:fill="auto"/>
      <w:tabs>
        <w:tab w:val="clear" w:pos="426"/>
      </w:tabs>
      <w:adjustRightInd/>
      <w:snapToGrid/>
      <w:spacing w:line="240" w:lineRule="auto"/>
    </w:pPr>
    <w:rPr>
      <w:rFonts w:ascii="仿宋_GB2312" w:eastAsia="仿宋_GB2312" w:cs="Times New Roman"/>
      <w:b/>
      <w:kern w:val="2"/>
      <w:sz w:val="32"/>
      <w:szCs w:val="32"/>
    </w:rPr>
  </w:style>
  <w:style w:type="paragraph" w:customStyle="1" w:styleId="360">
    <w:name w:val="正文样式"/>
    <w:basedOn w:val="33"/>
    <w:qFormat/>
    <w:uiPriority w:val="0"/>
    <w:pPr>
      <w:widowControl w:val="0"/>
      <w:shd w:val="clear" w:color="auto" w:fill="auto"/>
      <w:tabs>
        <w:tab w:val="clear" w:pos="426"/>
      </w:tabs>
      <w:adjustRightInd/>
      <w:snapToGrid/>
      <w:jc w:val="left"/>
    </w:pPr>
    <w:rPr>
      <w:rFonts w:ascii="宋体" w:cs="宋体"/>
      <w:szCs w:val="20"/>
    </w:rPr>
  </w:style>
  <w:style w:type="paragraph" w:customStyle="1" w:styleId="361">
    <w:name w:val="样式 USE 1 + 行距: 单倍行距"/>
    <w:basedOn w:val="1"/>
    <w:qFormat/>
    <w:uiPriority w:val="0"/>
    <w:pPr>
      <w:widowControl w:val="0"/>
      <w:numPr>
        <w:ilvl w:val="0"/>
        <w:numId w:val="29"/>
      </w:numPr>
      <w:shd w:val="clear" w:color="auto" w:fill="auto"/>
      <w:tabs>
        <w:tab w:val="clear" w:pos="426"/>
      </w:tabs>
      <w:adjustRightInd/>
      <w:snapToGrid/>
      <w:spacing w:line="180" w:lineRule="atLeast"/>
      <w:jc w:val="left"/>
    </w:pPr>
    <w:rPr>
      <w:b/>
      <w:bCs/>
      <w:kern w:val="2"/>
      <w:sz w:val="24"/>
      <w:szCs w:val="20"/>
    </w:rPr>
  </w:style>
  <w:style w:type="paragraph" w:customStyle="1" w:styleId="362">
    <w:name w:val="USE 2"/>
    <w:basedOn w:val="1"/>
    <w:qFormat/>
    <w:uiPriority w:val="0"/>
    <w:pPr>
      <w:widowControl w:val="0"/>
      <w:numPr>
        <w:ilvl w:val="1"/>
        <w:numId w:val="29"/>
      </w:numPr>
      <w:shd w:val="clear" w:color="auto" w:fill="auto"/>
      <w:tabs>
        <w:tab w:val="clear" w:pos="426"/>
      </w:tabs>
      <w:adjustRightInd/>
      <w:snapToGrid/>
      <w:jc w:val="left"/>
    </w:pPr>
    <w:rPr>
      <w:rFonts w:cs="Times New Roman"/>
      <w:kern w:val="2"/>
      <w:sz w:val="24"/>
      <w:szCs w:val="20"/>
    </w:rPr>
  </w:style>
  <w:style w:type="paragraph" w:customStyle="1" w:styleId="363">
    <w:name w:val="USE 3"/>
    <w:basedOn w:val="1"/>
    <w:qFormat/>
    <w:uiPriority w:val="0"/>
    <w:pPr>
      <w:widowControl w:val="0"/>
      <w:numPr>
        <w:ilvl w:val="2"/>
        <w:numId w:val="29"/>
      </w:numPr>
      <w:shd w:val="clear" w:color="auto" w:fill="auto"/>
      <w:tabs>
        <w:tab w:val="clear" w:pos="426"/>
      </w:tabs>
      <w:adjustRightInd/>
      <w:snapToGrid/>
      <w:jc w:val="left"/>
    </w:pPr>
    <w:rPr>
      <w:rFonts w:cs="Times New Roman"/>
      <w:kern w:val="2"/>
      <w:sz w:val="24"/>
      <w:szCs w:val="20"/>
    </w:rPr>
  </w:style>
  <w:style w:type="paragraph" w:customStyle="1" w:styleId="364">
    <w:name w:val="USE 4"/>
    <w:basedOn w:val="1"/>
    <w:qFormat/>
    <w:uiPriority w:val="0"/>
    <w:pPr>
      <w:widowControl w:val="0"/>
      <w:numPr>
        <w:ilvl w:val="3"/>
        <w:numId w:val="29"/>
      </w:numPr>
      <w:shd w:val="clear" w:color="auto" w:fill="auto"/>
      <w:tabs>
        <w:tab w:val="clear" w:pos="426"/>
      </w:tabs>
      <w:adjustRightInd/>
      <w:snapToGrid/>
      <w:jc w:val="left"/>
    </w:pPr>
    <w:rPr>
      <w:rFonts w:cs="Times New Roman"/>
      <w:kern w:val="2"/>
      <w:sz w:val="24"/>
      <w:szCs w:val="20"/>
    </w:rPr>
  </w:style>
  <w:style w:type="paragraph" w:customStyle="1" w:styleId="365">
    <w:name w:val="USE 5"/>
    <w:basedOn w:val="1"/>
    <w:qFormat/>
    <w:uiPriority w:val="0"/>
    <w:pPr>
      <w:widowControl w:val="0"/>
      <w:numPr>
        <w:ilvl w:val="4"/>
        <w:numId w:val="29"/>
      </w:numPr>
      <w:shd w:val="clear" w:color="auto" w:fill="auto"/>
      <w:tabs>
        <w:tab w:val="clear" w:pos="426"/>
      </w:tabs>
      <w:adjustRightInd/>
      <w:snapToGrid/>
      <w:jc w:val="left"/>
    </w:pPr>
    <w:rPr>
      <w:rFonts w:cs="Times New Roman"/>
      <w:kern w:val="2"/>
      <w:sz w:val="24"/>
    </w:rPr>
  </w:style>
  <w:style w:type="paragraph" w:customStyle="1" w:styleId="366">
    <w:name w:val="样式 (西文) 宋体 行距: 1.5 倍行距"/>
    <w:basedOn w:val="1"/>
    <w:qFormat/>
    <w:uiPriority w:val="0"/>
    <w:pPr>
      <w:widowControl w:val="0"/>
      <w:shd w:val="clear" w:color="auto" w:fill="auto"/>
      <w:tabs>
        <w:tab w:val="clear" w:pos="426"/>
      </w:tabs>
      <w:adjustRightInd/>
      <w:snapToGrid/>
    </w:pPr>
    <w:rPr>
      <w:kern w:val="2"/>
      <w:szCs w:val="20"/>
    </w:rPr>
  </w:style>
  <w:style w:type="character" w:customStyle="1" w:styleId="367">
    <w:name w:val="font10pt"/>
    <w:qFormat/>
    <w:uiPriority w:val="0"/>
  </w:style>
  <w:style w:type="character" w:customStyle="1" w:styleId="368">
    <w:name w:val="ss1"/>
    <w:qFormat/>
    <w:uiPriority w:val="0"/>
    <w:rPr>
      <w:rFonts w:ascii="ˎ̥" w:hAnsi="ˎ̥"/>
      <w:color w:val="000000"/>
      <w:sz w:val="18"/>
      <w:szCs w:val="18"/>
      <w:u w:val="none"/>
    </w:rPr>
  </w:style>
  <w:style w:type="character" w:customStyle="1" w:styleId="369">
    <w:name w:val="unnamed211"/>
    <w:qFormat/>
    <w:uiPriority w:val="0"/>
    <w:rPr>
      <w:sz w:val="23"/>
      <w:szCs w:val="23"/>
    </w:rPr>
  </w:style>
  <w:style w:type="character" w:customStyle="1" w:styleId="370">
    <w:name w:val="f142"/>
    <w:qFormat/>
    <w:uiPriority w:val="0"/>
    <w:rPr>
      <w:sz w:val="21"/>
      <w:szCs w:val="21"/>
    </w:rPr>
  </w:style>
  <w:style w:type="character" w:customStyle="1" w:styleId="371">
    <w:name w:val="f14b1"/>
    <w:qFormat/>
    <w:uiPriority w:val="0"/>
    <w:rPr>
      <w:b/>
      <w:bCs/>
      <w:sz w:val="21"/>
      <w:szCs w:val="21"/>
    </w:rPr>
  </w:style>
  <w:style w:type="paragraph" w:customStyle="1" w:styleId="372">
    <w:name w:val="ggbody"/>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paragraph" w:customStyle="1" w:styleId="373">
    <w:name w:val="ggtitle"/>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character" w:customStyle="1" w:styleId="374">
    <w:name w:val="ggwenhao"/>
    <w:qFormat/>
    <w:uiPriority w:val="0"/>
  </w:style>
  <w:style w:type="character" w:customStyle="1" w:styleId="375">
    <w:name w:val="text1"/>
    <w:qFormat/>
    <w:uiPriority w:val="0"/>
  </w:style>
  <w:style w:type="character" w:customStyle="1" w:styleId="376">
    <w:name w:val="style3"/>
    <w:qFormat/>
    <w:uiPriority w:val="0"/>
  </w:style>
  <w:style w:type="paragraph" w:customStyle="1" w:styleId="377">
    <w:name w:val="目录"/>
    <w:basedOn w:val="1"/>
    <w:qFormat/>
    <w:uiPriority w:val="0"/>
    <w:pPr>
      <w:shd w:val="clear" w:color="auto" w:fill="auto"/>
      <w:tabs>
        <w:tab w:val="clear" w:pos="426"/>
      </w:tabs>
      <w:adjustRightInd/>
      <w:snapToGrid/>
      <w:spacing w:line="240" w:lineRule="auto"/>
      <w:jc w:val="center"/>
    </w:pPr>
    <w:rPr>
      <w:rFonts w:cs="Times New Roman"/>
      <w:b/>
      <w:sz w:val="36"/>
      <w:szCs w:val="20"/>
    </w:rPr>
  </w:style>
  <w:style w:type="character" w:customStyle="1" w:styleId="378">
    <w:name w:val="tpc_content1"/>
    <w:qFormat/>
    <w:uiPriority w:val="0"/>
    <w:rPr>
      <w:sz w:val="20"/>
      <w:szCs w:val="20"/>
    </w:rPr>
  </w:style>
  <w:style w:type="paragraph" w:customStyle="1" w:styleId="379">
    <w:name w:val="Char1 Char Char Char"/>
    <w:basedOn w:val="1"/>
    <w:qFormat/>
    <w:uiPriority w:val="0"/>
    <w:pPr>
      <w:widowControl w:val="0"/>
      <w:shd w:val="clear" w:color="auto" w:fill="auto"/>
      <w:tabs>
        <w:tab w:val="clear" w:pos="426"/>
      </w:tabs>
      <w:adjustRightInd/>
      <w:snapToGrid/>
      <w:spacing w:line="240" w:lineRule="auto"/>
    </w:pPr>
    <w:rPr>
      <w:rFonts w:ascii="Times New Roman" w:eastAsia="仿宋_GB2312" w:cs="Times New Roman"/>
      <w:kern w:val="2"/>
      <w:sz w:val="28"/>
    </w:rPr>
  </w:style>
  <w:style w:type="paragraph" w:customStyle="1" w:styleId="380">
    <w:name w:val="p9"/>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eastAsia="Arial Unicode MS" w:cs="Arial Unicode MS"/>
      <w:color w:val="000000"/>
      <w:sz w:val="18"/>
      <w:szCs w:val="18"/>
    </w:rPr>
  </w:style>
  <w:style w:type="paragraph" w:customStyle="1" w:styleId="381">
    <w:name w:val="xl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ascii="Times New Roman" w:eastAsia="Arial Unicode MS" w:cs="Times New Roman"/>
      <w:sz w:val="24"/>
    </w:rPr>
  </w:style>
  <w:style w:type="paragraph" w:customStyle="1" w:styleId="382">
    <w:name w:val="2册标题2"/>
    <w:basedOn w:val="1"/>
    <w:next w:val="1"/>
    <w:qFormat/>
    <w:uiPriority w:val="0"/>
    <w:pPr>
      <w:shd w:val="clear" w:color="auto" w:fill="auto"/>
      <w:tabs>
        <w:tab w:val="clear" w:pos="426"/>
      </w:tabs>
      <w:adjustRightInd/>
      <w:snapToGrid/>
      <w:spacing w:beforeLines="50" w:afterLines="50" w:line="300" w:lineRule="auto"/>
      <w:jc w:val="left"/>
      <w:outlineLvl w:val="1"/>
    </w:pPr>
    <w:rPr>
      <w:rFonts w:ascii="Arial" w:hAnsi="Arial" w:eastAsia="黑体" w:cs="Times New Roman"/>
      <w:sz w:val="30"/>
      <w:szCs w:val="30"/>
      <w:lang w:eastAsia="en-US" w:bidi="en-US"/>
    </w:rPr>
  </w:style>
  <w:style w:type="paragraph" w:customStyle="1" w:styleId="383">
    <w:name w:val="TOC 标题2"/>
    <w:basedOn w:val="2"/>
    <w:next w:val="1"/>
    <w:qFormat/>
    <w:uiPriority w:val="0"/>
    <w:pPr>
      <w:keepNext/>
      <w:keepLines/>
      <w:tabs>
        <w:tab w:val="clear" w:pos="426"/>
      </w:tabs>
      <w:spacing w:before="480" w:after="0" w:line="276" w:lineRule="auto"/>
      <w:jc w:val="left"/>
      <w:outlineLvl w:val="9"/>
    </w:pPr>
    <w:rPr>
      <w:rFonts w:ascii="Cambria" w:hAnsi="Cambria"/>
      <w:color w:val="365F91"/>
      <w:kern w:val="0"/>
    </w:rPr>
  </w:style>
  <w:style w:type="paragraph" w:customStyle="1" w:styleId="384">
    <w:name w:val="Char Char Char Char Char Char Char1"/>
    <w:basedOn w:val="1"/>
    <w:qFormat/>
    <w:uiPriority w:val="0"/>
    <w:pPr>
      <w:widowControl w:val="0"/>
      <w:shd w:val="clear" w:color="auto" w:fill="auto"/>
      <w:tabs>
        <w:tab w:val="center" w:leader="middleDot" w:pos="9240"/>
        <w:tab w:val="center" w:pos="9520"/>
        <w:tab w:val="clear" w:pos="426"/>
      </w:tabs>
      <w:adjustRightInd/>
      <w:snapToGrid/>
      <w:spacing w:line="240" w:lineRule="auto"/>
    </w:pPr>
    <w:rPr>
      <w:rFonts w:ascii="Times New Roman" w:eastAsia="仿宋_GB2312" w:cs="Times New Roman"/>
      <w:kern w:val="2"/>
      <w:sz w:val="24"/>
    </w:rPr>
  </w:style>
  <w:style w:type="paragraph" w:customStyle="1" w:styleId="385">
    <w:name w:val="表1"/>
    <w:basedOn w:val="1"/>
    <w:qFormat/>
    <w:uiPriority w:val="0"/>
    <w:pPr>
      <w:widowControl w:val="0"/>
      <w:shd w:val="clear" w:color="auto" w:fill="auto"/>
      <w:tabs>
        <w:tab w:val="clear" w:pos="426"/>
      </w:tabs>
      <w:adjustRightInd/>
      <w:snapToGrid/>
      <w:spacing w:line="240" w:lineRule="auto"/>
    </w:pPr>
    <w:rPr>
      <w:rFonts w:ascii="Times New Roman" w:cs="Times New Roman"/>
      <w:kern w:val="2"/>
      <w:sz w:val="24"/>
      <w:szCs w:val="20"/>
    </w:rPr>
  </w:style>
  <w:style w:type="character" w:customStyle="1" w:styleId="386">
    <w:name w:val="138v1"/>
    <w:qFormat/>
    <w:uiPriority w:val="0"/>
  </w:style>
  <w:style w:type="character" w:customStyle="1" w:styleId="387">
    <w:name w:val="正文缩进 Char1"/>
    <w:qFormat/>
    <w:uiPriority w:val="0"/>
    <w:rPr>
      <w:kern w:val="2"/>
      <w:sz w:val="21"/>
    </w:rPr>
  </w:style>
  <w:style w:type="paragraph" w:customStyle="1" w:styleId="388">
    <w:name w:val="Default Text"/>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89">
    <w:name w:val="缺省文本"/>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90">
    <w:name w:val="_Style 38"/>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customStyle="1" w:styleId="391">
    <w:name w:val="标题1"/>
    <w:basedOn w:val="2"/>
    <w:qFormat/>
    <w:uiPriority w:val="0"/>
    <w:pPr>
      <w:keepNext/>
      <w:keepLines/>
      <w:numPr>
        <w:ilvl w:val="0"/>
        <w:numId w:val="30"/>
      </w:numPr>
      <w:tabs>
        <w:tab w:val="clear" w:pos="426"/>
      </w:tabs>
      <w:spacing w:before="400" w:after="400" w:line="240" w:lineRule="auto"/>
      <w:jc w:val="both"/>
    </w:pPr>
    <w:rPr>
      <w:rFonts w:ascii="Times New Roman"/>
      <w:sz w:val="30"/>
      <w:szCs w:val="24"/>
    </w:rPr>
  </w:style>
  <w:style w:type="paragraph" w:customStyle="1" w:styleId="392">
    <w:name w:val="附录"/>
    <w:basedOn w:val="20"/>
    <w:next w:val="1"/>
    <w:qFormat/>
    <w:uiPriority w:val="0"/>
    <w:pPr>
      <w:widowControl w:val="0"/>
      <w:shd w:val="clear" w:color="auto" w:fill="auto"/>
      <w:tabs>
        <w:tab w:val="clear" w:pos="426"/>
      </w:tabs>
      <w:adjustRightInd/>
      <w:snapToGrid/>
      <w:spacing w:before="152" w:after="160" w:line="240" w:lineRule="auto"/>
    </w:pPr>
    <w:rPr>
      <w:kern w:val="2"/>
    </w:rPr>
  </w:style>
  <w:style w:type="paragraph" w:customStyle="1" w:styleId="393">
    <w:name w:val="表格注释"/>
    <w:basedOn w:val="1"/>
    <w:qFormat/>
    <w:uiPriority w:val="0"/>
    <w:pPr>
      <w:widowControl w:val="0"/>
      <w:shd w:val="clear" w:color="auto" w:fill="auto"/>
      <w:tabs>
        <w:tab w:val="clear" w:pos="426"/>
      </w:tabs>
      <w:adjustRightInd/>
      <w:snapToGrid/>
      <w:spacing w:line="300" w:lineRule="exact"/>
      <w:ind w:firstLine="200" w:firstLineChars="200"/>
      <w:jc w:val="left"/>
    </w:pPr>
    <w:rPr>
      <w:rFonts w:ascii="Times New Roman" w:eastAsia="楷体_GB2312"/>
      <w:szCs w:val="21"/>
    </w:rPr>
  </w:style>
  <w:style w:type="paragraph" w:customStyle="1" w:styleId="394">
    <w:name w:val="样式 题注 + 行距: 固定值 23 磅"/>
    <w:basedOn w:val="20"/>
    <w:qFormat/>
    <w:uiPriority w:val="0"/>
    <w:pPr>
      <w:widowControl w:val="0"/>
      <w:shd w:val="clear" w:color="auto" w:fill="auto"/>
      <w:tabs>
        <w:tab w:val="clear" w:pos="426"/>
      </w:tabs>
      <w:adjustRightInd/>
      <w:snapToGrid/>
      <w:spacing w:after="300" w:line="460" w:lineRule="exact"/>
      <w:jc w:val="center"/>
    </w:pPr>
    <w:rPr>
      <w:rFonts w:eastAsia="宋体" w:cs="宋体"/>
      <w:kern w:val="2"/>
      <w:sz w:val="21"/>
      <w:szCs w:val="24"/>
    </w:rPr>
  </w:style>
  <w:style w:type="character" w:customStyle="1" w:styleId="395">
    <w:name w:val="普通文字1 Char Char"/>
    <w:qFormat/>
    <w:uiPriority w:val="0"/>
    <w:rPr>
      <w:rFonts w:ascii="宋体" w:eastAsia="宋体" w:cs="Courier New"/>
      <w:kern w:val="2"/>
      <w:sz w:val="21"/>
      <w:szCs w:val="21"/>
      <w:lang w:val="en-US" w:eastAsia="zh-CN" w:bidi="ar-SA"/>
    </w:rPr>
  </w:style>
  <w:style w:type="paragraph" w:customStyle="1" w:styleId="396">
    <w:name w:val="--规划正文"/>
    <w:basedOn w:val="1"/>
    <w:qFormat/>
    <w:uiPriority w:val="0"/>
    <w:pPr>
      <w:widowControl w:val="0"/>
      <w:shd w:val="clear" w:color="auto" w:fill="auto"/>
      <w:tabs>
        <w:tab w:val="clear" w:pos="426"/>
      </w:tabs>
      <w:adjustRightInd/>
      <w:snapToGrid/>
      <w:ind w:firstLine="200" w:firstLineChars="200"/>
    </w:pPr>
    <w:rPr>
      <w:rFonts w:ascii="Times New Roman" w:cs="Times New Roman"/>
      <w:kern w:val="2"/>
      <w:szCs w:val="20"/>
    </w:rPr>
  </w:style>
  <w:style w:type="paragraph" w:customStyle="1" w:styleId="397">
    <w:name w:val="xl25"/>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520" w:lineRule="exact"/>
      <w:jc w:val="center"/>
      <w:textAlignment w:val="center"/>
    </w:pPr>
    <w:rPr>
      <w:rFonts w:cs="Times New Roman"/>
      <w:sz w:val="24"/>
      <w:szCs w:val="20"/>
    </w:rPr>
  </w:style>
  <w:style w:type="paragraph" w:customStyle="1" w:styleId="398">
    <w:name w:val="cqq2"/>
    <w:basedOn w:val="1"/>
    <w:qFormat/>
    <w:uiPriority w:val="0"/>
    <w:pPr>
      <w:widowControl w:val="0"/>
      <w:shd w:val="clear" w:color="auto" w:fill="auto"/>
      <w:tabs>
        <w:tab w:val="clear" w:pos="426"/>
      </w:tabs>
      <w:adjustRightInd/>
      <w:snapToGrid/>
      <w:spacing w:line="520" w:lineRule="exact"/>
    </w:pPr>
    <w:rPr>
      <w:rFonts w:ascii="仿宋_GB2312" w:eastAsia="仿宋_GB2312" w:cs="Times New Roman"/>
      <w:b/>
      <w:kern w:val="2"/>
      <w:sz w:val="28"/>
      <w:szCs w:val="20"/>
    </w:rPr>
  </w:style>
  <w:style w:type="character" w:customStyle="1" w:styleId="399">
    <w:name w:val="纯文本 Char1"/>
    <w:qFormat/>
    <w:uiPriority w:val="0"/>
    <w:rPr>
      <w:rFonts w:ascii="宋体" w:cs="Courier New"/>
      <w:kern w:val="2"/>
      <w:sz w:val="21"/>
      <w:szCs w:val="21"/>
      <w:lang w:bidi="ar-SA"/>
    </w:rPr>
  </w:style>
  <w:style w:type="character" w:customStyle="1" w:styleId="400">
    <w:name w:val="日期 Char1"/>
    <w:qFormat/>
    <w:uiPriority w:val="0"/>
    <w:rPr>
      <w:kern w:val="2"/>
      <w:sz w:val="21"/>
      <w:szCs w:val="24"/>
    </w:rPr>
  </w:style>
  <w:style w:type="character" w:customStyle="1" w:styleId="401">
    <w:name w:val="文档结构图 Char1"/>
    <w:qFormat/>
    <w:uiPriority w:val="0"/>
    <w:rPr>
      <w:rFonts w:ascii="宋体"/>
      <w:kern w:val="2"/>
      <w:sz w:val="18"/>
      <w:szCs w:val="18"/>
    </w:rPr>
  </w:style>
  <w:style w:type="character" w:customStyle="1" w:styleId="402">
    <w:name w:val="正文文本缩进 Char1"/>
    <w:qFormat/>
    <w:uiPriority w:val="0"/>
    <w:rPr>
      <w:kern w:val="2"/>
      <w:sz w:val="21"/>
      <w:szCs w:val="24"/>
    </w:rPr>
  </w:style>
  <w:style w:type="character" w:customStyle="1" w:styleId="403">
    <w:name w:val="正文文本缩进 3 Char1"/>
    <w:qFormat/>
    <w:uiPriority w:val="0"/>
    <w:rPr>
      <w:kern w:val="2"/>
      <w:sz w:val="16"/>
      <w:szCs w:val="16"/>
    </w:rPr>
  </w:style>
  <w:style w:type="character" w:customStyle="1" w:styleId="404">
    <w:name w:val="副标题 Char1"/>
    <w:qFormat/>
    <w:uiPriority w:val="0"/>
    <w:rPr>
      <w:rFonts w:ascii="Cambria" w:hAnsi="Cambria" w:cs="Times New Roman"/>
      <w:b/>
      <w:bCs/>
      <w:kern w:val="28"/>
      <w:sz w:val="32"/>
      <w:szCs w:val="32"/>
      <w:lang w:bidi="ar-SA"/>
    </w:rPr>
  </w:style>
  <w:style w:type="character" w:customStyle="1" w:styleId="405">
    <w:name w:val="页脚 Char1"/>
    <w:qFormat/>
    <w:uiPriority w:val="0"/>
    <w:rPr>
      <w:kern w:val="2"/>
      <w:sz w:val="18"/>
      <w:szCs w:val="18"/>
    </w:rPr>
  </w:style>
  <w:style w:type="paragraph" w:customStyle="1" w:styleId="406">
    <w:name w:val="Char Char Char1 Char Char Char1 Char Char Char Char Char Char1 Char Char Char1 Char"/>
    <w:basedOn w:val="1"/>
    <w:qFormat/>
    <w:uiPriority w:val="0"/>
    <w:pPr>
      <w:widowControl w:val="0"/>
      <w:shd w:val="clear" w:color="auto" w:fill="auto"/>
      <w:tabs>
        <w:tab w:val="clear" w:pos="426"/>
      </w:tabs>
      <w:adjustRightInd/>
      <w:snapToGrid/>
      <w:spacing w:line="240" w:lineRule="auto"/>
    </w:pPr>
    <w:rPr>
      <w:rFonts w:ascii="Times New Roman" w:cs="Times New Roman"/>
      <w:kern w:val="2"/>
      <w:szCs w:val="20"/>
    </w:rPr>
  </w:style>
  <w:style w:type="paragraph" w:customStyle="1" w:styleId="407">
    <w:name w:val="1"/>
    <w:basedOn w:val="1"/>
    <w:qFormat/>
    <w:uiPriority w:val="0"/>
    <w:pPr>
      <w:tabs>
        <w:tab w:val="clear" w:pos="426"/>
      </w:tabs>
      <w:adjustRightInd/>
      <w:snapToGrid/>
      <w:spacing w:before="280" w:after="290" w:line="376" w:lineRule="auto"/>
      <w:ind w:left="420" w:hanging="420"/>
      <w:jc w:val="left"/>
      <w:outlineLvl w:val="2"/>
    </w:pPr>
    <w:rPr>
      <w:rFonts w:cs="Times New Roman"/>
      <w:b/>
      <w:sz w:val="24"/>
    </w:rPr>
  </w:style>
  <w:style w:type="character" w:customStyle="1" w:styleId="408">
    <w:name w:val="标题 1 Char"/>
    <w:qFormat/>
    <w:uiPriority w:val="0"/>
    <w:rPr>
      <w:rFonts w:ascii="宋体" w:hAnsi="宋体" w:eastAsia="黑体" w:cs="Times New Roman"/>
      <w:b/>
      <w:bCs/>
      <w:kern w:val="44"/>
      <w:sz w:val="28"/>
      <w:szCs w:val="28"/>
      <w:shd w:val="clear" w:color="auto" w:fill="FFFFFF"/>
      <w:lang w:bidi="ar-SA"/>
    </w:rPr>
  </w:style>
  <w:style w:type="paragraph" w:customStyle="1" w:styleId="409">
    <w:name w:val="样式 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0">
    <w:name w:val="修订2"/>
    <w:qFormat/>
    <w:uiPriority w:val="0"/>
    <w:rPr>
      <w:rFonts w:ascii="宋体" w:hAnsi="Times New Roman" w:eastAsia="宋体" w:cs="宋体"/>
      <w:sz w:val="21"/>
      <w:szCs w:val="24"/>
      <w:lang w:val="en-US" w:eastAsia="zh-CN" w:bidi="ar-SA"/>
    </w:rPr>
  </w:style>
  <w:style w:type="paragraph" w:customStyle="1" w:styleId="411">
    <w:name w:val="样式 10 磅"/>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customStyle="1" w:styleId="412">
    <w:name w:val="_Style 386"/>
    <w:basedOn w:val="1"/>
    <w:next w:val="1"/>
    <w:link w:val="413"/>
    <w:qFormat/>
    <w:uiPriority w:val="0"/>
    <w:pPr>
      <w:widowControl w:val="0"/>
      <w:shd w:val="clear" w:color="auto" w:fill="auto"/>
      <w:tabs>
        <w:tab w:val="clear" w:pos="426"/>
      </w:tabs>
      <w:adjustRightInd/>
      <w:snapToGrid/>
      <w:spacing w:line="240" w:lineRule="auto"/>
      <w:ind w:left="840"/>
      <w:jc w:val="left"/>
    </w:pPr>
    <w:rPr>
      <w:rFonts w:cs="Times New Roman"/>
      <w:kern w:val="2"/>
    </w:rPr>
  </w:style>
  <w:style w:type="character" w:customStyle="1" w:styleId="413">
    <w:name w:val="正文首行缩进 Char"/>
    <w:link w:val="412"/>
    <w:qFormat/>
    <w:uiPriority w:val="0"/>
    <w:rPr>
      <w:rFonts w:ascii="宋体"/>
      <w:kern w:val="2"/>
      <w:sz w:val="21"/>
      <w:szCs w:val="24"/>
    </w:rPr>
  </w:style>
  <w:style w:type="character" w:customStyle="1" w:styleId="414">
    <w:name w:val="unnamed4"/>
    <w:qFormat/>
    <w:uiPriority w:val="0"/>
  </w:style>
  <w:style w:type="character" w:customStyle="1" w:styleId="415">
    <w:name w:val="样式 小五"/>
    <w:qFormat/>
    <w:uiPriority w:val="0"/>
    <w:rPr>
      <w:rFonts w:eastAsia="仿宋_GB2312"/>
      <w:sz w:val="18"/>
    </w:rPr>
  </w:style>
  <w:style w:type="character" w:customStyle="1" w:styleId="416">
    <w:name w:val="标题 3 Char1"/>
    <w:qFormat/>
    <w:uiPriority w:val="0"/>
    <w:rPr>
      <w:rFonts w:eastAsia="宋体"/>
      <w:b/>
      <w:bCs/>
      <w:kern w:val="2"/>
      <w:sz w:val="32"/>
      <w:szCs w:val="32"/>
      <w:lang w:val="en-US" w:eastAsia="zh-CN" w:bidi="ar-SA"/>
    </w:rPr>
  </w:style>
  <w:style w:type="character" w:customStyle="1" w:styleId="417">
    <w:name w:val="标题 3 Char Char"/>
    <w:qFormat/>
    <w:uiPriority w:val="0"/>
    <w:rPr>
      <w:rFonts w:ascii="黑体" w:eastAsia="黑体"/>
      <w:bCs/>
      <w:sz w:val="30"/>
    </w:rPr>
  </w:style>
  <w:style w:type="paragraph" w:customStyle="1" w:styleId="418">
    <w:name w:val="正文缩入"/>
    <w:basedOn w:val="1"/>
    <w:qFormat/>
    <w:uiPriority w:val="0"/>
    <w:pPr>
      <w:widowControl w:val="0"/>
      <w:shd w:val="clear" w:color="auto" w:fill="auto"/>
      <w:tabs>
        <w:tab w:val="clear" w:pos="426"/>
      </w:tabs>
      <w:adjustRightInd/>
      <w:snapToGrid/>
      <w:spacing w:after="120" w:line="240" w:lineRule="auto"/>
      <w:ind w:firstLine="504"/>
    </w:pPr>
    <w:rPr>
      <w:rFonts w:ascii="Times New Roman" w:eastAsia="Times New Roman" w:cs="Times New Roman"/>
      <w:kern w:val="2"/>
      <w:sz w:val="24"/>
    </w:rPr>
  </w:style>
  <w:style w:type="paragraph" w:customStyle="1" w:styleId="419">
    <w:name w:val="Char Char Char Char Char Char Char Char"/>
    <w:basedOn w:val="1"/>
    <w:next w:val="1"/>
    <w:qFormat/>
    <w:uiPriority w:val="0"/>
    <w:pPr>
      <w:shd w:val="clear" w:color="auto" w:fill="auto"/>
      <w:tabs>
        <w:tab w:val="clear" w:pos="426"/>
      </w:tabs>
      <w:adjustRightInd/>
      <w:snapToGrid/>
      <w:spacing w:after="160" w:line="240" w:lineRule="exact"/>
      <w:jc w:val="left"/>
    </w:pPr>
    <w:rPr>
      <w:rFonts w:ascii="Verdana" w:hAnsi="Verdana" w:cs="Times New Roman"/>
      <w:sz w:val="20"/>
      <w:szCs w:val="20"/>
      <w:lang w:eastAsia="en-US"/>
    </w:rPr>
  </w:style>
  <w:style w:type="paragraph" w:customStyle="1" w:styleId="420">
    <w:name w:val="题注5"/>
    <w:basedOn w:val="1"/>
    <w:next w:val="20"/>
    <w:qFormat/>
    <w:uiPriority w:val="0"/>
    <w:pPr>
      <w:widowControl w:val="0"/>
      <w:shd w:val="clear" w:color="auto" w:fill="auto"/>
      <w:tabs>
        <w:tab w:val="clear" w:pos="426"/>
      </w:tabs>
      <w:adjustRightInd/>
      <w:snapToGrid/>
      <w:spacing w:line="240" w:lineRule="auto"/>
      <w:jc w:val="center"/>
    </w:pPr>
    <w:rPr>
      <w:rFonts w:ascii="Times New Roman" w:cs="Times New Roman"/>
      <w:b/>
      <w:color w:val="000000"/>
      <w:kern w:val="2"/>
      <w:sz w:val="24"/>
      <w:szCs w:val="21"/>
    </w:rPr>
  </w:style>
  <w:style w:type="paragraph" w:customStyle="1" w:styleId="421">
    <w:name w:val="正文缩进1"/>
    <w:basedOn w:val="1"/>
    <w:qFormat/>
    <w:uiPriority w:val="0"/>
    <w:pPr>
      <w:widowControl w:val="0"/>
      <w:shd w:val="clear" w:color="auto" w:fill="auto"/>
      <w:tabs>
        <w:tab w:val="clear" w:pos="426"/>
      </w:tabs>
      <w:adjustRightInd/>
      <w:snapToGrid/>
      <w:spacing w:line="240" w:lineRule="auto"/>
      <w:ind w:firstLine="200" w:firstLineChars="200"/>
    </w:pPr>
    <w:rPr>
      <w:rFonts w:ascii="Times New Roman" w:cs="Times New Roman"/>
      <w:sz w:val="20"/>
    </w:rPr>
  </w:style>
  <w:style w:type="paragraph" w:customStyle="1" w:styleId="422">
    <w:name w:val="表格文字"/>
    <w:basedOn w:val="1"/>
    <w:qFormat/>
    <w:uiPriority w:val="0"/>
    <w:pPr>
      <w:widowControl w:val="0"/>
      <w:shd w:val="clear" w:color="auto" w:fill="auto"/>
      <w:tabs>
        <w:tab w:val="clear" w:pos="426"/>
      </w:tabs>
      <w:adjustRightInd/>
      <w:snapToGrid/>
      <w:spacing w:before="25" w:after="25" w:line="240" w:lineRule="auto"/>
      <w:jc w:val="left"/>
    </w:pPr>
    <w:rPr>
      <w:rFonts w:ascii="Times New Roman" w:cs="Times New Roman"/>
      <w:bCs/>
      <w:spacing w:val="10"/>
      <w:sz w:val="24"/>
      <w:szCs w:val="20"/>
    </w:rPr>
  </w:style>
  <w:style w:type="paragraph" w:customStyle="1" w:styleId="423">
    <w:name w:val="样式 普通(网站) + 小五"/>
    <w:basedOn w:val="78"/>
    <w:link w:val="424"/>
    <w:qFormat/>
    <w:uiPriority w:val="0"/>
    <w:pPr>
      <w:shd w:val="clear" w:color="auto" w:fill="auto"/>
      <w:tabs>
        <w:tab w:val="clear" w:pos="426"/>
      </w:tabs>
      <w:adjustRightInd/>
      <w:snapToGrid/>
      <w:spacing w:line="240" w:lineRule="exact"/>
      <w:jc w:val="left"/>
    </w:pPr>
    <w:rPr>
      <w:rFonts w:ascii="Arial Unicode MS" w:hAnsi="Arial Unicode MS" w:eastAsia="仿宋_GB2312" w:cs="Times New Roman"/>
      <w:sz w:val="18"/>
    </w:rPr>
  </w:style>
  <w:style w:type="character" w:customStyle="1" w:styleId="424">
    <w:name w:val="样式 普通(网站) + 小五 Char"/>
    <w:link w:val="423"/>
    <w:qFormat/>
    <w:uiPriority w:val="0"/>
    <w:rPr>
      <w:rFonts w:ascii="Arial Unicode MS" w:hAnsi="Arial Unicode MS" w:eastAsia="仿宋_GB2312"/>
      <w:sz w:val="18"/>
      <w:szCs w:val="24"/>
    </w:rPr>
  </w:style>
  <w:style w:type="paragraph" w:customStyle="1" w:styleId="425">
    <w:name w:val="题注4"/>
    <w:basedOn w:val="1"/>
    <w:next w:val="20"/>
    <w:qFormat/>
    <w:uiPriority w:val="0"/>
    <w:pPr>
      <w:widowControl w:val="0"/>
      <w:shd w:val="clear" w:color="auto" w:fill="auto"/>
      <w:tabs>
        <w:tab w:val="clear" w:pos="426"/>
      </w:tabs>
      <w:adjustRightInd/>
      <w:snapToGrid/>
      <w:spacing w:line="240" w:lineRule="auto"/>
      <w:ind w:left="-62" w:leftChars="-64" w:right="-50" w:rightChars="-50" w:hanging="2"/>
      <w:jc w:val="center"/>
    </w:pPr>
    <w:rPr>
      <w:rFonts w:ascii="Times New Roman" w:cs="Times New Roman"/>
      <w:b/>
      <w:color w:val="FF0000"/>
      <w:kern w:val="2"/>
      <w:szCs w:val="21"/>
      <w:lang w:val="en-GB" w:eastAsia="en-GB"/>
    </w:rPr>
  </w:style>
  <w:style w:type="paragraph" w:customStyle="1" w:styleId="426">
    <w:name w:val="Char Char Char Char Char Char Char Char Char1 Char Char Char Char Char Char Char Char Char Char Char Char Char"/>
    <w:basedOn w:val="2"/>
    <w:qFormat/>
    <w:uiPriority w:val="0"/>
    <w:pPr>
      <w:keepNext/>
      <w:keepLines/>
      <w:tabs>
        <w:tab w:val="left" w:pos="4032"/>
        <w:tab w:val="clear" w:pos="426"/>
      </w:tabs>
      <w:spacing w:before="240" w:after="240" w:line="348" w:lineRule="auto"/>
      <w:ind w:left="907" w:hanging="907"/>
      <w:jc w:val="left"/>
    </w:pPr>
    <w:rPr>
      <w:rFonts w:ascii="华文细黑" w:hAnsi="华文细黑"/>
      <w:kern w:val="0"/>
      <w:szCs w:val="44"/>
    </w:rPr>
  </w:style>
  <w:style w:type="paragraph" w:customStyle="1" w:styleId="427">
    <w:name w:val="纯文本1"/>
    <w:basedOn w:val="1"/>
    <w:link w:val="428"/>
    <w:qFormat/>
    <w:uiPriority w:val="0"/>
    <w:pPr>
      <w:widowControl w:val="0"/>
      <w:shd w:val="clear" w:color="auto" w:fill="auto"/>
      <w:tabs>
        <w:tab w:val="clear" w:pos="426"/>
      </w:tabs>
      <w:adjustRightInd/>
      <w:snapToGrid/>
      <w:spacing w:line="240" w:lineRule="auto"/>
    </w:pPr>
    <w:rPr>
      <w:rFonts w:cs="Times New Roman"/>
      <w:sz w:val="20"/>
      <w:szCs w:val="21"/>
    </w:rPr>
  </w:style>
  <w:style w:type="character" w:customStyle="1" w:styleId="428">
    <w:name w:val="纯文本 Char"/>
    <w:link w:val="427"/>
    <w:qFormat/>
    <w:uiPriority w:val="0"/>
    <w:rPr>
      <w:rFonts w:ascii="宋体"/>
      <w:szCs w:val="21"/>
    </w:rPr>
  </w:style>
  <w:style w:type="paragraph" w:customStyle="1" w:styleId="429">
    <w:name w:val="保留正文"/>
    <w:basedOn w:val="32"/>
    <w:qFormat/>
    <w:uiPriority w:val="0"/>
    <w:pPr>
      <w:keepNext/>
      <w:widowControl w:val="0"/>
      <w:shd w:val="clear" w:color="auto" w:fill="auto"/>
      <w:tabs>
        <w:tab w:val="clear" w:pos="426"/>
      </w:tabs>
      <w:adjustRightInd/>
      <w:snapToGrid/>
      <w:spacing w:after="160" w:line="240" w:lineRule="auto"/>
    </w:pPr>
    <w:rPr>
      <w:rFonts w:ascii="Times New Roman"/>
      <w:b w:val="0"/>
      <w:bCs w:val="0"/>
      <w:kern w:val="2"/>
      <w:sz w:val="21"/>
    </w:rPr>
  </w:style>
  <w:style w:type="paragraph" w:customStyle="1" w:styleId="430">
    <w:name w:val="Char Char2"/>
    <w:basedOn w:val="1"/>
    <w:qFormat/>
    <w:uiPriority w:val="0"/>
    <w:pPr>
      <w:widowControl w:val="0"/>
      <w:shd w:val="clear" w:color="auto" w:fill="auto"/>
      <w:tabs>
        <w:tab w:val="clear" w:pos="426"/>
      </w:tabs>
      <w:adjustRightInd/>
      <w:snapToGrid/>
      <w:spacing w:line="240" w:lineRule="auto"/>
    </w:pPr>
    <w:rPr>
      <w:rFonts w:cs="Times New Roman"/>
      <w:b/>
      <w:kern w:val="2"/>
      <w:sz w:val="28"/>
      <w:szCs w:val="28"/>
    </w:rPr>
  </w:style>
  <w:style w:type="paragraph" w:customStyle="1" w:styleId="431">
    <w:name w:val="文档结构图1"/>
    <w:basedOn w:val="1"/>
    <w:link w:val="432"/>
    <w:qFormat/>
    <w:uiPriority w:val="0"/>
    <w:pPr>
      <w:widowControl w:val="0"/>
      <w:shd w:val="clear" w:color="auto" w:fill="auto"/>
      <w:tabs>
        <w:tab w:val="clear" w:pos="426"/>
      </w:tabs>
      <w:adjustRightInd/>
      <w:snapToGrid/>
      <w:spacing w:line="240" w:lineRule="auto"/>
    </w:pPr>
    <w:rPr>
      <w:rFonts w:cs="Times New Roman"/>
      <w:sz w:val="18"/>
      <w:szCs w:val="18"/>
    </w:rPr>
  </w:style>
  <w:style w:type="character" w:customStyle="1" w:styleId="432">
    <w:name w:val="文档结构图 Char"/>
    <w:link w:val="431"/>
    <w:qFormat/>
    <w:uiPriority w:val="0"/>
    <w:rPr>
      <w:rFonts w:ascii="宋体"/>
      <w:sz w:val="18"/>
      <w:szCs w:val="18"/>
    </w:rPr>
  </w:style>
  <w:style w:type="paragraph" w:customStyle="1" w:styleId="433">
    <w:name w:val="填表"/>
    <w:qFormat/>
    <w:uiPriority w:val="0"/>
    <w:rPr>
      <w:rFonts w:ascii="Times New Roman" w:hAnsi="Times New Roman" w:eastAsia="宋体" w:cs="Times New Roman"/>
      <w:kern w:val="2"/>
      <w:sz w:val="18"/>
      <w:szCs w:val="21"/>
      <w:lang w:val="en-US" w:eastAsia="zh-CN" w:bidi="ar-SA"/>
    </w:rPr>
  </w:style>
  <w:style w:type="paragraph" w:customStyle="1" w:styleId="434">
    <w:name w:val="Char Char Char Char Char Char Char Char Char Char"/>
    <w:basedOn w:val="1"/>
    <w:qFormat/>
    <w:uiPriority w:val="0"/>
    <w:pPr>
      <w:shd w:val="clear" w:color="auto" w:fill="auto"/>
      <w:tabs>
        <w:tab w:val="clear" w:pos="426"/>
      </w:tabs>
      <w:adjustRightInd/>
      <w:snapToGrid/>
      <w:spacing w:after="160" w:line="240" w:lineRule="exact"/>
      <w:jc w:val="left"/>
    </w:pPr>
    <w:rPr>
      <w:rFonts w:ascii="Arial" w:hAnsi="Arial" w:cs="Times New Roman"/>
      <w:kern w:val="2"/>
    </w:rPr>
  </w:style>
  <w:style w:type="paragraph" w:customStyle="1" w:styleId="435">
    <w:name w:val="默认段落字体 Para Char Char Char Char"/>
    <w:basedOn w:val="1"/>
    <w:qFormat/>
    <w:uiPriority w:val="0"/>
    <w:pPr>
      <w:widowControl w:val="0"/>
      <w:shd w:val="clear" w:color="auto" w:fill="auto"/>
      <w:tabs>
        <w:tab w:val="clear" w:pos="426"/>
      </w:tabs>
      <w:adjustRightInd/>
      <w:spacing w:line="240" w:lineRule="auto"/>
    </w:pPr>
    <w:rPr>
      <w:rFonts w:ascii="华文细黑" w:hAnsi="华文细黑" w:cs="Times New Roman"/>
      <w:b/>
      <w:bCs/>
      <w:kern w:val="2"/>
      <w:sz w:val="28"/>
      <w:szCs w:val="44"/>
    </w:rPr>
  </w:style>
  <w:style w:type="paragraph" w:customStyle="1" w:styleId="436">
    <w:name w:val="d_post_content"/>
    <w:basedOn w:val="1"/>
    <w:qFormat/>
    <w:uiPriority w:val="0"/>
    <w:pPr>
      <w:shd w:val="clear" w:color="auto" w:fill="auto"/>
      <w:tabs>
        <w:tab w:val="clear" w:pos="426"/>
      </w:tabs>
      <w:wordWrap w:val="0"/>
      <w:adjustRightInd/>
      <w:snapToGrid/>
      <w:spacing w:before="100" w:beforeAutospacing="1" w:after="100" w:afterAutospacing="1" w:line="360" w:lineRule="atLeast"/>
      <w:jc w:val="left"/>
    </w:pPr>
    <w:rPr>
      <w:rFonts w:hAnsi="宋体"/>
      <w:szCs w:val="21"/>
    </w:rPr>
  </w:style>
  <w:style w:type="paragraph" w:customStyle="1" w:styleId="437">
    <w:name w:val="文件正文"/>
    <w:basedOn w:val="1"/>
    <w:link w:val="438"/>
    <w:qFormat/>
    <w:uiPriority w:val="0"/>
    <w:pPr>
      <w:widowControl w:val="0"/>
      <w:shd w:val="clear" w:color="auto" w:fill="auto"/>
      <w:tabs>
        <w:tab w:val="clear" w:pos="426"/>
      </w:tabs>
      <w:adjustRightInd/>
      <w:snapToGrid/>
      <w:ind w:firstLine="480" w:firstLineChars="200"/>
    </w:pPr>
    <w:rPr>
      <w:rFonts w:ascii="Times New Roman" w:eastAsia="仿宋_GB2312" w:cs="Times New Roman"/>
      <w:kern w:val="2"/>
      <w:sz w:val="24"/>
      <w:szCs w:val="20"/>
    </w:rPr>
  </w:style>
  <w:style w:type="character" w:customStyle="1" w:styleId="438">
    <w:name w:val="文件正文 Char Char"/>
    <w:link w:val="437"/>
    <w:qFormat/>
    <w:uiPriority w:val="0"/>
    <w:rPr>
      <w:rFonts w:eastAsia="仿宋_GB2312"/>
      <w:kern w:val="2"/>
      <w:sz w:val="24"/>
    </w:rPr>
  </w:style>
  <w:style w:type="paragraph" w:customStyle="1" w:styleId="439">
    <w:name w:val="Char Char2 Char"/>
    <w:basedOn w:val="1"/>
    <w:qFormat/>
    <w:uiPriority w:val="0"/>
    <w:pPr>
      <w:widowControl w:val="0"/>
      <w:shd w:val="clear" w:color="auto" w:fill="auto"/>
      <w:tabs>
        <w:tab w:val="clear" w:pos="426"/>
      </w:tabs>
      <w:adjustRightInd/>
      <w:snapToGrid/>
      <w:spacing w:line="240" w:lineRule="auto"/>
    </w:pPr>
    <w:rPr>
      <w:rFonts w:hAnsi="宋体" w:cs="Times New Roman"/>
      <w:b/>
      <w:kern w:val="2"/>
      <w:sz w:val="28"/>
      <w:szCs w:val="28"/>
    </w:rPr>
  </w:style>
  <w:style w:type="character" w:customStyle="1" w:styleId="440">
    <w:name w:val="c lh15"/>
    <w:qFormat/>
    <w:uiPriority w:val="0"/>
  </w:style>
  <w:style w:type="character" w:customStyle="1" w:styleId="441">
    <w:name w:val="px14"/>
    <w:qFormat/>
    <w:uiPriority w:val="0"/>
  </w:style>
  <w:style w:type="character" w:customStyle="1" w:styleId="442">
    <w:name w:val="标题2"/>
    <w:qFormat/>
    <w:uiPriority w:val="0"/>
  </w:style>
  <w:style w:type="paragraph" w:customStyle="1" w:styleId="443">
    <w:name w:val="2册标题3"/>
    <w:basedOn w:val="1"/>
    <w:next w:val="1"/>
    <w:qFormat/>
    <w:uiPriority w:val="0"/>
    <w:pPr>
      <w:widowControl w:val="0"/>
      <w:shd w:val="clear" w:color="auto" w:fill="auto"/>
      <w:tabs>
        <w:tab w:val="clear" w:pos="426"/>
      </w:tabs>
      <w:adjustRightInd/>
      <w:snapToGrid/>
      <w:spacing w:beforeLines="50" w:afterLines="50" w:line="240" w:lineRule="auto"/>
      <w:ind w:left="100" w:leftChars="100"/>
      <w:outlineLvl w:val="2"/>
    </w:pPr>
    <w:rPr>
      <w:rFonts w:ascii="Arial" w:hAnsi="Arial" w:eastAsia="黑体" w:cs="Times New Roman"/>
      <w:kern w:val="2"/>
      <w:sz w:val="28"/>
      <w:szCs w:val="20"/>
    </w:rPr>
  </w:style>
  <w:style w:type="paragraph" w:customStyle="1" w:styleId="444">
    <w:name w:val="2册标题5"/>
    <w:basedOn w:val="445"/>
    <w:next w:val="1"/>
    <w:qFormat/>
    <w:uiPriority w:val="0"/>
    <w:pPr>
      <w:ind w:left="720" w:leftChars="300"/>
      <w:outlineLvl w:val="4"/>
    </w:pPr>
    <w:rPr>
      <w:rFonts w:eastAsia="楷体_GB2312"/>
      <w:b/>
    </w:rPr>
  </w:style>
  <w:style w:type="paragraph" w:customStyle="1" w:styleId="445">
    <w:name w:val="2册标题4"/>
    <w:basedOn w:val="1"/>
    <w:next w:val="1"/>
    <w:qFormat/>
    <w:uiPriority w:val="0"/>
    <w:pPr>
      <w:widowControl w:val="0"/>
      <w:shd w:val="clear" w:color="auto" w:fill="auto"/>
      <w:tabs>
        <w:tab w:val="clear" w:pos="426"/>
      </w:tabs>
      <w:adjustRightInd/>
      <w:snapToGrid/>
      <w:spacing w:beforeLines="50" w:afterLines="50" w:line="240" w:lineRule="auto"/>
      <w:ind w:left="480" w:leftChars="200"/>
      <w:outlineLvl w:val="3"/>
    </w:pPr>
    <w:rPr>
      <w:rFonts w:ascii="Arial" w:hAnsi="Arial" w:eastAsia="黑体" w:cs="Times New Roman"/>
      <w:kern w:val="2"/>
      <w:sz w:val="24"/>
      <w:szCs w:val="20"/>
    </w:rPr>
  </w:style>
  <w:style w:type="paragraph" w:customStyle="1" w:styleId="446">
    <w:name w:val="xl44"/>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47">
    <w:name w:val="xl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48">
    <w:name w:val="表图名"/>
    <w:basedOn w:val="1"/>
    <w:qFormat/>
    <w:uiPriority w:val="0"/>
    <w:pPr>
      <w:widowControl w:val="0"/>
      <w:shd w:val="clear" w:color="auto" w:fill="auto"/>
      <w:tabs>
        <w:tab w:val="clear" w:pos="426"/>
      </w:tabs>
      <w:adjustRightInd/>
      <w:snapToGrid/>
    </w:pPr>
    <w:rPr>
      <w:rFonts w:ascii="Arial" w:hAnsi="Arial" w:cs="Times New Roman"/>
      <w:kern w:val="2"/>
      <w:sz w:val="24"/>
      <w:szCs w:val="20"/>
    </w:rPr>
  </w:style>
  <w:style w:type="paragraph" w:customStyle="1" w:styleId="449">
    <w:name w:val="xl40"/>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50">
    <w:name w:val="第12册用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1">
    <w:name w:val="xl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0"/>
      <w:szCs w:val="20"/>
    </w:rPr>
  </w:style>
  <w:style w:type="paragraph" w:customStyle="1" w:styleId="452">
    <w:name w:val="xl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3">
    <w:name w:val="xl2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4">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455">
    <w:name w:val="样式 ˎ̥ 左 首行缩进:  2 字符"/>
    <w:basedOn w:val="1"/>
    <w:qFormat/>
    <w:uiPriority w:val="0"/>
    <w:pPr>
      <w:widowControl w:val="0"/>
      <w:shd w:val="clear" w:color="auto" w:fill="auto"/>
      <w:tabs>
        <w:tab w:val="clear" w:pos="426"/>
      </w:tabs>
      <w:adjustRightInd/>
      <w:snapToGrid/>
      <w:ind w:firstLine="480" w:firstLineChars="200"/>
      <w:jc w:val="left"/>
    </w:pPr>
    <w:rPr>
      <w:rFonts w:ascii="ˎ̥" w:hAnsi="ˎ̥" w:cs="Times New Roman"/>
      <w:sz w:val="24"/>
      <w:szCs w:val="20"/>
    </w:rPr>
  </w:style>
  <w:style w:type="paragraph" w:customStyle="1" w:styleId="456">
    <w:name w:val="xl42"/>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57">
    <w:name w:val="12册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8">
    <w:name w:val="xl39"/>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9">
    <w:name w:val="xl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60">
    <w:name w:val="LED标题1"/>
    <w:basedOn w:val="1"/>
    <w:next w:val="1"/>
    <w:qFormat/>
    <w:uiPriority w:val="0"/>
    <w:pPr>
      <w:widowControl w:val="0"/>
      <w:shd w:val="clear" w:color="auto" w:fill="auto"/>
      <w:tabs>
        <w:tab w:val="clear" w:pos="426"/>
      </w:tabs>
      <w:adjustRightInd/>
      <w:snapToGrid/>
      <w:spacing w:beforeLines="50" w:afterLines="50" w:line="240" w:lineRule="auto"/>
      <w:ind w:firstLine="320" w:firstLineChars="100"/>
      <w:jc w:val="center"/>
      <w:outlineLvl w:val="0"/>
    </w:pPr>
    <w:rPr>
      <w:rFonts w:ascii="Arial" w:hAnsi="Arial" w:eastAsia="黑体" w:cs="Times New Roman"/>
      <w:color w:val="FF0000"/>
      <w:kern w:val="2"/>
      <w:sz w:val="32"/>
      <w:szCs w:val="20"/>
    </w:rPr>
  </w:style>
  <w:style w:type="paragraph" w:customStyle="1" w:styleId="461">
    <w:name w:val="xl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2">
    <w:name w:val="2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32"/>
      <w:szCs w:val="20"/>
    </w:rPr>
  </w:style>
  <w:style w:type="paragraph" w:customStyle="1" w:styleId="463">
    <w:name w:val="xl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ascii="Verdana" w:hAnsi="Verdana" w:cs="Times New Roman"/>
      <w:sz w:val="24"/>
      <w:szCs w:val="20"/>
    </w:rPr>
  </w:style>
  <w:style w:type="paragraph" w:customStyle="1" w:styleId="464">
    <w:name w:val="xl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65">
    <w:name w:val="xl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6">
    <w:name w:val="1册标题3"/>
    <w:basedOn w:val="1"/>
    <w:next w:val="1"/>
    <w:qFormat/>
    <w:uiPriority w:val="0"/>
    <w:pPr>
      <w:keepNext/>
      <w:keepLines/>
      <w:widowControl w:val="0"/>
      <w:shd w:val="clear" w:color="auto" w:fill="auto"/>
      <w:tabs>
        <w:tab w:val="clear" w:pos="426"/>
      </w:tabs>
      <w:snapToGrid/>
      <w:spacing w:beforeLines="50" w:afterLines="50" w:line="240" w:lineRule="auto"/>
      <w:textAlignment w:val="baseline"/>
      <w:outlineLvl w:val="2"/>
    </w:pPr>
    <w:rPr>
      <w:rFonts w:hAnsi="宋体" w:cs="Times New Roman"/>
      <w:b/>
      <w:sz w:val="24"/>
      <w:szCs w:val="20"/>
    </w:rPr>
  </w:style>
  <w:style w:type="paragraph" w:customStyle="1" w:styleId="467">
    <w:name w:val="xl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8">
    <w:name w:val="xl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18"/>
      <w:szCs w:val="20"/>
    </w:rPr>
  </w:style>
  <w:style w:type="paragraph" w:customStyle="1" w:styleId="469">
    <w:name w:val="xl38"/>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70">
    <w:name w:val="xl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0"/>
      <w:szCs w:val="20"/>
    </w:rPr>
  </w:style>
  <w:style w:type="paragraph" w:customStyle="1" w:styleId="471">
    <w:name w:val="xl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4"/>
      <w:szCs w:val="20"/>
    </w:rPr>
  </w:style>
  <w:style w:type="paragraph" w:customStyle="1" w:styleId="472">
    <w:name w:val="Char2 Char Char Char Char Char Char"/>
    <w:basedOn w:val="1"/>
    <w:qFormat/>
    <w:uiPriority w:val="0"/>
    <w:pPr>
      <w:widowControl w:val="0"/>
      <w:shd w:val="clear" w:color="auto" w:fill="auto"/>
      <w:tabs>
        <w:tab w:val="clear" w:pos="426"/>
      </w:tabs>
      <w:snapToGrid/>
    </w:pPr>
    <w:rPr>
      <w:rFonts w:ascii="Times New Roman" w:cs="Times New Roman"/>
      <w:sz w:val="24"/>
      <w:szCs w:val="20"/>
    </w:rPr>
  </w:style>
  <w:style w:type="paragraph" w:customStyle="1" w:styleId="473">
    <w:name w:val="1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hAnsi="宋体" w:cs="Times New Roman"/>
      <w:b/>
      <w:kern w:val="2"/>
      <w:sz w:val="36"/>
      <w:szCs w:val="20"/>
    </w:rPr>
  </w:style>
  <w:style w:type="paragraph" w:customStyle="1" w:styleId="474">
    <w:name w:val="xl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5">
    <w:name w:val="xl2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6">
    <w:name w:val="1册标题2"/>
    <w:basedOn w:val="3"/>
    <w:next w:val="1"/>
    <w:qFormat/>
    <w:uiPriority w:val="0"/>
    <w:pPr>
      <w:tabs>
        <w:tab w:val="clear" w:pos="426"/>
      </w:tabs>
      <w:spacing w:line="312" w:lineRule="auto"/>
      <w:jc w:val="center"/>
      <w:textAlignment w:val="auto"/>
      <w:outlineLvl w:val="9"/>
    </w:pPr>
    <w:rPr>
      <w:rFonts w:hAnsi="宋体"/>
      <w:kern w:val="2"/>
      <w:sz w:val="32"/>
    </w:rPr>
  </w:style>
  <w:style w:type="paragraph" w:customStyle="1" w:styleId="477">
    <w:name w:val="文字"/>
    <w:basedOn w:val="1"/>
    <w:qFormat/>
    <w:uiPriority w:val="0"/>
    <w:pPr>
      <w:widowControl w:val="0"/>
      <w:shd w:val="clear" w:color="auto" w:fill="auto"/>
      <w:tabs>
        <w:tab w:val="left" w:pos="8520"/>
        <w:tab w:val="clear" w:pos="426"/>
      </w:tabs>
      <w:adjustRightInd/>
      <w:snapToGrid/>
      <w:spacing w:line="312" w:lineRule="auto"/>
      <w:ind w:right="-210" w:firstLine="556"/>
    </w:pPr>
    <w:rPr>
      <w:rFonts w:cs="Times New Roman"/>
      <w:kern w:val="2"/>
      <w:sz w:val="28"/>
      <w:szCs w:val="20"/>
    </w:rPr>
  </w:style>
  <w:style w:type="paragraph" w:customStyle="1" w:styleId="478">
    <w:name w:val="正文 2"/>
    <w:basedOn w:val="1"/>
    <w:qFormat/>
    <w:uiPriority w:val="0"/>
    <w:pPr>
      <w:widowControl w:val="0"/>
      <w:shd w:val="clear" w:color="auto" w:fill="auto"/>
      <w:tabs>
        <w:tab w:val="clear" w:pos="426"/>
      </w:tabs>
      <w:autoSpaceDE w:val="0"/>
      <w:autoSpaceDN w:val="0"/>
      <w:spacing w:before="80" w:after="40"/>
      <w:ind w:left="1134"/>
      <w:jc w:val="left"/>
    </w:pPr>
    <w:rPr>
      <w:rFonts w:ascii="Times New Roman" w:cs="Times New Roman"/>
      <w:sz w:val="24"/>
      <w:szCs w:val="20"/>
    </w:rPr>
  </w:style>
  <w:style w:type="character" w:customStyle="1" w:styleId="479">
    <w:name w:val="h9point1"/>
    <w:qFormat/>
    <w:uiPriority w:val="0"/>
    <w:rPr>
      <w:rFonts w:hint="eastAsia" w:ascii="宋体" w:hAnsi="宋体" w:eastAsia="宋体"/>
      <w:spacing w:val="360"/>
      <w:sz w:val="18"/>
      <w:szCs w:val="18"/>
    </w:rPr>
  </w:style>
  <w:style w:type="paragraph" w:customStyle="1" w:styleId="480">
    <w:name w:val="contentlabel"/>
    <w:basedOn w:val="1"/>
    <w:qFormat/>
    <w:uiPriority w:val="0"/>
    <w:pPr>
      <w:shd w:val="clear" w:color="auto" w:fill="auto"/>
      <w:tabs>
        <w:tab w:val="clear" w:pos="426"/>
      </w:tabs>
      <w:adjustRightInd/>
      <w:snapToGrid/>
      <w:spacing w:before="32" w:after="100" w:afterAutospacing="1" w:line="240" w:lineRule="auto"/>
      <w:ind w:left="96"/>
      <w:jc w:val="left"/>
    </w:pPr>
    <w:rPr>
      <w:rFonts w:hAnsi="宋体"/>
      <w:color w:val="336666"/>
      <w:sz w:val="19"/>
      <w:szCs w:val="19"/>
    </w:rPr>
  </w:style>
  <w:style w:type="paragraph" w:customStyle="1" w:styleId="481">
    <w:name w:val="Char Char1 Char Char Char Char Char Char Char Char Char Char Char Char Char Char Char"/>
    <w:basedOn w:val="1"/>
    <w:qFormat/>
    <w:uiPriority w:val="0"/>
    <w:pPr>
      <w:shd w:val="clear" w:color="auto" w:fill="auto"/>
      <w:tabs>
        <w:tab w:val="clear" w:pos="426"/>
      </w:tabs>
      <w:adjustRightInd/>
      <w:snapToGrid/>
      <w:spacing w:after="160" w:line="240" w:lineRule="exact"/>
      <w:jc w:val="left"/>
    </w:pPr>
    <w:rPr>
      <w:rFonts w:ascii="Verdana" w:hAnsi="Verdana" w:cs="Verdana"/>
      <w:sz w:val="20"/>
      <w:szCs w:val="20"/>
      <w:lang w:eastAsia="en-US"/>
    </w:rPr>
  </w:style>
  <w:style w:type="paragraph" w:customStyle="1" w:styleId="482">
    <w:name w:val="33"/>
    <w:basedOn w:val="1"/>
    <w:next w:val="43"/>
    <w:link w:val="483"/>
    <w:qFormat/>
    <w:uiPriority w:val="0"/>
    <w:pPr>
      <w:widowControl w:val="0"/>
      <w:shd w:val="clear" w:color="auto" w:fill="auto"/>
      <w:tabs>
        <w:tab w:val="clear" w:pos="426"/>
      </w:tabs>
      <w:adjustRightInd/>
      <w:snapToGrid/>
      <w:spacing w:before="120" w:after="120" w:line="500" w:lineRule="exact"/>
      <w:ind w:firstLine="551" w:firstLineChars="196"/>
    </w:pPr>
    <w:rPr>
      <w:rFonts w:ascii="幼圆" w:eastAsia="幼圆" w:cs="Times New Roman"/>
      <w:b/>
      <w:bCs/>
      <w:kern w:val="2"/>
      <w:sz w:val="28"/>
      <w:szCs w:val="28"/>
    </w:rPr>
  </w:style>
  <w:style w:type="character" w:customStyle="1" w:styleId="483">
    <w:name w:val="33 Char"/>
    <w:link w:val="482"/>
    <w:qFormat/>
    <w:uiPriority w:val="0"/>
    <w:rPr>
      <w:rFonts w:ascii="幼圆" w:eastAsia="幼圆"/>
      <w:b/>
      <w:bCs/>
      <w:kern w:val="2"/>
      <w:sz w:val="28"/>
      <w:szCs w:val="28"/>
    </w:rPr>
  </w:style>
  <w:style w:type="paragraph" w:customStyle="1" w:styleId="484">
    <w:name w:val="样式 样式 首行缩进:  2 字符 + 首行缩进:  2 字符"/>
    <w:basedOn w:val="485"/>
    <w:qFormat/>
    <w:uiPriority w:val="0"/>
    <w:pPr>
      <w:ind w:firstLine="560"/>
    </w:pPr>
    <w:rPr>
      <w:sz w:val="24"/>
    </w:rPr>
  </w:style>
  <w:style w:type="paragraph" w:customStyle="1" w:styleId="485">
    <w:name w:val="样式 首行缩进:  2 字符"/>
    <w:basedOn w:val="1"/>
    <w:qFormat/>
    <w:uiPriority w:val="0"/>
    <w:pPr>
      <w:widowControl w:val="0"/>
      <w:shd w:val="clear" w:color="auto" w:fill="auto"/>
      <w:tabs>
        <w:tab w:val="clear" w:pos="426"/>
      </w:tabs>
      <w:adjustRightInd/>
      <w:snapToGrid/>
      <w:spacing w:line="300" w:lineRule="auto"/>
      <w:ind w:firstLine="200" w:firstLineChars="200"/>
    </w:pPr>
    <w:rPr>
      <w:rFonts w:ascii="Times New Roman"/>
      <w:kern w:val="2"/>
      <w:sz w:val="28"/>
      <w:szCs w:val="20"/>
    </w:rPr>
  </w:style>
  <w:style w:type="paragraph" w:customStyle="1" w:styleId="486">
    <w:name w:val="xl47"/>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7">
    <w:name w:val="xl48"/>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8">
    <w:name w:val="xl49"/>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9">
    <w:name w:val="xl50"/>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0">
    <w:name w:val="xl51"/>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center"/>
    </w:pPr>
    <w:rPr>
      <w:rFonts w:hAnsi="宋体"/>
      <w:b/>
      <w:bCs/>
      <w:sz w:val="18"/>
      <w:szCs w:val="18"/>
    </w:rPr>
  </w:style>
  <w:style w:type="paragraph" w:customStyle="1" w:styleId="491">
    <w:name w:val="xl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sz w:val="18"/>
      <w:szCs w:val="18"/>
    </w:rPr>
  </w:style>
  <w:style w:type="paragraph" w:customStyle="1" w:styleId="492">
    <w:name w:val="xl53"/>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3">
    <w:name w:val="xl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4">
    <w:name w:val="xl55"/>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5">
    <w:name w:val="xl56"/>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6">
    <w:name w:val="xl57"/>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7">
    <w:name w:val="xl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8">
    <w:name w:val="xl59"/>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9">
    <w:name w:val="xl60"/>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500">
    <w:name w:val="xl61"/>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1">
    <w:name w:val="xl62"/>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2">
    <w:name w:val="xl63"/>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3">
    <w:name w:val="样式 段后: 0.25 行"/>
    <w:basedOn w:val="1"/>
    <w:qFormat/>
    <w:uiPriority w:val="0"/>
    <w:pPr>
      <w:widowControl w:val="0"/>
      <w:shd w:val="clear" w:color="auto" w:fill="auto"/>
      <w:tabs>
        <w:tab w:val="clear" w:pos="426"/>
      </w:tabs>
      <w:adjustRightInd/>
      <w:snapToGrid/>
      <w:spacing w:afterLines="25" w:line="300" w:lineRule="auto"/>
      <w:ind w:firstLine="420" w:firstLineChars="200"/>
    </w:pPr>
    <w:rPr>
      <w:rFonts w:ascii="Arial" w:hAnsi="Arial"/>
      <w:kern w:val="2"/>
      <w:szCs w:val="20"/>
    </w:rPr>
  </w:style>
  <w:style w:type="paragraph" w:customStyle="1" w:styleId="504">
    <w:name w:val="默认段落字体 Para Char Char Char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paragraph" w:customStyle="1" w:styleId="505">
    <w:name w:val="默认段落字体 Para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character" w:customStyle="1" w:styleId="506">
    <w:name w:val="H6 Char"/>
    <w:qFormat/>
    <w:uiPriority w:val="0"/>
    <w:rPr>
      <w:rFonts w:ascii="Arial" w:hAnsi="Arial" w:eastAsia="黑体"/>
      <w:b/>
      <w:kern w:val="2"/>
      <w:sz w:val="24"/>
    </w:rPr>
  </w:style>
  <w:style w:type="character" w:customStyle="1" w:styleId="507">
    <w:name w:val="L7 Char Char"/>
    <w:qFormat/>
    <w:uiPriority w:val="0"/>
    <w:rPr>
      <w:b/>
      <w:kern w:val="2"/>
      <w:sz w:val="24"/>
    </w:rPr>
  </w:style>
  <w:style w:type="character" w:customStyle="1" w:styleId="508">
    <w:name w:val="Char Char17"/>
    <w:qFormat/>
    <w:uiPriority w:val="0"/>
    <w:rPr>
      <w:rFonts w:ascii="Arial" w:hAnsi="Arial" w:eastAsia="黑体"/>
      <w:kern w:val="2"/>
      <w:sz w:val="24"/>
    </w:rPr>
  </w:style>
  <w:style w:type="character" w:customStyle="1" w:styleId="509">
    <w:name w:val="Char Char16"/>
    <w:qFormat/>
    <w:uiPriority w:val="0"/>
    <w:rPr>
      <w:rFonts w:ascii="Arial" w:hAnsi="Arial" w:eastAsia="黑体"/>
      <w:kern w:val="2"/>
      <w:sz w:val="21"/>
    </w:rPr>
  </w:style>
  <w:style w:type="character" w:customStyle="1" w:styleId="510">
    <w:name w:val="HTML 预设格式 Char1"/>
    <w:semiHidden/>
    <w:qFormat/>
    <w:uiPriority w:val="0"/>
    <w:rPr>
      <w:rFonts w:ascii="Courier New" w:hAnsi="Courier New" w:cs="Courier New"/>
      <w:kern w:val="2"/>
    </w:rPr>
  </w:style>
  <w:style w:type="character" w:customStyle="1" w:styleId="511">
    <w:name w:val="Char Char14"/>
    <w:qFormat/>
    <w:uiPriority w:val="0"/>
    <w:rPr>
      <w:rFonts w:ascii="华康简标题宋" w:eastAsia="华康简标题宋"/>
      <w:kern w:val="2"/>
      <w:sz w:val="52"/>
    </w:rPr>
  </w:style>
  <w:style w:type="character" w:customStyle="1" w:styleId="512">
    <w:name w:val="h Char"/>
    <w:qFormat/>
    <w:uiPriority w:val="0"/>
    <w:rPr>
      <w:rFonts w:ascii="宋体"/>
      <w:sz w:val="18"/>
    </w:rPr>
  </w:style>
  <w:style w:type="paragraph" w:customStyle="1" w:styleId="513">
    <w:name w:val="正式"/>
    <w:basedOn w:val="1"/>
    <w:qFormat/>
    <w:uiPriority w:val="0"/>
    <w:pPr>
      <w:widowControl w:val="0"/>
      <w:shd w:val="clear" w:color="auto" w:fill="auto"/>
      <w:tabs>
        <w:tab w:val="clear" w:pos="426"/>
      </w:tabs>
      <w:adjustRightInd/>
      <w:snapToGrid/>
      <w:ind w:firstLine="560"/>
    </w:pPr>
    <w:rPr>
      <w:rFonts w:hAnsi="宋体" w:cs="Times New Roman"/>
      <w:kern w:val="2"/>
      <w:sz w:val="28"/>
    </w:rPr>
  </w:style>
  <w:style w:type="paragraph" w:customStyle="1" w:styleId="514">
    <w:name w:val="样式 样式 (西文) 宋体 四号 行距: 1.5 倍行距 + 首行缩进:  2 字符"/>
    <w:basedOn w:val="1"/>
    <w:qFormat/>
    <w:uiPriority w:val="0"/>
    <w:pPr>
      <w:widowControl w:val="0"/>
      <w:shd w:val="clear" w:color="auto" w:fill="auto"/>
      <w:tabs>
        <w:tab w:val="clear" w:pos="426"/>
      </w:tabs>
      <w:adjustRightInd/>
      <w:snapToGrid/>
      <w:ind w:firstLine="560" w:firstLineChars="200"/>
    </w:pPr>
    <w:rPr>
      <w:rFonts w:hAnsi="宋体"/>
      <w:kern w:val="2"/>
      <w:sz w:val="28"/>
      <w:szCs w:val="20"/>
    </w:rPr>
  </w:style>
  <w:style w:type="character" w:customStyle="1" w:styleId="515">
    <w:name w:val="文件正文 Char Char Char"/>
    <w:qFormat/>
    <w:uiPriority w:val="0"/>
    <w:rPr>
      <w:rFonts w:eastAsia="仿宋_GB2312"/>
      <w:kern w:val="2"/>
      <w:sz w:val="24"/>
    </w:rPr>
  </w:style>
  <w:style w:type="character" w:customStyle="1" w:styleId="516">
    <w:name w:val="33 Char Char"/>
    <w:qFormat/>
    <w:uiPriority w:val="0"/>
    <w:rPr>
      <w:rFonts w:ascii="幼圆" w:eastAsia="幼圆"/>
      <w:b/>
      <w:bCs/>
      <w:sz w:val="28"/>
      <w:szCs w:val="28"/>
    </w:rPr>
  </w:style>
  <w:style w:type="character" w:customStyle="1" w:styleId="517">
    <w:name w:val="表格 Char Char"/>
    <w:link w:val="518"/>
    <w:qFormat/>
    <w:uiPriority w:val="0"/>
    <w:rPr>
      <w:rFonts w:ascii="宋体" w:hAnsi="宋体"/>
    </w:rPr>
  </w:style>
  <w:style w:type="paragraph" w:customStyle="1" w:styleId="518">
    <w:name w:val="表格"/>
    <w:basedOn w:val="1"/>
    <w:link w:val="517"/>
    <w:qFormat/>
    <w:uiPriority w:val="0"/>
    <w:pPr>
      <w:widowControl w:val="0"/>
      <w:shd w:val="clear" w:color="auto" w:fill="auto"/>
      <w:tabs>
        <w:tab w:val="clear" w:pos="426"/>
      </w:tabs>
      <w:adjustRightInd/>
      <w:spacing w:line="240" w:lineRule="auto"/>
      <w:ind w:firstLine="38"/>
      <w:jc w:val="center"/>
    </w:pPr>
    <w:rPr>
      <w:rFonts w:hAnsi="宋体" w:cs="Times New Roman"/>
      <w:sz w:val="20"/>
      <w:szCs w:val="20"/>
    </w:rPr>
  </w:style>
  <w:style w:type="character" w:customStyle="1" w:styleId="519">
    <w:name w:val="批注文字 Char1"/>
    <w:qFormat/>
    <w:uiPriority w:val="99"/>
    <w:rPr>
      <w:rFonts w:ascii="Times New Roman" w:hAnsi="Times New Roman" w:eastAsia="宋体" w:cs="Times New Roman"/>
      <w:szCs w:val="24"/>
    </w:rPr>
  </w:style>
  <w:style w:type="character" w:customStyle="1" w:styleId="520">
    <w:name w:val="批注主题 Char1"/>
    <w:semiHidden/>
    <w:qFormat/>
    <w:uiPriority w:val="0"/>
    <w:rPr>
      <w:rFonts w:ascii="Times New Roman" w:hAnsi="Times New Roman" w:eastAsia="宋体" w:cs="Times New Roman"/>
      <w:b/>
      <w:bCs/>
      <w:szCs w:val="24"/>
    </w:rPr>
  </w:style>
  <w:style w:type="character" w:customStyle="1" w:styleId="521">
    <w:name w:val="脚注文本 Char1"/>
    <w:semiHidden/>
    <w:qFormat/>
    <w:uiPriority w:val="0"/>
    <w:rPr>
      <w:rFonts w:ascii="Times New Roman" w:hAnsi="Times New Roman" w:eastAsia="宋体" w:cs="Times New Roman"/>
      <w:sz w:val="18"/>
      <w:szCs w:val="18"/>
    </w:rPr>
  </w:style>
  <w:style w:type="character" w:customStyle="1" w:styleId="522">
    <w:name w:val="普通文字1 Char Char1"/>
    <w:qFormat/>
    <w:uiPriority w:val="0"/>
    <w:rPr>
      <w:rFonts w:ascii="宋体" w:hAnsi="Courier New"/>
      <w:kern w:val="2"/>
      <w:sz w:val="21"/>
    </w:rPr>
  </w:style>
  <w:style w:type="character" w:customStyle="1" w:styleId="523">
    <w:name w:val="标题 Char1"/>
    <w:qFormat/>
    <w:uiPriority w:val="0"/>
    <w:rPr>
      <w:rFonts w:ascii="Cambria" w:hAnsi="Cambria" w:eastAsia="宋体" w:cs="Times New Roman"/>
      <w:b/>
      <w:bCs/>
      <w:sz w:val="32"/>
      <w:szCs w:val="32"/>
    </w:rPr>
  </w:style>
  <w:style w:type="paragraph" w:customStyle="1" w:styleId="524">
    <w:name w:val="列表内容"/>
    <w:basedOn w:val="1"/>
    <w:next w:val="1"/>
    <w:qFormat/>
    <w:uiPriority w:val="0"/>
    <w:pPr>
      <w:shd w:val="clear" w:color="auto" w:fill="auto"/>
      <w:tabs>
        <w:tab w:val="left" w:pos="907"/>
        <w:tab w:val="left" w:pos="1271"/>
        <w:tab w:val="clear" w:pos="426"/>
      </w:tabs>
      <w:adjustRightInd/>
      <w:snapToGrid/>
      <w:spacing w:line="240" w:lineRule="auto"/>
      <w:ind w:left="907" w:hanging="907"/>
      <w:jc w:val="left"/>
    </w:pPr>
    <w:rPr>
      <w:rFonts w:ascii="Times New Roman" w:cs="Times New Roman"/>
      <w:sz w:val="18"/>
    </w:rPr>
  </w:style>
  <w:style w:type="paragraph" w:customStyle="1" w:styleId="525">
    <w:name w:val="p16"/>
    <w:basedOn w:val="1"/>
    <w:qFormat/>
    <w:uiPriority w:val="99"/>
    <w:pPr>
      <w:shd w:val="clear" w:color="auto" w:fill="auto"/>
      <w:tabs>
        <w:tab w:val="clear" w:pos="426"/>
      </w:tabs>
      <w:adjustRightInd/>
      <w:snapToGrid/>
      <w:spacing w:line="240" w:lineRule="auto"/>
      <w:ind w:firstLine="420"/>
    </w:pPr>
    <w:rPr>
      <w:rFonts w:ascii="Arial Unicode MS" w:hAnsi="Arial Unicode MS" w:eastAsia="Arial Unicode MS" w:cs="Arial Unicode MS"/>
      <w:sz w:val="32"/>
      <w:szCs w:val="32"/>
    </w:rPr>
  </w:style>
  <w:style w:type="character" w:customStyle="1" w:styleId="526">
    <w:name w:val="15"/>
    <w:qFormat/>
    <w:uiPriority w:val="0"/>
    <w:rPr>
      <w:rFonts w:hint="default" w:ascii="Times New Roman" w:hAnsi="Times New Roman" w:cs="Times New Roman"/>
      <w:color w:val="0000FF"/>
      <w:u w:val="single"/>
    </w:rPr>
  </w:style>
  <w:style w:type="paragraph" w:customStyle="1" w:styleId="527">
    <w:name w:val="p15"/>
    <w:basedOn w:val="1"/>
    <w:qFormat/>
    <w:uiPriority w:val="0"/>
    <w:pPr>
      <w:shd w:val="clear" w:color="auto" w:fill="auto"/>
      <w:tabs>
        <w:tab w:val="clear" w:pos="426"/>
      </w:tabs>
      <w:adjustRightInd/>
      <w:spacing w:line="240" w:lineRule="auto"/>
      <w:ind w:left="420" w:hanging="420"/>
    </w:pPr>
    <w:rPr>
      <w:rFonts w:hAnsi="宋体"/>
      <w:szCs w:val="21"/>
    </w:rPr>
  </w:style>
  <w:style w:type="paragraph" w:customStyle="1" w:styleId="528">
    <w:name w:val="xl23"/>
    <w:basedOn w:val="1"/>
    <w:qFormat/>
    <w:uiPriority w:val="0"/>
    <w:pPr>
      <w:shd w:val="clear" w:color="auto" w:fill="auto"/>
      <w:tabs>
        <w:tab w:val="clear" w:pos="426"/>
      </w:tabs>
      <w:adjustRightInd/>
      <w:snapToGrid/>
      <w:spacing w:before="100" w:beforeAutospacing="1" w:after="100" w:afterAutospacing="1"/>
      <w:textAlignment w:val="top"/>
    </w:pPr>
    <w:rPr>
      <w:rFonts w:ascii="Times New Roman" w:cs="Times New Roman"/>
      <w:sz w:val="24"/>
    </w:rPr>
  </w:style>
  <w:style w:type="paragraph" w:customStyle="1" w:styleId="529">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0">
    <w:name w:val="样式1_0"/>
    <w:basedOn w:val="529"/>
    <w:qFormat/>
    <w:uiPriority w:val="0"/>
    <w:pPr>
      <w:numPr>
        <w:ilvl w:val="0"/>
        <w:numId w:val="31"/>
      </w:numPr>
    </w:pPr>
    <w:rPr>
      <w:rFonts w:ascii="宋体" w:hAnsi="宋体"/>
      <w:szCs w:val="21"/>
    </w:rPr>
  </w:style>
  <w:style w:type="paragraph" w:customStyle="1" w:styleId="531">
    <w:name w:val="正文缩进_0"/>
    <w:basedOn w:val="529"/>
    <w:qFormat/>
    <w:uiPriority w:val="0"/>
    <w:pPr>
      <w:ind w:firstLine="420"/>
    </w:pPr>
  </w:style>
  <w:style w:type="paragraph" w:customStyle="1" w:styleId="532">
    <w:name w:val="标题 2_1"/>
    <w:basedOn w:val="529"/>
    <w:next w:val="529"/>
    <w:qFormat/>
    <w:uiPriority w:val="0"/>
    <w:pPr>
      <w:keepNext/>
      <w:keepLines/>
      <w:spacing w:before="260" w:after="260" w:line="412" w:lineRule="auto"/>
      <w:outlineLvl w:val="1"/>
    </w:pPr>
    <w:rPr>
      <w:rFonts w:ascii="Arial" w:hAnsi="Arial" w:eastAsia="黑体"/>
      <w:b/>
      <w:sz w:val="32"/>
    </w:rPr>
  </w:style>
  <w:style w:type="paragraph" w:customStyle="1" w:styleId="533">
    <w:name w:val="纯文本_1"/>
    <w:basedOn w:val="529"/>
    <w:qFormat/>
    <w:uiPriority w:val="0"/>
    <w:rPr>
      <w:rFonts w:ascii="宋体"/>
      <w:szCs w:val="21"/>
    </w:rPr>
  </w:style>
  <w:style w:type="paragraph" w:customStyle="1" w:styleId="534">
    <w:name w:val="普通(网站)_0"/>
    <w:basedOn w:val="529"/>
    <w:qFormat/>
    <w:uiPriority w:val="0"/>
    <w:pPr>
      <w:widowControl/>
      <w:spacing w:before="100" w:beforeAutospacing="1" w:after="100" w:afterAutospacing="1"/>
      <w:jc w:val="left"/>
    </w:pPr>
    <w:rPr>
      <w:rFonts w:ascii="宋体"/>
      <w:kern w:val="0"/>
      <w:sz w:val="24"/>
      <w:szCs w:val="24"/>
      <w:lang w:eastAsia="en-US"/>
    </w:rPr>
  </w:style>
  <w:style w:type="character" w:customStyle="1" w:styleId="535">
    <w:name w:val="Char Char15"/>
    <w:qFormat/>
    <w:uiPriority w:val="0"/>
    <w:rPr>
      <w:rFonts w:ascii="宋体" w:hAnsi="宋体"/>
      <w:sz w:val="24"/>
    </w:rPr>
  </w:style>
  <w:style w:type="character" w:customStyle="1" w:styleId="536">
    <w:name w:val="Char Char13"/>
    <w:qFormat/>
    <w:uiPriority w:val="0"/>
    <w:rPr>
      <w:rFonts w:ascii="宋体" w:hAnsi="宋体"/>
      <w:b/>
      <w:kern w:val="2"/>
      <w:sz w:val="21"/>
    </w:rPr>
  </w:style>
  <w:style w:type="character" w:customStyle="1" w:styleId="537">
    <w:name w:val="Char Char10"/>
    <w:qFormat/>
    <w:uiPriority w:val="0"/>
    <w:rPr>
      <w:rFonts w:ascii="宋体"/>
      <w:sz w:val="28"/>
    </w:rPr>
  </w:style>
  <w:style w:type="character" w:customStyle="1" w:styleId="538">
    <w:name w:val="正文缩进2格 Char"/>
    <w:link w:val="539"/>
    <w:qFormat/>
    <w:uiPriority w:val="0"/>
    <w:rPr>
      <w:rFonts w:ascii="仿宋_GB2312" w:hAnsi="宋体" w:eastAsia="仿宋_GB2312"/>
      <w:kern w:val="2"/>
      <w:sz w:val="31"/>
    </w:rPr>
  </w:style>
  <w:style w:type="paragraph" w:customStyle="1" w:styleId="539">
    <w:name w:val="正文缩进2格"/>
    <w:basedOn w:val="1"/>
    <w:link w:val="538"/>
    <w:qFormat/>
    <w:uiPriority w:val="0"/>
    <w:pPr>
      <w:widowControl w:val="0"/>
      <w:shd w:val="clear" w:color="auto" w:fill="auto"/>
      <w:tabs>
        <w:tab w:val="clear" w:pos="426"/>
      </w:tabs>
      <w:adjustRightInd/>
      <w:snapToGrid/>
      <w:spacing w:line="600" w:lineRule="exact"/>
      <w:ind w:firstLine="639" w:firstLineChars="206"/>
    </w:pPr>
    <w:rPr>
      <w:rFonts w:ascii="仿宋_GB2312" w:hAnsi="宋体" w:eastAsia="仿宋_GB2312" w:cs="Times New Roman"/>
      <w:kern w:val="2"/>
      <w:sz w:val="31"/>
      <w:szCs w:val="20"/>
    </w:rPr>
  </w:style>
  <w:style w:type="character" w:customStyle="1" w:styleId="540">
    <w:name w:val="style5"/>
    <w:qFormat/>
    <w:uiPriority w:val="0"/>
  </w:style>
  <w:style w:type="character" w:customStyle="1" w:styleId="541">
    <w:name w:val="样式 标题 3 + 小四 Char"/>
    <w:qFormat/>
    <w:uiPriority w:val="0"/>
    <w:rPr>
      <w:rFonts w:ascii="宋体" w:hAnsi="宋体" w:eastAsia="宋体" w:cs="Arial"/>
      <w:b/>
      <w:bCs/>
      <w:smallCaps/>
      <w:kern w:val="2"/>
      <w:sz w:val="24"/>
      <w:szCs w:val="24"/>
      <w:lang w:val="en-US" w:eastAsia="zh-CN" w:bidi="ar-SA"/>
    </w:rPr>
  </w:style>
  <w:style w:type="paragraph" w:customStyle="1" w:styleId="542">
    <w:name w:val="font514155"/>
    <w:basedOn w:val="1"/>
    <w:qFormat/>
    <w:uiPriority w:val="0"/>
    <w:pPr>
      <w:shd w:val="clear" w:color="auto" w:fill="auto"/>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43">
    <w:name w:val="xl73141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hAnsi="宋体"/>
      <w:sz w:val="20"/>
      <w:szCs w:val="20"/>
    </w:rPr>
  </w:style>
  <w:style w:type="character" w:customStyle="1" w:styleId="544">
    <w:name w:val="标题 1.1 Char1"/>
    <w:qFormat/>
    <w:uiPriority w:val="0"/>
    <w:rPr>
      <w:rFonts w:ascii="Arial" w:hAnsi="Arial" w:eastAsia="黑体"/>
      <w:b/>
      <w:bCs/>
      <w:kern w:val="2"/>
      <w:sz w:val="32"/>
      <w:szCs w:val="32"/>
      <w:lang w:val="en-US" w:eastAsia="zh-CN" w:bidi="ar-SA"/>
    </w:rPr>
  </w:style>
  <w:style w:type="paragraph" w:customStyle="1" w:styleId="545">
    <w:name w:val="TOC 标题3"/>
    <w:basedOn w:val="2"/>
    <w:next w:val="1"/>
    <w:qFormat/>
    <w:uiPriority w:val="0"/>
    <w:pPr>
      <w:keepNext/>
      <w:keepLines/>
      <w:tabs>
        <w:tab w:val="clear" w:pos="426"/>
      </w:tabs>
      <w:spacing w:before="480" w:after="0" w:line="276" w:lineRule="auto"/>
      <w:jc w:val="left"/>
      <w:outlineLvl w:val="9"/>
    </w:pPr>
    <w:rPr>
      <w:rFonts w:ascii="Cambria" w:hAnsi="Cambria"/>
      <w:color w:val="365F91"/>
      <w:kern w:val="0"/>
    </w:rPr>
  </w:style>
  <w:style w:type="character" w:customStyle="1" w:styleId="546">
    <w:name w:val="标题 3.1 Char"/>
    <w:link w:val="547"/>
    <w:qFormat/>
    <w:uiPriority w:val="0"/>
    <w:rPr>
      <w:rFonts w:ascii="宋体" w:hAnsi="宋体"/>
      <w:b/>
      <w:color w:val="FF0000"/>
      <w:kern w:val="2"/>
      <w:sz w:val="32"/>
    </w:rPr>
  </w:style>
  <w:style w:type="paragraph" w:customStyle="1" w:styleId="547">
    <w:name w:val="标题 3.1"/>
    <w:basedOn w:val="4"/>
    <w:link w:val="546"/>
    <w:qFormat/>
    <w:uiPriority w:val="0"/>
    <w:pPr>
      <w:tabs>
        <w:tab w:val="left" w:pos="1440"/>
        <w:tab w:val="left" w:pos="1620"/>
      </w:tabs>
      <w:spacing w:line="600" w:lineRule="exact"/>
    </w:pPr>
    <w:rPr>
      <w:rFonts w:hAnsi="宋体"/>
      <w:bCs w:val="0"/>
      <w:color w:val="FF0000"/>
      <w:sz w:val="32"/>
      <w:szCs w:val="20"/>
    </w:rPr>
  </w:style>
  <w:style w:type="character" w:customStyle="1" w:styleId="548">
    <w:name w:val="文件正文 Char"/>
    <w:qFormat/>
    <w:uiPriority w:val="0"/>
    <w:rPr>
      <w:rFonts w:eastAsia="仿宋_GB2312"/>
      <w:kern w:val="2"/>
      <w:sz w:val="24"/>
    </w:rPr>
  </w:style>
  <w:style w:type="paragraph" w:customStyle="1" w:styleId="549">
    <w:name w:val="Char Char1"/>
    <w:basedOn w:val="1"/>
    <w:qFormat/>
    <w:uiPriority w:val="0"/>
    <w:pPr>
      <w:shd w:val="clear" w:color="auto" w:fill="auto"/>
      <w:tabs>
        <w:tab w:val="clear" w:pos="426"/>
      </w:tabs>
      <w:adjustRightInd/>
      <w:snapToGrid/>
      <w:spacing w:after="160" w:line="240" w:lineRule="exact"/>
      <w:jc w:val="left"/>
    </w:pPr>
    <w:rPr>
      <w:rFonts w:ascii="Arial" w:hAnsi="Arial" w:cs="Times New Roman"/>
      <w:sz w:val="20"/>
      <w:szCs w:val="20"/>
      <w:lang w:val="nl-NL" w:eastAsia="en-GB"/>
    </w:rPr>
  </w:style>
  <w:style w:type="paragraph" w:customStyle="1" w:styleId="550">
    <w:name w:val="Char Char Char Char Char Char1 Char"/>
    <w:basedOn w:val="1"/>
    <w:qFormat/>
    <w:uiPriority w:val="0"/>
    <w:pPr>
      <w:shd w:val="clear" w:color="auto" w:fill="auto"/>
      <w:tabs>
        <w:tab w:val="clear" w:pos="426"/>
      </w:tabs>
      <w:adjustRightInd/>
      <w:snapToGrid/>
      <w:spacing w:after="160" w:line="240" w:lineRule="exact"/>
      <w:jc w:val="left"/>
    </w:pPr>
    <w:rPr>
      <w:rFonts w:ascii="Verdana" w:hAnsi="Verdana" w:cs="Times New Roman"/>
      <w:szCs w:val="20"/>
      <w:lang w:eastAsia="en-US"/>
    </w:rPr>
  </w:style>
  <w:style w:type="character" w:customStyle="1" w:styleId="551">
    <w:name w:val="正文1 Char"/>
    <w:qFormat/>
    <w:uiPriority w:val="0"/>
    <w:rPr>
      <w:rFonts w:ascii="宋体" w:hAnsi="宋体" w:cs="宋体"/>
      <w:sz w:val="21"/>
    </w:rPr>
  </w:style>
  <w:style w:type="character" w:customStyle="1" w:styleId="552">
    <w:name w:val="标题 2 Char Char Char Char"/>
    <w:qFormat/>
    <w:uiPriority w:val="0"/>
    <w:rPr>
      <w:rFonts w:ascii="Arial" w:hAnsi="Arial" w:eastAsia="黑体"/>
      <w:b/>
      <w:bCs/>
      <w:kern w:val="2"/>
      <w:sz w:val="32"/>
      <w:szCs w:val="32"/>
      <w:lang w:val="en-US" w:eastAsia="zh-CN" w:bidi="ar-SA"/>
    </w:rPr>
  </w:style>
  <w:style w:type="paragraph" w:customStyle="1" w:styleId="553">
    <w:name w:val="表中文字"/>
    <w:basedOn w:val="1"/>
    <w:qFormat/>
    <w:uiPriority w:val="0"/>
    <w:pPr>
      <w:shd w:val="clear" w:color="auto" w:fill="auto"/>
      <w:tabs>
        <w:tab w:val="clear" w:pos="426"/>
      </w:tabs>
      <w:adjustRightInd/>
      <w:snapToGrid/>
      <w:spacing w:line="240" w:lineRule="auto"/>
    </w:pPr>
    <w:rPr>
      <w:rFonts w:ascii="Arial" w:hAnsi="Arial" w:cs="Times New Roman"/>
      <w:kern w:val="2"/>
      <w:szCs w:val="20"/>
    </w:rPr>
  </w:style>
  <w:style w:type="character" w:customStyle="1" w:styleId="554">
    <w:name w:val="批注文字 字符"/>
    <w:qFormat/>
    <w:uiPriority w:val="0"/>
    <w:rPr>
      <w:rFonts w:eastAsia="宋体"/>
      <w:szCs w:val="24"/>
    </w:rPr>
  </w:style>
  <w:style w:type="character" w:customStyle="1" w:styleId="555">
    <w:name w:val="批注框文本 字符"/>
    <w:qFormat/>
    <w:uiPriority w:val="0"/>
    <w:rPr>
      <w:rFonts w:ascii="Times New Roman" w:hAnsi="Times New Roman" w:eastAsia="宋体" w:cs="Times New Roman"/>
      <w:sz w:val="18"/>
      <w:szCs w:val="18"/>
    </w:rPr>
  </w:style>
  <w:style w:type="character" w:customStyle="1" w:styleId="556">
    <w:name w:val="页眉 字符"/>
    <w:qFormat/>
    <w:uiPriority w:val="0"/>
    <w:rPr>
      <w:rFonts w:ascii="Times New Roman" w:hAnsi="Times New Roman" w:eastAsia="宋体" w:cs="Times New Roman"/>
      <w:sz w:val="18"/>
      <w:szCs w:val="18"/>
    </w:rPr>
  </w:style>
  <w:style w:type="character" w:customStyle="1" w:styleId="557">
    <w:name w:val="页脚 字符"/>
    <w:qFormat/>
    <w:uiPriority w:val="99"/>
    <w:rPr>
      <w:rFonts w:ascii="Times New Roman" w:hAnsi="Times New Roman" w:eastAsia="宋体" w:cs="Times New Roman"/>
      <w:sz w:val="18"/>
      <w:szCs w:val="18"/>
    </w:rPr>
  </w:style>
  <w:style w:type="paragraph" w:customStyle="1" w:styleId="558">
    <w:name w:val="样式 7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59">
    <w:name w:val="Text Char"/>
    <w:link w:val="560"/>
    <w:qFormat/>
    <w:uiPriority w:val="0"/>
    <w:rPr>
      <w:rFonts w:ascii="Calibri" w:hAnsi="Calibri" w:eastAsia="微软雅黑 Light"/>
      <w:kern w:val="2"/>
      <w:sz w:val="24"/>
      <w:szCs w:val="28"/>
    </w:rPr>
  </w:style>
  <w:style w:type="paragraph" w:customStyle="1" w:styleId="560">
    <w:name w:val="Text"/>
    <w:basedOn w:val="1"/>
    <w:link w:val="559"/>
    <w:qFormat/>
    <w:uiPriority w:val="0"/>
    <w:pPr>
      <w:widowControl w:val="0"/>
      <w:shd w:val="clear" w:color="auto" w:fill="auto"/>
      <w:tabs>
        <w:tab w:val="clear" w:pos="426"/>
      </w:tabs>
      <w:spacing w:line="240" w:lineRule="auto"/>
      <w:ind w:firstLine="200" w:firstLineChars="200"/>
    </w:pPr>
    <w:rPr>
      <w:rFonts w:ascii="Calibri" w:hAnsi="Calibri" w:eastAsia="微软雅黑 Light" w:cs="Times New Roman"/>
      <w:kern w:val="2"/>
      <w:sz w:val="24"/>
      <w:szCs w:val="28"/>
    </w:rPr>
  </w:style>
  <w:style w:type="paragraph" w:customStyle="1" w:styleId="561">
    <w:name w:val="列表段落1"/>
    <w:basedOn w:val="1"/>
    <w:qFormat/>
    <w:uiPriority w:val="0"/>
    <w:pPr>
      <w:widowControl w:val="0"/>
      <w:shd w:val="clear" w:color="auto" w:fill="auto"/>
      <w:tabs>
        <w:tab w:val="clear" w:pos="426"/>
      </w:tabs>
      <w:adjustRightInd/>
      <w:snapToGrid/>
      <w:spacing w:line="240" w:lineRule="auto"/>
      <w:ind w:firstLine="200" w:firstLineChars="200"/>
    </w:pPr>
    <w:rPr>
      <w:rFonts w:ascii="Calibri" w:hAnsi="Calibri" w:cs="Times New Roman"/>
      <w:sz w:val="24"/>
    </w:rPr>
  </w:style>
  <w:style w:type="paragraph" w:customStyle="1" w:styleId="562">
    <w:name w:val="样式 正文缩进表正文正文非缩进特点段1四号正文不缩进标题4??????????ALT+Z水上软件特点 ...4"/>
    <w:basedOn w:val="7"/>
    <w:qFormat/>
    <w:uiPriority w:val="0"/>
    <w:pPr>
      <w:widowControl w:val="0"/>
      <w:shd w:val="clear" w:color="auto" w:fill="auto"/>
      <w:tabs>
        <w:tab w:val="clear" w:pos="426"/>
      </w:tabs>
      <w:adjustRightInd/>
      <w:snapToGrid/>
      <w:ind w:firstLine="200" w:firstLineChars="200"/>
    </w:pPr>
    <w:rPr>
      <w:rFonts w:cs="宋体"/>
      <w:color w:val="000000"/>
    </w:rPr>
  </w:style>
  <w:style w:type="paragraph" w:customStyle="1" w:styleId="563">
    <w:name w:val="正文！！！"/>
    <w:basedOn w:val="1"/>
    <w:qFormat/>
    <w:uiPriority w:val="0"/>
    <w:pPr>
      <w:widowControl w:val="0"/>
      <w:shd w:val="clear" w:color="auto" w:fill="auto"/>
      <w:tabs>
        <w:tab w:val="clear" w:pos="426"/>
      </w:tabs>
      <w:adjustRightInd/>
      <w:snapToGrid/>
      <w:ind w:firstLine="420" w:firstLineChars="200"/>
    </w:pPr>
    <w:rPr>
      <w:rFonts w:ascii="Arial" w:hAnsi="Arial" w:eastAsia="微软雅黑"/>
      <w:kern w:val="2"/>
      <w:sz w:val="24"/>
      <w:szCs w:val="20"/>
    </w:rPr>
  </w:style>
  <w:style w:type="paragraph" w:customStyle="1" w:styleId="564">
    <w:name w:val="样式 正文缩进表正文正文非缩进特点段1四号正文不缩进标题4??????????ALT+Z水上软件特点 ..."/>
    <w:basedOn w:val="7"/>
    <w:qFormat/>
    <w:uiPriority w:val="0"/>
    <w:pPr>
      <w:widowControl w:val="0"/>
      <w:shd w:val="clear" w:color="auto" w:fill="auto"/>
      <w:tabs>
        <w:tab w:val="clear" w:pos="426"/>
      </w:tabs>
      <w:adjustRightInd/>
      <w:snapToGrid/>
      <w:ind w:firstLine="200" w:firstLineChars="200"/>
    </w:pPr>
    <w:rPr>
      <w:rFonts w:cs="宋体"/>
    </w:rPr>
  </w:style>
  <w:style w:type="table" w:customStyle="1" w:styleId="565">
    <w:name w:val="网格型1"/>
    <w:basedOn w:val="85"/>
    <w:qFormat/>
    <w:uiPriority w:val="0"/>
    <w:rPr>
      <w:rFonts w:ascii="Calibri" w:hAnsi="Calibr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6">
    <w:name w:val="_Style 565"/>
    <w:unhideWhenUsed/>
    <w:qFormat/>
    <w:uiPriority w:val="99"/>
    <w:rPr>
      <w:rFonts w:ascii="宋体" w:hAnsi="Times New Roman" w:eastAsia="宋体" w:cs="宋体"/>
      <w:sz w:val="21"/>
      <w:szCs w:val="24"/>
      <w:lang w:val="en-US" w:eastAsia="zh-CN" w:bidi="ar-SA"/>
    </w:rPr>
  </w:style>
  <w:style w:type="character" w:customStyle="1" w:styleId="567">
    <w:name w:val="_Style 566"/>
    <w:unhideWhenUsed/>
    <w:qFormat/>
    <w:uiPriority w:val="99"/>
    <w:rPr>
      <w:color w:val="605E5C"/>
      <w:shd w:val="clear" w:color="auto" w:fill="E1DFDD"/>
    </w:rPr>
  </w:style>
  <w:style w:type="paragraph" w:customStyle="1" w:styleId="568">
    <w:name w:val="修订3"/>
    <w:hidden/>
    <w:semiHidden/>
    <w:qFormat/>
    <w:uiPriority w:val="99"/>
    <w:rPr>
      <w:rFonts w:ascii="宋体" w:hAnsi="Times New Roman" w:eastAsia="宋体" w:cs="宋体"/>
      <w:sz w:val="21"/>
      <w:szCs w:val="24"/>
      <w:lang w:val="en-US" w:eastAsia="zh-CN" w:bidi="ar-SA"/>
    </w:rPr>
  </w:style>
  <w:style w:type="paragraph" w:customStyle="1" w:styleId="569">
    <w:name w:val="修订4"/>
    <w:hidden/>
    <w:semiHidden/>
    <w:qFormat/>
    <w:uiPriority w:val="99"/>
    <w:rPr>
      <w:rFonts w:ascii="宋体" w:hAnsi="Times New Roman" w:eastAsia="宋体" w:cs="宋体"/>
      <w:sz w:val="21"/>
      <w:szCs w:val="24"/>
      <w:lang w:val="en-US" w:eastAsia="zh-CN" w:bidi="ar-SA"/>
    </w:rPr>
  </w:style>
  <w:style w:type="paragraph" w:customStyle="1" w:styleId="570">
    <w:name w:val="彩色列表 - 强调文字颜色 111"/>
    <w:basedOn w:val="1"/>
    <w:qFormat/>
    <w:uiPriority w:val="0"/>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szCs w:val="32"/>
    </w:rPr>
  </w:style>
  <w:style w:type="character" w:customStyle="1" w:styleId="571">
    <w:name w:val="未处理的提及1"/>
    <w:basedOn w:val="87"/>
    <w:semiHidden/>
    <w:unhideWhenUsed/>
    <w:qFormat/>
    <w:uiPriority w:val="99"/>
    <w:rPr>
      <w:color w:val="605E5C"/>
      <w:shd w:val="clear" w:color="auto" w:fill="E1DFDD"/>
    </w:rPr>
  </w:style>
  <w:style w:type="paragraph" w:customStyle="1" w:styleId="572">
    <w:name w:val="修订5"/>
    <w:hidden/>
    <w:semiHidden/>
    <w:qFormat/>
    <w:uiPriority w:val="99"/>
    <w:rPr>
      <w:rFonts w:ascii="宋体" w:hAnsi="Times New Roman" w:eastAsia="宋体" w:cs="宋体"/>
      <w:sz w:val="21"/>
      <w:szCs w:val="24"/>
      <w:lang w:val="en-US" w:eastAsia="zh-CN" w:bidi="ar-SA"/>
    </w:rPr>
  </w:style>
  <w:style w:type="character" w:customStyle="1" w:styleId="573">
    <w:name w:val="未处理的提及2"/>
    <w:basedOn w:val="87"/>
    <w:semiHidden/>
    <w:unhideWhenUsed/>
    <w:qFormat/>
    <w:uiPriority w:val="99"/>
    <w:rPr>
      <w:color w:val="605E5C"/>
      <w:shd w:val="clear" w:color="auto" w:fill="E1DFDD"/>
    </w:rPr>
  </w:style>
  <w:style w:type="paragraph" w:customStyle="1" w:styleId="574">
    <w:name w:val="修订6"/>
    <w:hidden/>
    <w:semiHidden/>
    <w:qFormat/>
    <w:uiPriority w:val="99"/>
    <w:rPr>
      <w:rFonts w:ascii="宋体" w:hAnsi="Times New Roman" w:eastAsia="宋体" w:cs="宋体"/>
      <w:sz w:val="21"/>
      <w:szCs w:val="24"/>
      <w:lang w:val="en-US" w:eastAsia="zh-CN" w:bidi="ar-SA"/>
    </w:rPr>
  </w:style>
  <w:style w:type="paragraph" w:customStyle="1" w:styleId="575">
    <w:name w:val="Table Paragraph"/>
    <w:basedOn w:val="1"/>
    <w:qFormat/>
    <w:uiPriority w:val="1"/>
    <w:pPr>
      <w:widowControl w:val="0"/>
      <w:shd w:val="clear" w:color="auto" w:fill="auto"/>
      <w:tabs>
        <w:tab w:val="clear" w:pos="426"/>
      </w:tabs>
      <w:autoSpaceDE w:val="0"/>
      <w:autoSpaceDN w:val="0"/>
      <w:snapToGrid/>
      <w:spacing w:line="240" w:lineRule="auto"/>
      <w:jc w:val="left"/>
    </w:pPr>
    <w:rPr>
      <w:rFonts w:ascii="Times New Roman" w:cs="Times New Roman" w:eastAsiaTheme="minorEastAsia"/>
      <w:sz w:val="24"/>
    </w:rPr>
  </w:style>
  <w:style w:type="character" w:customStyle="1" w:styleId="576">
    <w:name w:val="未处理的提及3"/>
    <w:basedOn w:val="87"/>
    <w:semiHidden/>
    <w:unhideWhenUsed/>
    <w:qFormat/>
    <w:uiPriority w:val="99"/>
    <w:rPr>
      <w:color w:val="605E5C"/>
      <w:shd w:val="clear" w:color="auto" w:fill="E1DFDD"/>
    </w:rPr>
  </w:style>
  <w:style w:type="paragraph" w:customStyle="1" w:styleId="577">
    <w:name w:val="修订7"/>
    <w:hidden/>
    <w:unhideWhenUsed/>
    <w:qFormat/>
    <w:uiPriority w:val="99"/>
    <w:rPr>
      <w:rFonts w:ascii="宋体" w:hAnsi="Times New Roman" w:eastAsia="宋体" w:cs="宋体"/>
      <w:sz w:val="21"/>
      <w:szCs w:val="24"/>
      <w:lang w:val="en-US" w:eastAsia="zh-CN" w:bidi="ar-SA"/>
    </w:rPr>
  </w:style>
  <w:style w:type="paragraph" w:customStyle="1" w:styleId="578">
    <w:name w:val="修订8"/>
    <w:hidden/>
    <w:unhideWhenUsed/>
    <w:qFormat/>
    <w:uiPriority w:val="99"/>
    <w:rPr>
      <w:rFonts w:ascii="宋体" w:hAnsi="Times New Roman" w:eastAsia="宋体" w:cs="宋体"/>
      <w:sz w:val="21"/>
      <w:szCs w:val="24"/>
      <w:lang w:val="en-US" w:eastAsia="zh-CN" w:bidi="ar-SA"/>
    </w:rPr>
  </w:style>
  <w:style w:type="character" w:customStyle="1" w:styleId="579">
    <w:name w:val="纯文本 字符"/>
    <w:basedOn w:val="87"/>
    <w:link w:val="44"/>
    <w:qFormat/>
    <w:uiPriority w:val="0"/>
    <w:rPr>
      <w:rFonts w:ascii="宋体"/>
      <w:kern w:val="2"/>
      <w:sz w:val="21"/>
      <w:shd w:val="clear" w:color="auto" w:fill="FFFFFF"/>
    </w:rPr>
  </w:style>
  <w:style w:type="character" w:customStyle="1" w:styleId="580">
    <w:name w:val="16"/>
    <w:basedOn w:val="87"/>
    <w:qFormat/>
    <w:uiPriority w:val="0"/>
    <w:rPr>
      <w:rFonts w:hint="eastAsia" w:ascii="宋体" w:hAnsi="宋体" w:eastAsia="宋体" w:cs="宋体"/>
      <w:color w:val="000000"/>
      <w:sz w:val="21"/>
      <w:szCs w:val="21"/>
    </w:rPr>
  </w:style>
  <w:style w:type="paragraph" w:customStyle="1" w:styleId="581">
    <w:name w:val="修订9"/>
    <w:hidden/>
    <w:unhideWhenUsed/>
    <w:qFormat/>
    <w:uiPriority w:val="99"/>
    <w:rPr>
      <w:rFonts w:ascii="宋体" w:hAnsi="Times New Roman" w:eastAsia="宋体" w:cs="宋体"/>
      <w:sz w:val="21"/>
      <w:szCs w:val="24"/>
      <w:lang w:val="en-US" w:eastAsia="zh-CN" w:bidi="ar-SA"/>
    </w:rPr>
  </w:style>
  <w:style w:type="paragraph" w:customStyle="1" w:styleId="582">
    <w:name w:val="修订10"/>
    <w:hidden/>
    <w:unhideWhenUsed/>
    <w:qFormat/>
    <w:uiPriority w:val="99"/>
    <w:rPr>
      <w:rFonts w:ascii="宋体" w:hAnsi="Times New Roman" w:eastAsia="宋体" w:cs="宋体"/>
      <w:sz w:val="21"/>
      <w:szCs w:val="24"/>
      <w:lang w:val="en-US" w:eastAsia="zh-CN" w:bidi="ar-SA"/>
    </w:rPr>
  </w:style>
  <w:style w:type="paragraph" w:customStyle="1" w:styleId="583">
    <w:name w:val="修订11"/>
    <w:hidden/>
    <w:unhideWhenUsed/>
    <w:qFormat/>
    <w:uiPriority w:val="99"/>
    <w:rPr>
      <w:rFonts w:ascii="宋体" w:hAnsi="Times New Roman" w:eastAsia="宋体" w:cs="宋体"/>
      <w:sz w:val="21"/>
      <w:szCs w:val="24"/>
      <w:lang w:val="en-US" w:eastAsia="zh-CN" w:bidi="ar-SA"/>
    </w:rPr>
  </w:style>
  <w:style w:type="paragraph" w:customStyle="1" w:styleId="584">
    <w:name w:val="列出段落"/>
    <w:basedOn w:val="1"/>
    <w:autoRedefine/>
    <w:qFormat/>
    <w:uiPriority w:val="99"/>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rPr>
  </w:style>
  <w:style w:type="paragraph" w:customStyle="1" w:styleId="585">
    <w:name w:val="BodyText"/>
    <w:basedOn w:val="1"/>
    <w:autoRedefine/>
    <w:qFormat/>
    <w:uiPriority w:val="0"/>
    <w:pPr>
      <w:widowControl w:val="0"/>
      <w:shd w:val="clear" w:color="auto" w:fill="auto"/>
      <w:tabs>
        <w:tab w:val="clear" w:pos="426"/>
      </w:tabs>
      <w:adjustRightInd/>
      <w:snapToGrid/>
    </w:pPr>
    <w:rPr>
      <w:rFonts w:ascii="Times New Roman" w:eastAsia="仿宋体" w:cs="Times New Roman"/>
      <w:b/>
      <w:sz w:val="24"/>
    </w:rPr>
  </w:style>
  <w:style w:type="paragraph" w:customStyle="1" w:styleId="586">
    <w:name w:val="修订12"/>
    <w:hidden/>
    <w:unhideWhenUsed/>
    <w:qFormat/>
    <w:uiPriority w:val="99"/>
    <w:rPr>
      <w:rFonts w:ascii="宋体" w:hAnsi="Times New Roman" w:eastAsia="宋体" w:cs="宋体"/>
      <w:sz w:val="21"/>
      <w:szCs w:val="24"/>
      <w:lang w:val="en-US" w:eastAsia="zh-CN" w:bidi="ar-SA"/>
    </w:rPr>
  </w:style>
  <w:style w:type="paragraph" w:customStyle="1" w:styleId="587">
    <w:name w:val="标题 11"/>
    <w:basedOn w:val="1"/>
    <w:qFormat/>
    <w:uiPriority w:val="1"/>
    <w:pPr>
      <w:spacing w:line="590" w:lineRule="exact"/>
      <w:ind w:left="3"/>
      <w:outlineLvl w:val="1"/>
    </w:pPr>
    <w:rPr>
      <w:rFonts w:ascii="Microsoft JhengHei" w:hAnsi="Microsoft JhengHei" w:eastAsia="Microsoft JhengHei" w:cs="Microsoft JhengHei"/>
      <w:b/>
      <w:bCs/>
      <w:sz w:val="44"/>
      <w:szCs w:val="44"/>
    </w:rPr>
  </w:style>
  <w:style w:type="paragraph" w:customStyle="1" w:styleId="588">
    <w:name w:val="_Style 3"/>
    <w:next w:val="68"/>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85</Pages>
  <Words>1143</Words>
  <Characters>1187</Characters>
  <Lines>424</Lines>
  <Paragraphs>119</Paragraphs>
  <TotalTime>1</TotalTime>
  <ScaleCrop>false</ScaleCrop>
  <LinksUpToDate>false</LinksUpToDate>
  <CharactersWithSpaces>1227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2022-07-29T16:11:00Z</dcterms:created>
  <dc:creator>thsware</dc:creator>
  <cp:lastModifiedBy>东海国际</cp:lastModifiedBy>
  <cp:lastPrinted>2023-03-28T10:09:00Z</cp:lastPrinted>
  <dcterms:modified xsi:type="dcterms:W3CDTF">2024-12-11T08:38:24Z</dcterms:modified>
  <dc:title>招  标　文　件</dc:title>
  <cp:revision>225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9883F111842D47FEB7F3C94E9E0F2251_13</vt:lpwstr>
  </property>
</Properties>
</file>