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ADAE8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赤石办事处2025年度平安建设及维稳应急安保服务项目</w:t>
      </w:r>
    </w:p>
    <w:p w14:paraId="4ECB0F7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14:paraId="3BE6193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为切实维护社会稳定，保障人民群众生命财产安全，确保日常工作及重大节假日期间社会秩序的平稳，通过对巡防巡控，增强应急处突能力，预防极端事件发生，提升区域环境安全，维护社会稳定，为特殊时期社会安全稳定提供保障服务。结合实际，我办事处拟采购2025年度平安建设及维稳应急安保服务项目。</w:t>
      </w:r>
    </w:p>
    <w:p w14:paraId="3D23337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640" w:leftChars="0" w:firstLine="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项目需求与目标</w:t>
      </w:r>
    </w:p>
    <w:p w14:paraId="033418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（一）重点人员走访：</w:t>
      </w:r>
      <w:r>
        <w:rPr>
          <w:rFonts w:hint="eastAsia" w:ascii="仿宋_GB2312" w:hAnsi="仿宋_GB2312" w:eastAsia="仿宋_GB2312" w:cs="仿宋_GB2312"/>
          <w:b w:val="0"/>
          <w:bCs w:val="0"/>
          <w:sz w:val="32"/>
          <w:szCs w:val="32"/>
          <w:lang w:val="en-US" w:eastAsia="zh-CN"/>
        </w:rPr>
        <w:t>积极协同街道，</w:t>
      </w:r>
      <w:bookmarkStart w:id="0" w:name="_GoBack"/>
      <w:bookmarkEnd w:id="0"/>
      <w:r>
        <w:rPr>
          <w:rFonts w:hint="eastAsia" w:ascii="仿宋_GB2312" w:hAnsi="仿宋_GB2312" w:eastAsia="仿宋_GB2312" w:cs="仿宋_GB2312"/>
          <w:b w:val="0"/>
          <w:bCs w:val="0"/>
          <w:sz w:val="32"/>
          <w:szCs w:val="32"/>
          <w:lang w:val="en-US" w:eastAsia="zh-CN"/>
        </w:rPr>
        <w:t>按照既定时间周期，有序开展针对重点人员的走访慰问工作。与此同时，同步推行定期评估机制，运用科学且合理的评估方法与指标体系，对重点人员的各项情况进行全面评估。通过上述措施，旨在将重点人员纳入有效管控范畴，实现对其动态信息的实时精确掌握，进而有效防范可能出现的、对社会稳定产生负面影响的各类行为，切实维护社会秩序的稳定与和谐。</w:t>
      </w:r>
    </w:p>
    <w:p w14:paraId="544EDA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（二）收集人员信息：</w:t>
      </w:r>
      <w:r>
        <w:rPr>
          <w:rFonts w:hint="eastAsia" w:ascii="仿宋_GB2312" w:hAnsi="仿宋_GB2312" w:eastAsia="仿宋_GB2312" w:cs="仿宋_GB2312"/>
          <w:b w:val="0"/>
          <w:bCs w:val="0"/>
          <w:i w:val="0"/>
          <w:iCs w:val="0"/>
          <w:sz w:val="32"/>
          <w:szCs w:val="32"/>
          <w:lang w:val="en-US" w:eastAsia="zh-CN"/>
        </w:rPr>
        <w:t>持续强化与上级维稳部门以及当地维稳部门之间的沟通联络与协同配合。通过搭建高效、规范且稳定的信息共享机制，依托先进的信息技术手段与完善的工作流程，确保能够在重点人员相关信息产生的第一时间，精准、全面地予以获取，为后续工作的迅速开展与妥善处置提供坚实的信息基础。</w:t>
      </w:r>
    </w:p>
    <w:p w14:paraId="468A97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（三）社会应急维稳：</w:t>
      </w:r>
      <w:r>
        <w:rPr>
          <w:rFonts w:hint="eastAsia" w:ascii="仿宋_GB2312" w:hAnsi="仿宋_GB2312" w:eastAsia="仿宋_GB2312" w:cs="仿宋_GB2312"/>
          <w:sz w:val="32"/>
          <w:szCs w:val="32"/>
          <w:lang w:val="en-US" w:eastAsia="zh-CN"/>
        </w:rPr>
        <w:t>定期开展应急演练，提高队伍的应急反应能力与协同作战能力。制定完善的应急预案，针对不同类型的突发事件，如群体性事件、自然灾害等，制定详细的应对措施。加强与周边地区的应急联动，确保在突发事件发生时能够迅速调配资源，共同应对。如在突发事件发生后，1小时内响应并到达现场，有效控制局势，将负面影响降至最低。</w:t>
      </w:r>
    </w:p>
    <w:p w14:paraId="760CF5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（四）重大节假日社会维稳保安：</w:t>
      </w:r>
      <w:r>
        <w:rPr>
          <w:rFonts w:hint="eastAsia" w:ascii="仿宋_GB2312" w:hAnsi="仿宋_GB2312" w:eastAsia="仿宋_GB2312" w:cs="仿宋_GB2312"/>
          <w:sz w:val="32"/>
          <w:szCs w:val="32"/>
          <w:lang w:val="en-US" w:eastAsia="zh-CN"/>
        </w:rPr>
        <w:t>在重大节假日来临前，开展全面的安全隐患排查工作，对人员密集场所、易燃易爆场所等进行重点检查，及时消除安全隐患。增加安保人员部署，在重点区域、重点路段设立执勤点，加强巡逻防控。组织志愿者队伍，协助维护交通秩序、引导群众文明出行。加强宣传教育，通过媒体、社区宣传等方式，提高群众的安全意识与自我防范能力。实现重大节假日期间无重大群体性事件、无重大安全事故，确保社会秩序良好，群众度过平安、祥和的节日。</w:t>
      </w:r>
    </w:p>
    <w:p w14:paraId="0D11C1E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二、联系方式</w:t>
      </w:r>
    </w:p>
    <w:p w14:paraId="364BE6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采购人：赤石办事处</w:t>
      </w:r>
    </w:p>
    <w:p w14:paraId="1D7779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联系人：曾工</w:t>
      </w:r>
    </w:p>
    <w:p w14:paraId="3CFA9C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联系电话：</w:t>
      </w:r>
      <w:r>
        <w:rPr>
          <w:rFonts w:hint="eastAsia" w:ascii="仿宋_GB2312" w:hAnsi="仿宋_GB2312" w:eastAsia="仿宋_GB2312" w:cs="仿宋_GB2312"/>
          <w:color w:val="auto"/>
          <w:sz w:val="32"/>
          <w:szCs w:val="32"/>
          <w:lang w:val="en-US" w:eastAsia="zh-CN"/>
        </w:rPr>
        <w:t>0755-22102838</w:t>
      </w:r>
    </w:p>
    <w:p w14:paraId="2543A0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电子邮箱：</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"mailto:475979264@qq.com" </w:instrText>
      </w:r>
      <w:r>
        <w:rPr>
          <w:rFonts w:hint="eastAsia" w:ascii="仿宋_GB2312" w:hAnsi="仿宋_GB2312" w:eastAsia="仿宋_GB2312" w:cs="仿宋_GB2312"/>
          <w:color w:val="auto"/>
          <w:sz w:val="32"/>
          <w:szCs w:val="32"/>
          <w:lang w:val="en-US" w:eastAsia="zh-CN"/>
        </w:rPr>
        <w:fldChar w:fldCharType="separate"/>
      </w:r>
      <w:r>
        <w:rPr>
          <w:rStyle w:val="8"/>
          <w:rFonts w:hint="eastAsia" w:ascii="仿宋_GB2312" w:hAnsi="仿宋_GB2312" w:eastAsia="仿宋_GB2312" w:cs="仿宋_GB2312"/>
          <w:color w:val="auto"/>
          <w:sz w:val="32"/>
          <w:szCs w:val="32"/>
          <w:lang w:val="en-US" w:eastAsia="zh-CN"/>
        </w:rPr>
        <w:t>475979264@qq.com</w:t>
      </w:r>
      <w:r>
        <w:rPr>
          <w:rFonts w:hint="eastAsia" w:ascii="仿宋_GB2312" w:hAnsi="仿宋_GB2312" w:eastAsia="仿宋_GB2312" w:cs="仿宋_GB2312"/>
          <w:color w:val="auto"/>
          <w:sz w:val="32"/>
          <w:szCs w:val="32"/>
          <w:lang w:val="en-US" w:eastAsia="zh-CN"/>
        </w:rPr>
        <w:fldChar w:fldCharType="end"/>
      </w:r>
    </w:p>
    <w:p w14:paraId="419C616C">
      <w:pPr>
        <w:numPr>
          <w:ilvl w:val="0"/>
          <w:numId w:val="0"/>
        </w:numPr>
        <w:ind w:left="640" w:leftChars="0"/>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三、分项报价表</w:t>
      </w:r>
    </w:p>
    <w:tbl>
      <w:tblPr>
        <w:tblStyle w:val="5"/>
        <w:tblW w:w="51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3031"/>
        <w:gridCol w:w="1162"/>
        <w:gridCol w:w="1305"/>
        <w:gridCol w:w="1176"/>
        <w:gridCol w:w="1276"/>
      </w:tblGrid>
      <w:tr w14:paraId="73DA6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467" w:type="pct"/>
            <w:vAlign w:val="center"/>
          </w:tcPr>
          <w:p w14:paraId="11DD8840">
            <w:pPr>
              <w:pStyle w:val="3"/>
              <w:widowControl/>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序号</w:t>
            </w:r>
          </w:p>
        </w:tc>
        <w:tc>
          <w:tcPr>
            <w:tcW w:w="1737" w:type="pct"/>
            <w:vAlign w:val="center"/>
          </w:tcPr>
          <w:p w14:paraId="225E6D74">
            <w:pPr>
              <w:pStyle w:val="3"/>
              <w:widowControl/>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val="en-US" w:eastAsia="zh-CN"/>
              </w:rPr>
              <w:t>服务</w:t>
            </w:r>
            <w:r>
              <w:rPr>
                <w:rFonts w:hint="eastAsia" w:ascii="仿宋_GB2312" w:hAnsi="仿宋_GB2312" w:eastAsia="仿宋_GB2312" w:cs="仿宋_GB2312"/>
                <w:color w:val="000000"/>
                <w:sz w:val="32"/>
                <w:szCs w:val="32"/>
                <w:shd w:val="clear" w:color="auto" w:fill="FFFFFF"/>
              </w:rPr>
              <w:t>事项</w:t>
            </w:r>
          </w:p>
        </w:tc>
        <w:tc>
          <w:tcPr>
            <w:tcW w:w="669" w:type="pct"/>
            <w:vAlign w:val="center"/>
          </w:tcPr>
          <w:p w14:paraId="2BC19B1E">
            <w:pPr>
              <w:pStyle w:val="3"/>
              <w:widowControl/>
              <w:jc w:val="center"/>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rPr>
              <w:t>预估次数/</w:t>
            </w:r>
            <w:r>
              <w:rPr>
                <w:rFonts w:hint="eastAsia" w:ascii="仿宋_GB2312" w:hAnsi="仿宋_GB2312" w:eastAsia="仿宋_GB2312" w:cs="仿宋_GB2312"/>
                <w:color w:val="000000"/>
                <w:sz w:val="32"/>
                <w:szCs w:val="32"/>
                <w:shd w:val="clear" w:color="auto" w:fill="FFFFFF"/>
                <w:lang w:val="en-US" w:eastAsia="zh-CN"/>
              </w:rPr>
              <w:t>年</w:t>
            </w:r>
          </w:p>
        </w:tc>
        <w:tc>
          <w:tcPr>
            <w:tcW w:w="752" w:type="pct"/>
            <w:vAlign w:val="center"/>
          </w:tcPr>
          <w:p w14:paraId="15B8BFC7">
            <w:pPr>
              <w:pStyle w:val="3"/>
              <w:widowControl/>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单价(次/元)</w:t>
            </w:r>
          </w:p>
        </w:tc>
        <w:tc>
          <w:tcPr>
            <w:tcW w:w="638" w:type="pct"/>
            <w:vAlign w:val="center"/>
          </w:tcPr>
          <w:p w14:paraId="44DF4F49">
            <w:pPr>
              <w:pStyle w:val="3"/>
              <w:widowControl/>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年计（元）</w:t>
            </w:r>
          </w:p>
        </w:tc>
        <w:tc>
          <w:tcPr>
            <w:tcW w:w="734" w:type="pct"/>
            <w:vAlign w:val="center"/>
          </w:tcPr>
          <w:p w14:paraId="3AB0F30C">
            <w:pPr>
              <w:pStyle w:val="3"/>
              <w:widowControl/>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备注</w:t>
            </w:r>
          </w:p>
        </w:tc>
      </w:tr>
      <w:tr w14:paraId="46FBF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467" w:type="pct"/>
            <w:vAlign w:val="center"/>
          </w:tcPr>
          <w:p w14:paraId="3D2E77FE">
            <w:pPr>
              <w:pStyle w:val="3"/>
              <w:widowControl/>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w:t>
            </w:r>
          </w:p>
        </w:tc>
        <w:tc>
          <w:tcPr>
            <w:tcW w:w="1737" w:type="pct"/>
            <w:vAlign w:val="center"/>
          </w:tcPr>
          <w:p w14:paraId="48DDE852">
            <w:pPr>
              <w:widowControl/>
              <w:ind w:firstLine="0" w:firstLineChars="0"/>
              <w:jc w:val="center"/>
              <w:textAlignment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重点人员走访</w:t>
            </w:r>
          </w:p>
        </w:tc>
        <w:tc>
          <w:tcPr>
            <w:tcW w:w="669" w:type="pct"/>
            <w:vAlign w:val="center"/>
          </w:tcPr>
          <w:p w14:paraId="0AA1681B">
            <w:pPr>
              <w:keepNext w:val="0"/>
              <w:keepLines w:val="0"/>
              <w:widowControl/>
              <w:suppressLineNumbers w:val="0"/>
              <w:jc w:val="center"/>
              <w:textAlignment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i w:val="0"/>
                <w:iCs w:val="0"/>
                <w:color w:val="000000"/>
                <w:kern w:val="0"/>
                <w:sz w:val="32"/>
                <w:szCs w:val="32"/>
                <w:u w:val="none"/>
                <w:lang w:val="en-US" w:eastAsia="zh-CN" w:bidi="ar"/>
              </w:rPr>
              <w:t>80</w:t>
            </w:r>
          </w:p>
        </w:tc>
        <w:tc>
          <w:tcPr>
            <w:tcW w:w="752" w:type="pct"/>
            <w:vAlign w:val="center"/>
          </w:tcPr>
          <w:p w14:paraId="7CF1554D">
            <w:pPr>
              <w:widowControl/>
              <w:ind w:firstLine="0" w:firstLineChars="0"/>
              <w:jc w:val="center"/>
              <w:textAlignment w:val="center"/>
              <w:rPr>
                <w:rFonts w:hint="eastAsia" w:ascii="仿宋_GB2312" w:hAnsi="仿宋_GB2312" w:eastAsia="仿宋_GB2312" w:cs="仿宋_GB2312"/>
                <w:color w:val="000000"/>
                <w:sz w:val="32"/>
                <w:szCs w:val="32"/>
                <w:shd w:val="clear" w:color="auto" w:fill="FFFFFF"/>
                <w:lang w:val="en-US" w:eastAsia="zh-CN"/>
              </w:rPr>
            </w:pPr>
          </w:p>
        </w:tc>
        <w:tc>
          <w:tcPr>
            <w:tcW w:w="638" w:type="pct"/>
            <w:vAlign w:val="center"/>
          </w:tcPr>
          <w:p w14:paraId="59F05F35">
            <w:pPr>
              <w:widowControl/>
              <w:ind w:firstLine="0" w:firstLineChars="0"/>
              <w:jc w:val="center"/>
              <w:textAlignment w:val="center"/>
              <w:rPr>
                <w:rFonts w:hint="eastAsia" w:ascii="仿宋_GB2312" w:hAnsi="仿宋_GB2312" w:eastAsia="仿宋_GB2312" w:cs="仿宋_GB2312"/>
                <w:color w:val="000000"/>
                <w:sz w:val="32"/>
                <w:szCs w:val="32"/>
                <w:shd w:val="clear" w:color="auto" w:fill="FFFFFF"/>
                <w:lang w:val="en-US" w:eastAsia="zh-CN"/>
              </w:rPr>
            </w:pPr>
          </w:p>
        </w:tc>
        <w:tc>
          <w:tcPr>
            <w:tcW w:w="734" w:type="pct"/>
            <w:vAlign w:val="center"/>
          </w:tcPr>
          <w:p w14:paraId="0FFAD46E">
            <w:pPr>
              <w:pStyle w:val="3"/>
              <w:widowControl/>
              <w:jc w:val="center"/>
              <w:rPr>
                <w:rFonts w:hint="eastAsia" w:ascii="仿宋_GB2312" w:hAnsi="仿宋_GB2312" w:eastAsia="仿宋_GB2312" w:cs="仿宋_GB2312"/>
                <w:color w:val="000000"/>
                <w:sz w:val="32"/>
                <w:szCs w:val="32"/>
                <w:shd w:val="clear" w:color="auto" w:fill="FFFFFF"/>
              </w:rPr>
            </w:pPr>
          </w:p>
        </w:tc>
      </w:tr>
      <w:tr w14:paraId="135C7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467" w:type="pct"/>
            <w:vAlign w:val="center"/>
          </w:tcPr>
          <w:p w14:paraId="19C2FD0C">
            <w:pPr>
              <w:pStyle w:val="3"/>
              <w:widowControl/>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w:t>
            </w:r>
          </w:p>
        </w:tc>
        <w:tc>
          <w:tcPr>
            <w:tcW w:w="1737" w:type="pct"/>
            <w:vAlign w:val="center"/>
          </w:tcPr>
          <w:p w14:paraId="2D828B34">
            <w:pPr>
              <w:keepNext w:val="0"/>
              <w:keepLines w:val="0"/>
              <w:widowControl/>
              <w:suppressLineNumbers w:val="0"/>
              <w:jc w:val="center"/>
              <w:textAlignment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i w:val="0"/>
                <w:iCs w:val="0"/>
                <w:color w:val="000000"/>
                <w:kern w:val="0"/>
                <w:sz w:val="32"/>
                <w:szCs w:val="32"/>
                <w:u w:val="none"/>
                <w:lang w:val="en-US" w:eastAsia="zh-CN" w:bidi="ar"/>
              </w:rPr>
              <w:t>收集人员信息</w:t>
            </w:r>
          </w:p>
        </w:tc>
        <w:tc>
          <w:tcPr>
            <w:tcW w:w="669" w:type="pct"/>
            <w:vAlign w:val="center"/>
          </w:tcPr>
          <w:p w14:paraId="51CD7F56">
            <w:pPr>
              <w:keepNext w:val="0"/>
              <w:keepLines w:val="0"/>
              <w:widowControl/>
              <w:suppressLineNumbers w:val="0"/>
              <w:jc w:val="center"/>
              <w:textAlignment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i w:val="0"/>
                <w:iCs w:val="0"/>
                <w:color w:val="000000"/>
                <w:kern w:val="0"/>
                <w:sz w:val="32"/>
                <w:szCs w:val="32"/>
                <w:u w:val="none"/>
                <w:lang w:val="en-US" w:eastAsia="zh-CN" w:bidi="ar"/>
              </w:rPr>
              <w:t>80</w:t>
            </w:r>
          </w:p>
        </w:tc>
        <w:tc>
          <w:tcPr>
            <w:tcW w:w="752" w:type="pct"/>
            <w:vAlign w:val="center"/>
          </w:tcPr>
          <w:p w14:paraId="582B16BD">
            <w:pPr>
              <w:widowControl/>
              <w:ind w:firstLine="0" w:firstLineChars="0"/>
              <w:jc w:val="center"/>
              <w:textAlignment w:val="center"/>
              <w:rPr>
                <w:rFonts w:hint="eastAsia" w:ascii="仿宋_GB2312" w:hAnsi="仿宋_GB2312" w:eastAsia="仿宋_GB2312" w:cs="仿宋_GB2312"/>
                <w:color w:val="000000"/>
                <w:sz w:val="32"/>
                <w:szCs w:val="32"/>
                <w:shd w:val="clear" w:color="auto" w:fill="FFFFFF"/>
                <w:lang w:val="en-US" w:eastAsia="zh-CN"/>
              </w:rPr>
            </w:pPr>
          </w:p>
        </w:tc>
        <w:tc>
          <w:tcPr>
            <w:tcW w:w="638" w:type="pct"/>
            <w:vAlign w:val="center"/>
          </w:tcPr>
          <w:p w14:paraId="0470FCFB">
            <w:pPr>
              <w:widowControl/>
              <w:ind w:firstLine="0" w:firstLineChars="0"/>
              <w:jc w:val="center"/>
              <w:textAlignment w:val="center"/>
              <w:rPr>
                <w:rFonts w:hint="eastAsia" w:ascii="仿宋_GB2312" w:hAnsi="仿宋_GB2312" w:eastAsia="仿宋_GB2312" w:cs="仿宋_GB2312"/>
                <w:color w:val="000000"/>
                <w:sz w:val="32"/>
                <w:szCs w:val="32"/>
                <w:shd w:val="clear" w:color="auto" w:fill="FFFFFF"/>
                <w:lang w:val="en-US" w:eastAsia="zh-CN"/>
              </w:rPr>
            </w:pPr>
          </w:p>
        </w:tc>
        <w:tc>
          <w:tcPr>
            <w:tcW w:w="734" w:type="pct"/>
            <w:vAlign w:val="center"/>
          </w:tcPr>
          <w:p w14:paraId="2343CBEE">
            <w:pPr>
              <w:pStyle w:val="3"/>
              <w:widowControl/>
              <w:jc w:val="center"/>
              <w:rPr>
                <w:rFonts w:hint="eastAsia" w:ascii="仿宋_GB2312" w:hAnsi="仿宋_GB2312" w:eastAsia="仿宋_GB2312" w:cs="仿宋_GB2312"/>
                <w:color w:val="000000"/>
                <w:sz w:val="32"/>
                <w:szCs w:val="32"/>
                <w:shd w:val="clear" w:color="auto" w:fill="FFFFFF"/>
              </w:rPr>
            </w:pPr>
          </w:p>
        </w:tc>
      </w:tr>
      <w:tr w14:paraId="5B166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467" w:type="pct"/>
            <w:vAlign w:val="center"/>
          </w:tcPr>
          <w:p w14:paraId="68FA07B1">
            <w:pPr>
              <w:pStyle w:val="3"/>
              <w:widowControl/>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w:t>
            </w:r>
          </w:p>
        </w:tc>
        <w:tc>
          <w:tcPr>
            <w:tcW w:w="1737" w:type="pct"/>
            <w:vAlign w:val="center"/>
          </w:tcPr>
          <w:p w14:paraId="2E9725A5">
            <w:pPr>
              <w:keepNext w:val="0"/>
              <w:keepLines w:val="0"/>
              <w:widowControl/>
              <w:suppressLineNumbers w:val="0"/>
              <w:jc w:val="center"/>
              <w:textAlignment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i w:val="0"/>
                <w:iCs w:val="0"/>
                <w:color w:val="000000"/>
                <w:kern w:val="0"/>
                <w:sz w:val="32"/>
                <w:szCs w:val="32"/>
                <w:u w:val="none"/>
                <w:lang w:val="en-US" w:eastAsia="zh-CN" w:bidi="ar"/>
              </w:rPr>
              <w:t>社会应急维稳</w:t>
            </w:r>
          </w:p>
        </w:tc>
        <w:tc>
          <w:tcPr>
            <w:tcW w:w="669" w:type="pct"/>
            <w:vAlign w:val="center"/>
          </w:tcPr>
          <w:p w14:paraId="73124223">
            <w:pPr>
              <w:keepNext w:val="0"/>
              <w:keepLines w:val="0"/>
              <w:widowControl/>
              <w:suppressLineNumbers w:val="0"/>
              <w:jc w:val="center"/>
              <w:textAlignment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i w:val="0"/>
                <w:iCs w:val="0"/>
                <w:color w:val="000000"/>
                <w:kern w:val="0"/>
                <w:sz w:val="32"/>
                <w:szCs w:val="32"/>
                <w:u w:val="none"/>
                <w:lang w:val="en-US" w:eastAsia="zh-CN" w:bidi="ar"/>
              </w:rPr>
              <w:t>40</w:t>
            </w:r>
          </w:p>
        </w:tc>
        <w:tc>
          <w:tcPr>
            <w:tcW w:w="752" w:type="pct"/>
            <w:vAlign w:val="center"/>
          </w:tcPr>
          <w:p w14:paraId="4CA07847">
            <w:pPr>
              <w:widowControl/>
              <w:ind w:firstLine="0" w:firstLineChars="0"/>
              <w:jc w:val="center"/>
              <w:textAlignment w:val="center"/>
              <w:rPr>
                <w:rFonts w:hint="eastAsia" w:ascii="仿宋_GB2312" w:hAnsi="仿宋_GB2312" w:eastAsia="仿宋_GB2312" w:cs="仿宋_GB2312"/>
                <w:color w:val="000000"/>
                <w:sz w:val="32"/>
                <w:szCs w:val="32"/>
                <w:shd w:val="clear" w:color="auto" w:fill="FFFFFF"/>
                <w:lang w:val="en-US" w:eastAsia="zh-CN"/>
              </w:rPr>
            </w:pPr>
          </w:p>
        </w:tc>
        <w:tc>
          <w:tcPr>
            <w:tcW w:w="638" w:type="pct"/>
            <w:vAlign w:val="center"/>
          </w:tcPr>
          <w:p w14:paraId="3AB42352">
            <w:pPr>
              <w:widowControl/>
              <w:ind w:firstLine="0" w:firstLineChars="0"/>
              <w:jc w:val="center"/>
              <w:textAlignment w:val="center"/>
              <w:rPr>
                <w:rFonts w:hint="eastAsia" w:ascii="仿宋_GB2312" w:hAnsi="仿宋_GB2312" w:eastAsia="仿宋_GB2312" w:cs="仿宋_GB2312"/>
                <w:color w:val="000000"/>
                <w:sz w:val="32"/>
                <w:szCs w:val="32"/>
                <w:shd w:val="clear" w:color="auto" w:fill="FFFFFF"/>
                <w:lang w:val="en-US" w:eastAsia="zh-CN"/>
              </w:rPr>
            </w:pPr>
          </w:p>
        </w:tc>
        <w:tc>
          <w:tcPr>
            <w:tcW w:w="734" w:type="pct"/>
            <w:vAlign w:val="center"/>
          </w:tcPr>
          <w:p w14:paraId="254C7AB3">
            <w:pPr>
              <w:pStyle w:val="3"/>
              <w:widowControl/>
              <w:jc w:val="center"/>
              <w:rPr>
                <w:rFonts w:hint="eastAsia" w:ascii="仿宋_GB2312" w:hAnsi="仿宋_GB2312" w:eastAsia="仿宋_GB2312" w:cs="仿宋_GB2312"/>
                <w:color w:val="000000"/>
                <w:sz w:val="32"/>
                <w:szCs w:val="32"/>
                <w:shd w:val="clear" w:color="auto" w:fill="FFFFFF"/>
              </w:rPr>
            </w:pPr>
          </w:p>
        </w:tc>
      </w:tr>
      <w:tr w14:paraId="69EBB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467" w:type="pct"/>
            <w:vAlign w:val="center"/>
          </w:tcPr>
          <w:p w14:paraId="34D8DE0F">
            <w:pPr>
              <w:pStyle w:val="3"/>
              <w:widowControl/>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4</w:t>
            </w:r>
          </w:p>
        </w:tc>
        <w:tc>
          <w:tcPr>
            <w:tcW w:w="1737" w:type="pct"/>
            <w:vAlign w:val="center"/>
          </w:tcPr>
          <w:p w14:paraId="48584113">
            <w:pPr>
              <w:keepNext w:val="0"/>
              <w:keepLines w:val="0"/>
              <w:widowControl/>
              <w:suppressLineNumbers w:val="0"/>
              <w:jc w:val="center"/>
              <w:textAlignment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i w:val="0"/>
                <w:iCs w:val="0"/>
                <w:color w:val="000000"/>
                <w:kern w:val="0"/>
                <w:sz w:val="32"/>
                <w:szCs w:val="32"/>
                <w:u w:val="none"/>
                <w:lang w:val="en-US" w:eastAsia="zh-CN" w:bidi="ar"/>
              </w:rPr>
              <w:t>重大节假日社会维稳保安</w:t>
            </w:r>
          </w:p>
        </w:tc>
        <w:tc>
          <w:tcPr>
            <w:tcW w:w="669" w:type="pct"/>
            <w:vAlign w:val="center"/>
          </w:tcPr>
          <w:p w14:paraId="42FA7258">
            <w:pPr>
              <w:keepNext w:val="0"/>
              <w:keepLines w:val="0"/>
              <w:widowControl/>
              <w:suppressLineNumbers w:val="0"/>
              <w:jc w:val="center"/>
              <w:textAlignment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i w:val="0"/>
                <w:iCs w:val="0"/>
                <w:color w:val="000000"/>
                <w:kern w:val="0"/>
                <w:sz w:val="32"/>
                <w:szCs w:val="32"/>
                <w:u w:val="none"/>
                <w:lang w:val="en-US" w:eastAsia="zh-CN" w:bidi="ar"/>
              </w:rPr>
              <w:t>41</w:t>
            </w:r>
          </w:p>
        </w:tc>
        <w:tc>
          <w:tcPr>
            <w:tcW w:w="752" w:type="pct"/>
            <w:vAlign w:val="center"/>
          </w:tcPr>
          <w:p w14:paraId="4024E895">
            <w:pPr>
              <w:widowControl/>
              <w:ind w:firstLine="0" w:firstLineChars="0"/>
              <w:jc w:val="center"/>
              <w:textAlignment w:val="center"/>
              <w:rPr>
                <w:rFonts w:hint="eastAsia" w:ascii="仿宋_GB2312" w:hAnsi="仿宋_GB2312" w:eastAsia="仿宋_GB2312" w:cs="仿宋_GB2312"/>
                <w:color w:val="000000"/>
                <w:sz w:val="32"/>
                <w:szCs w:val="32"/>
                <w:shd w:val="clear" w:color="auto" w:fill="FFFFFF"/>
                <w:lang w:val="en-US" w:eastAsia="zh-CN"/>
              </w:rPr>
            </w:pPr>
          </w:p>
        </w:tc>
        <w:tc>
          <w:tcPr>
            <w:tcW w:w="638" w:type="pct"/>
            <w:vAlign w:val="center"/>
          </w:tcPr>
          <w:p w14:paraId="0C960D22">
            <w:pPr>
              <w:widowControl/>
              <w:ind w:firstLine="0" w:firstLineChars="0"/>
              <w:jc w:val="center"/>
              <w:textAlignment w:val="center"/>
              <w:rPr>
                <w:rFonts w:hint="eastAsia" w:ascii="仿宋_GB2312" w:hAnsi="仿宋_GB2312" w:eastAsia="仿宋_GB2312" w:cs="仿宋_GB2312"/>
                <w:color w:val="000000"/>
                <w:sz w:val="32"/>
                <w:szCs w:val="32"/>
                <w:shd w:val="clear" w:color="auto" w:fill="FFFFFF"/>
                <w:lang w:val="en-US" w:eastAsia="zh-CN"/>
              </w:rPr>
            </w:pPr>
          </w:p>
        </w:tc>
        <w:tc>
          <w:tcPr>
            <w:tcW w:w="734" w:type="pct"/>
            <w:vAlign w:val="center"/>
          </w:tcPr>
          <w:p w14:paraId="2F3B9E55">
            <w:pPr>
              <w:pStyle w:val="3"/>
              <w:widowControl/>
              <w:jc w:val="center"/>
              <w:rPr>
                <w:rFonts w:hint="eastAsia" w:ascii="仿宋_GB2312" w:hAnsi="仿宋_GB2312" w:eastAsia="仿宋_GB2312" w:cs="仿宋_GB2312"/>
                <w:color w:val="000000"/>
                <w:sz w:val="32"/>
                <w:szCs w:val="32"/>
                <w:shd w:val="clear" w:color="auto" w:fill="FFFFFF"/>
              </w:rPr>
            </w:pPr>
          </w:p>
        </w:tc>
      </w:tr>
      <w:tr w14:paraId="52C30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2874" w:type="pct"/>
            <w:gridSpan w:val="3"/>
            <w:vAlign w:val="center"/>
          </w:tcPr>
          <w:p w14:paraId="3286634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合计（元）</w:t>
            </w:r>
          </w:p>
        </w:tc>
        <w:tc>
          <w:tcPr>
            <w:tcW w:w="2125" w:type="pct"/>
            <w:gridSpan w:val="3"/>
            <w:vAlign w:val="center"/>
          </w:tcPr>
          <w:p w14:paraId="1F9B5C16">
            <w:pPr>
              <w:pStyle w:val="3"/>
              <w:widowControl/>
              <w:jc w:val="center"/>
              <w:rPr>
                <w:rFonts w:hint="eastAsia" w:ascii="仿宋_GB2312" w:hAnsi="仿宋_GB2312" w:eastAsia="仿宋_GB2312" w:cs="仿宋_GB2312"/>
                <w:color w:val="000000"/>
                <w:sz w:val="32"/>
                <w:szCs w:val="32"/>
                <w:shd w:val="clear" w:color="auto" w:fill="FFFFFF"/>
              </w:rPr>
            </w:pPr>
          </w:p>
        </w:tc>
      </w:tr>
    </w:tbl>
    <w:p w14:paraId="236763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23795F-96B4-482C-ABD2-17A0F7FDD6E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45F209D9-C6BE-4C0A-9E64-E537D539A768}"/>
  </w:font>
  <w:font w:name="仿宋_GB2312">
    <w:panose1 w:val="02010609030101010101"/>
    <w:charset w:val="86"/>
    <w:family w:val="auto"/>
    <w:pitch w:val="default"/>
    <w:sig w:usb0="00000001" w:usb1="080E0000" w:usb2="00000000" w:usb3="00000000" w:csb0="00040000" w:csb1="00000000"/>
    <w:embedRegular r:id="rId3" w:fontKey="{4EFCF546-D968-4C49-8C59-EE4EAF5802B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E69FB2"/>
    <w:multiLevelType w:val="singleLevel"/>
    <w:tmpl w:val="53E69FB2"/>
    <w:lvl w:ilvl="0" w:tentative="0">
      <w:start w:val="1"/>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iNGUzMDI2Y2FmNzAwMzljZGJmMmVhNjk3ZGY1ZTgifQ=="/>
  </w:docVars>
  <w:rsids>
    <w:rsidRoot w:val="00000000"/>
    <w:rsid w:val="07576FE3"/>
    <w:rsid w:val="0B5249E6"/>
    <w:rsid w:val="12684E52"/>
    <w:rsid w:val="1E2F53D8"/>
    <w:rsid w:val="3082583C"/>
    <w:rsid w:val="33281F1A"/>
    <w:rsid w:val="3B5F7F97"/>
    <w:rsid w:val="3F424B14"/>
    <w:rsid w:val="41BC162A"/>
    <w:rsid w:val="476B54BB"/>
    <w:rsid w:val="48135871"/>
    <w:rsid w:val="5F21609C"/>
    <w:rsid w:val="677B0480"/>
    <w:rsid w:val="6B22638A"/>
    <w:rsid w:val="77730FCF"/>
    <w:rsid w:val="784F38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99"/>
    <w:pPr>
      <w:spacing w:line="240" w:lineRule="auto"/>
      <w:ind w:firstLine="0" w:firstLineChars="0"/>
    </w:pPr>
    <w:rPr>
      <w:rFonts w:ascii="Times New Roman" w:hAnsi="Times New Roman" w:eastAsia="Times New Roman"/>
    </w:rPr>
  </w:style>
  <w:style w:type="table" w:styleId="5">
    <w:name w:val="Table Grid"/>
    <w:basedOn w:val="4"/>
    <w:qFormat/>
    <w:uiPriority w:val="39"/>
    <w:pPr>
      <w:widowControl w:val="0"/>
      <w:jc w:val="both"/>
    </w:pPr>
    <w:rPr>
      <w:rFonts w:ascii="Times New Roman" w:hAnsi="Times New Roman" w:eastAsia="宋体"/>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963</Words>
  <Characters>1000</Characters>
  <Lines>0</Lines>
  <Paragraphs>0</Paragraphs>
  <TotalTime>0</TotalTime>
  <ScaleCrop>false</ScaleCrop>
  <LinksUpToDate>false</LinksUpToDate>
  <CharactersWithSpaces>1000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微信用户</cp:lastModifiedBy>
  <dcterms:modified xsi:type="dcterms:W3CDTF">2025-02-08T02:43:03Z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05D8CDE17BEB4AB795C55E836C75CD5F_13</vt:lpwstr>
  </property>
  <property fmtid="{D5CDD505-2E9C-101B-9397-08002B2CF9AE}" pid="4" name="KSOTemplateDocerSaveRecord">
    <vt:lpwstr>eyJoZGlkIjoiMWY3ZDI3ZDEwZDA0ZmRlNjY1M2I4NzFiYjc1ZTVlZTEiLCJ1c2VySWQiOiIxMTQwMDYwNTgwIn0=</vt:lpwstr>
  </property>
</Properties>
</file>